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overflowPunct/>
        <w:bidi w:val="0"/>
        <w:spacing w:beforeAutospacing="0" w:afterAutospacing="0" w:line="360" w:lineRule="auto"/>
        <w:ind w:left="0" w:leftChars="0" w:right="0"/>
        <w:jc w:val="center"/>
        <w:rPr>
          <w:rFonts w:hint="eastAsia" w:ascii="宋体" w:hAnsi="宋体" w:eastAsia="宋体" w:cs="宋体"/>
          <w:b/>
          <w:color w:val="auto"/>
          <w:sz w:val="24"/>
          <w:szCs w:val="24"/>
          <w:highlight w:val="none"/>
        </w:rPr>
      </w:pPr>
    </w:p>
    <w:p>
      <w:pPr>
        <w:pageBreakBefore w:val="0"/>
        <w:kinsoku/>
        <w:overflowPunct/>
        <w:bidi w:val="0"/>
        <w:spacing w:beforeAutospacing="0" w:afterAutospacing="0" w:line="360" w:lineRule="auto"/>
        <w:ind w:left="0" w:leftChars="0" w:right="0"/>
        <w:jc w:val="center"/>
        <w:rPr>
          <w:rFonts w:hint="eastAsia" w:ascii="宋体" w:hAnsi="宋体" w:eastAsia="宋体" w:cs="宋体"/>
          <w:b/>
          <w:color w:val="auto"/>
          <w:sz w:val="44"/>
          <w:szCs w:val="44"/>
          <w:highlight w:val="none"/>
          <w:lang w:eastAsia="zh-CN"/>
        </w:rPr>
      </w:pPr>
      <w:r>
        <w:rPr>
          <w:rFonts w:hint="eastAsia" w:ascii="宋体" w:hAnsi="宋体" w:eastAsia="宋体" w:cs="宋体"/>
          <w:b/>
          <w:color w:val="auto"/>
          <w:sz w:val="44"/>
          <w:szCs w:val="44"/>
          <w:highlight w:val="none"/>
          <w:lang w:eastAsia="zh-CN"/>
        </w:rPr>
        <w:t>伊川县交通事业发展中心伊川县Y002半鲁线段庄至三岔口段改造工程项目</w:t>
      </w:r>
    </w:p>
    <w:p>
      <w:pPr>
        <w:pStyle w:val="24"/>
        <w:pageBreakBefore w:val="0"/>
        <w:kinsoku/>
        <w:overflowPunct/>
        <w:bidi w:val="0"/>
        <w:spacing w:beforeAutospacing="0" w:afterAutospacing="0" w:line="360" w:lineRule="auto"/>
        <w:ind w:left="0" w:leftChars="0" w:right="0"/>
        <w:rPr>
          <w:rFonts w:hint="eastAsia" w:ascii="宋体" w:hAnsi="宋体" w:eastAsia="宋体" w:cs="宋体"/>
          <w:b/>
          <w:color w:val="auto"/>
          <w:sz w:val="44"/>
          <w:szCs w:val="44"/>
          <w:highlight w:val="none"/>
          <w:lang w:eastAsia="zh-CN"/>
        </w:rPr>
      </w:pPr>
    </w:p>
    <w:p>
      <w:pPr>
        <w:pageBreakBefore w:val="0"/>
        <w:kinsoku/>
        <w:overflowPunct/>
        <w:bidi w:val="0"/>
        <w:spacing w:beforeAutospacing="0" w:afterAutospacing="0" w:line="360" w:lineRule="auto"/>
        <w:ind w:left="0" w:leftChars="0" w:right="0"/>
        <w:rPr>
          <w:rFonts w:hint="eastAsia" w:ascii="宋体" w:hAnsi="宋体" w:eastAsia="宋体" w:cs="宋体"/>
        </w:rPr>
      </w:pPr>
    </w:p>
    <w:p>
      <w:pPr>
        <w:pageBreakBefore w:val="0"/>
        <w:kinsoku/>
        <w:overflowPunct/>
        <w:bidi w:val="0"/>
        <w:spacing w:beforeAutospacing="0" w:afterAutospacing="0" w:line="360" w:lineRule="auto"/>
        <w:ind w:left="0" w:leftChars="0" w:right="0"/>
        <w:jc w:val="center"/>
        <w:rPr>
          <w:rFonts w:hint="eastAsia" w:ascii="宋体" w:hAnsi="宋体" w:eastAsia="宋体" w:cs="宋体"/>
          <w:b/>
          <w:bCs/>
          <w:color w:val="auto"/>
          <w:sz w:val="96"/>
          <w:szCs w:val="96"/>
          <w:highlight w:val="none"/>
          <w:lang w:val="en-US" w:eastAsia="zh-CN"/>
        </w:rPr>
      </w:pPr>
      <w:r>
        <w:rPr>
          <w:rFonts w:hint="eastAsia" w:ascii="宋体" w:hAnsi="宋体" w:eastAsia="宋体" w:cs="宋体"/>
          <w:b/>
          <w:color w:val="auto"/>
          <w:sz w:val="96"/>
          <w:szCs w:val="96"/>
          <w:highlight w:val="none"/>
        </w:rPr>
        <w:t>招标文件</w:t>
      </w:r>
    </w:p>
    <w:p>
      <w:pPr>
        <w:pStyle w:val="15"/>
        <w:pageBreakBefore w:val="0"/>
        <w:kinsoku/>
        <w:overflowPunct/>
        <w:bidi w:val="0"/>
        <w:spacing w:beforeAutospacing="0" w:afterAutospacing="0" w:line="360" w:lineRule="auto"/>
        <w:ind w:left="0" w:leftChars="0" w:right="0"/>
        <w:jc w:val="center"/>
        <w:rPr>
          <w:rFonts w:hint="eastAsia" w:ascii="宋体" w:hAnsi="宋体" w:eastAsia="宋体" w:cs="宋体"/>
          <w:color w:val="auto"/>
          <w:sz w:val="24"/>
          <w:szCs w:val="24"/>
          <w:highlight w:val="yellow"/>
        </w:rPr>
      </w:pPr>
      <w:r>
        <w:rPr>
          <w:rFonts w:hint="eastAsia" w:ascii="宋体" w:hAnsi="宋体" w:eastAsia="宋体" w:cs="宋体"/>
          <w:color w:val="auto"/>
          <w:sz w:val="24"/>
          <w:szCs w:val="24"/>
          <w:highlight w:val="none"/>
        </w:rPr>
        <w:t>项目编号：伊川工施招标(2024)0075号</w:t>
      </w:r>
    </w:p>
    <w:p>
      <w:pPr>
        <w:pStyle w:val="15"/>
        <w:pageBreakBefore w:val="0"/>
        <w:kinsoku/>
        <w:overflowPunct/>
        <w:bidi w:val="0"/>
        <w:spacing w:beforeAutospacing="0" w:afterAutospacing="0" w:line="360" w:lineRule="auto"/>
        <w:ind w:left="0" w:leftChars="0" w:right="0"/>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政府采购管理部门备案编号：</w:t>
      </w:r>
      <w:r>
        <w:rPr>
          <w:rFonts w:hint="eastAsia" w:ascii="宋体" w:hAnsi="宋体" w:eastAsia="宋体" w:cs="宋体"/>
          <w:color w:val="auto"/>
          <w:sz w:val="24"/>
          <w:szCs w:val="24"/>
          <w:highlight w:val="none"/>
          <w:lang w:val="en-US" w:eastAsia="zh-CN"/>
        </w:rPr>
        <w:t>伊川政采公开-2024-23</w:t>
      </w:r>
    </w:p>
    <w:p>
      <w:pPr>
        <w:pageBreakBefore w:val="0"/>
        <w:widowControl/>
        <w:kinsoku/>
        <w:overflowPunct/>
        <w:bidi w:val="0"/>
        <w:spacing w:beforeAutospacing="0" w:afterAutospacing="0" w:line="360" w:lineRule="auto"/>
        <w:ind w:left="0" w:leftChars="0" w:right="0"/>
        <w:jc w:val="center"/>
        <w:rPr>
          <w:rFonts w:hint="eastAsia" w:ascii="宋体" w:hAnsi="宋体" w:eastAsia="宋体" w:cs="宋体"/>
          <w:b/>
          <w:bCs/>
          <w:color w:val="auto"/>
          <w:spacing w:val="-15"/>
          <w:sz w:val="24"/>
          <w:szCs w:val="24"/>
          <w:highlight w:val="none"/>
        </w:rPr>
      </w:pPr>
      <w:r>
        <w:rPr>
          <w:rFonts w:hint="eastAsia" w:ascii="宋体" w:hAnsi="宋体" w:eastAsia="宋体" w:cs="宋体"/>
          <w:color w:val="auto"/>
          <w:highlight w:val="none"/>
        </w:rPr>
        <w:drawing>
          <wp:inline distT="0" distB="0" distL="114300" distR="114300">
            <wp:extent cx="2952750" cy="2390775"/>
            <wp:effectExtent l="0" t="0" r="0" b="9525"/>
            <wp:docPr id="1" name="图片 1" descr="ed3f68dbff839f9422ecabddf8f8e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d3f68dbff839f9422ecabddf8f8e3b"/>
                    <pic:cNvPicPr>
                      <a:picLocks noChangeAspect="1"/>
                    </pic:cNvPicPr>
                  </pic:nvPicPr>
                  <pic:blipFill>
                    <a:blip r:embed="rId54"/>
                    <a:srcRect l="21245" t="28522" r="16505" b="20874"/>
                    <a:stretch>
                      <a:fillRect/>
                    </a:stretch>
                  </pic:blipFill>
                  <pic:spPr>
                    <a:xfrm>
                      <a:off x="0" y="0"/>
                      <a:ext cx="2952750" cy="2390775"/>
                    </a:xfrm>
                    <a:prstGeom prst="rect">
                      <a:avLst/>
                    </a:prstGeom>
                    <a:noFill/>
                    <a:ln>
                      <a:noFill/>
                    </a:ln>
                  </pic:spPr>
                </pic:pic>
              </a:graphicData>
            </a:graphic>
          </wp:inline>
        </w:drawing>
      </w:r>
    </w:p>
    <w:p>
      <w:pPr>
        <w:pStyle w:val="18"/>
        <w:pageBreakBefore w:val="0"/>
        <w:kinsoku/>
        <w:overflowPunct/>
        <w:bidi w:val="0"/>
        <w:spacing w:beforeAutospacing="0" w:afterAutospacing="0" w:line="360" w:lineRule="auto"/>
        <w:ind w:left="0" w:leftChars="0" w:right="0"/>
        <w:rPr>
          <w:rFonts w:hint="eastAsia" w:ascii="宋体" w:hAnsi="宋体" w:eastAsia="宋体" w:cs="宋体"/>
          <w:b/>
          <w:bCs/>
          <w:color w:val="auto"/>
          <w:spacing w:val="-15"/>
          <w:sz w:val="24"/>
          <w:szCs w:val="24"/>
          <w:highlight w:val="none"/>
        </w:rPr>
      </w:pPr>
    </w:p>
    <w:p>
      <w:pPr>
        <w:pageBreakBefore w:val="0"/>
        <w:widowControl/>
        <w:kinsoku/>
        <w:overflowPunct/>
        <w:bidi w:val="0"/>
        <w:spacing w:beforeAutospacing="0" w:afterAutospacing="0" w:line="360" w:lineRule="auto"/>
        <w:ind w:left="0" w:leftChars="0" w:right="0"/>
        <w:jc w:val="center"/>
        <w:rPr>
          <w:rFonts w:hint="eastAsia" w:ascii="宋体" w:hAnsi="宋体" w:eastAsia="宋体" w:cs="宋体"/>
          <w:b/>
          <w:color w:val="auto"/>
          <w:sz w:val="28"/>
          <w:szCs w:val="28"/>
          <w:highlight w:val="none"/>
        </w:rPr>
      </w:pPr>
    </w:p>
    <w:p>
      <w:pPr>
        <w:pStyle w:val="3"/>
        <w:pageBreakBefore w:val="0"/>
        <w:numPr>
          <w:ilvl w:val="1"/>
          <w:numId w:val="0"/>
        </w:numPr>
        <w:kinsoku/>
        <w:overflowPunct/>
        <w:bidi w:val="0"/>
        <w:spacing w:beforeAutospacing="0" w:afterAutospacing="0" w:line="360" w:lineRule="auto"/>
        <w:ind w:left="0" w:leftChars="0" w:right="0"/>
        <w:rPr>
          <w:rFonts w:hint="eastAsia" w:ascii="宋体" w:hAnsi="宋体" w:eastAsia="宋体" w:cs="宋体"/>
          <w:color w:val="auto"/>
          <w:highlight w:val="none"/>
        </w:rPr>
      </w:pPr>
    </w:p>
    <w:p>
      <w:pPr>
        <w:pageBreakBefore w:val="0"/>
        <w:widowControl/>
        <w:kinsoku/>
        <w:overflowPunct/>
        <w:bidi w:val="0"/>
        <w:spacing w:beforeAutospacing="0" w:afterAutospacing="0" w:line="360" w:lineRule="auto"/>
        <w:ind w:left="0" w:leftChars="0" w:right="0"/>
        <w:jc w:val="center"/>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rPr>
        <w:t>招标人：</w:t>
      </w:r>
      <w:r>
        <w:rPr>
          <w:rFonts w:hint="eastAsia" w:ascii="宋体" w:hAnsi="宋体" w:eastAsia="宋体" w:cs="宋体"/>
          <w:b/>
          <w:color w:val="auto"/>
          <w:sz w:val="28"/>
          <w:szCs w:val="28"/>
          <w:highlight w:val="none"/>
          <w:lang w:eastAsia="zh-CN"/>
        </w:rPr>
        <w:t>伊川县交通事业发展中心</w:t>
      </w:r>
    </w:p>
    <w:p>
      <w:pPr>
        <w:pageBreakBefore w:val="0"/>
        <w:widowControl/>
        <w:kinsoku/>
        <w:overflowPunct/>
        <w:bidi w:val="0"/>
        <w:spacing w:beforeAutospacing="0" w:afterAutospacing="0" w:line="360" w:lineRule="auto"/>
        <w:ind w:left="0" w:leftChars="0" w:right="0"/>
        <w:jc w:val="center"/>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rPr>
        <w:t>招标代理机构：</w:t>
      </w:r>
      <w:r>
        <w:rPr>
          <w:rFonts w:hint="eastAsia" w:ascii="宋体" w:hAnsi="宋体" w:eastAsia="宋体" w:cs="宋体"/>
          <w:b/>
          <w:color w:val="auto"/>
          <w:sz w:val="28"/>
          <w:szCs w:val="28"/>
          <w:highlight w:val="none"/>
          <w:lang w:eastAsia="zh-CN"/>
        </w:rPr>
        <w:t>金泽工程管理服务有限公司</w:t>
      </w:r>
    </w:p>
    <w:p>
      <w:pPr>
        <w:pageBreakBefore w:val="0"/>
        <w:kinsoku/>
        <w:overflowPunct/>
        <w:bidi w:val="0"/>
        <w:spacing w:beforeAutospacing="0" w:afterAutospacing="0" w:line="360" w:lineRule="auto"/>
        <w:ind w:left="0" w:leftChars="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8"/>
          <w:szCs w:val="28"/>
          <w:highlight w:val="none"/>
        </w:rPr>
        <w:t>日期：二O</w:t>
      </w:r>
      <w:r>
        <w:rPr>
          <w:rFonts w:hint="eastAsia" w:ascii="宋体" w:hAnsi="宋体" w:eastAsia="宋体" w:cs="宋体"/>
          <w:b/>
          <w:color w:val="auto"/>
          <w:sz w:val="28"/>
          <w:szCs w:val="28"/>
          <w:highlight w:val="none"/>
          <w:lang w:val="en-US" w:eastAsia="zh-CN"/>
        </w:rPr>
        <w:t>二四</w:t>
      </w:r>
      <w:r>
        <w:rPr>
          <w:rFonts w:hint="eastAsia" w:ascii="宋体" w:hAnsi="宋体" w:eastAsia="宋体" w:cs="宋体"/>
          <w:b/>
          <w:color w:val="auto"/>
          <w:sz w:val="28"/>
          <w:szCs w:val="28"/>
          <w:highlight w:val="none"/>
        </w:rPr>
        <w:t>年</w:t>
      </w:r>
      <w:r>
        <w:rPr>
          <w:rFonts w:hint="eastAsia" w:ascii="宋体" w:hAnsi="宋体" w:eastAsia="宋体" w:cs="宋体"/>
          <w:b/>
          <w:color w:val="auto"/>
          <w:sz w:val="28"/>
          <w:szCs w:val="28"/>
          <w:highlight w:val="none"/>
          <w:lang w:val="en-US" w:eastAsia="zh-CN"/>
        </w:rPr>
        <w:t>四</w:t>
      </w:r>
      <w:r>
        <w:rPr>
          <w:rFonts w:hint="eastAsia" w:ascii="宋体" w:hAnsi="宋体" w:eastAsia="宋体" w:cs="宋体"/>
          <w:b/>
          <w:color w:val="auto"/>
          <w:sz w:val="28"/>
          <w:szCs w:val="28"/>
          <w:highlight w:val="none"/>
        </w:rPr>
        <w:t>月</w:t>
      </w:r>
    </w:p>
    <w:p>
      <w:pPr>
        <w:pStyle w:val="3"/>
        <w:pageBreakBefore w:val="0"/>
        <w:numPr>
          <w:ilvl w:val="1"/>
          <w:numId w:val="0"/>
        </w:numPr>
        <w:kinsoku/>
        <w:overflowPunct/>
        <w:bidi w:val="0"/>
        <w:spacing w:beforeAutospacing="0" w:afterAutospacing="0" w:line="360" w:lineRule="auto"/>
        <w:ind w:left="0" w:leftChars="0" w:right="0"/>
        <w:rPr>
          <w:rFonts w:hint="eastAsia" w:ascii="宋体" w:hAnsi="宋体" w:eastAsia="宋体" w:cs="宋体"/>
          <w:b/>
          <w:color w:val="auto"/>
          <w:sz w:val="24"/>
          <w:szCs w:val="24"/>
          <w:highlight w:val="none"/>
          <w:lang w:eastAsia="zh-CN"/>
        </w:rPr>
        <w:sectPr>
          <w:headerReference r:id="rId3" w:type="default"/>
          <w:headerReference r:id="rId4" w:type="even"/>
          <w:footerReference r:id="rId5" w:type="even"/>
          <w:footnotePr>
            <w:numFmt w:val="decimalEnclosedCircle"/>
          </w:footnotePr>
          <w:pgSz w:w="11906" w:h="16838"/>
          <w:pgMar w:top="1440" w:right="1028" w:bottom="1440" w:left="1218" w:header="851" w:footer="992" w:gutter="0"/>
          <w:pgNumType w:start="1"/>
          <w:cols w:space="720" w:num="1"/>
          <w:docGrid w:linePitch="312" w:charSpace="0"/>
        </w:sectPr>
      </w:pPr>
    </w:p>
    <w:p>
      <w:pPr>
        <w:pageBreakBefore w:val="0"/>
        <w:kinsoku/>
        <w:overflowPunct/>
        <w:bidi w:val="0"/>
        <w:spacing w:beforeAutospacing="0" w:afterAutospacing="0" w:line="360" w:lineRule="auto"/>
        <w:ind w:left="0" w:leftChars="0" w:right="0"/>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972810" cy="8133080"/>
            <wp:effectExtent l="0" t="0" r="0" b="0"/>
            <wp:docPr id="3" name="图片 3" descr="公平竞争自查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公平竞争自查表_00"/>
                    <pic:cNvPicPr>
                      <a:picLocks noChangeAspect="1"/>
                    </pic:cNvPicPr>
                  </pic:nvPicPr>
                  <pic:blipFill>
                    <a:blip r:embed="rId55"/>
                    <a:srcRect l="2649" t="7582" r="-1131" b="631"/>
                    <a:stretch>
                      <a:fillRect/>
                    </a:stretch>
                  </pic:blipFill>
                  <pic:spPr>
                    <a:xfrm>
                      <a:off x="0" y="0"/>
                      <a:ext cx="5972810" cy="8133080"/>
                    </a:xfrm>
                    <a:prstGeom prst="rect">
                      <a:avLst/>
                    </a:prstGeom>
                  </pic:spPr>
                </pic:pic>
              </a:graphicData>
            </a:graphic>
          </wp:inline>
        </w:drawing>
      </w:r>
    </w:p>
    <w:p>
      <w:pPr>
        <w:pageBreakBefore w:val="0"/>
        <w:kinsoku/>
        <w:overflowPunct/>
        <w:bidi w:val="0"/>
        <w:spacing w:beforeAutospacing="0" w:afterAutospacing="0" w:line="360" w:lineRule="auto"/>
        <w:ind w:left="0" w:leftChars="0" w:right="0" w:right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drawing>
          <wp:inline distT="0" distB="0" distL="114300" distR="114300">
            <wp:extent cx="6132195" cy="8540750"/>
            <wp:effectExtent l="0" t="0" r="1905" b="12700"/>
            <wp:docPr id="5" name="图片 5" descr="公平竞争自查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公平竞争自查表_01"/>
                    <pic:cNvPicPr>
                      <a:picLocks noChangeAspect="1"/>
                    </pic:cNvPicPr>
                  </pic:nvPicPr>
                  <pic:blipFill>
                    <a:blip r:embed="rId56"/>
                    <a:stretch>
                      <a:fillRect/>
                    </a:stretch>
                  </pic:blipFill>
                  <pic:spPr>
                    <a:xfrm>
                      <a:off x="0" y="0"/>
                      <a:ext cx="6132195" cy="8540750"/>
                    </a:xfrm>
                    <a:prstGeom prst="rect">
                      <a:avLst/>
                    </a:prstGeom>
                  </pic:spPr>
                </pic:pic>
              </a:graphicData>
            </a:graphic>
          </wp:inline>
        </w:drawing>
      </w:r>
    </w:p>
    <w:p>
      <w:pPr>
        <w:pageBreakBefore w:val="0"/>
        <w:kinsoku/>
        <w:overflowPunct/>
        <w:bidi w:val="0"/>
        <w:spacing w:beforeAutospacing="0" w:afterAutospacing="0" w:line="360" w:lineRule="auto"/>
        <w:ind w:left="0" w:leftChars="0" w:right="0" w:rightChars="0"/>
        <w:jc w:val="center"/>
        <w:rPr>
          <w:rFonts w:hint="eastAsia" w:ascii="宋体" w:hAnsi="宋体" w:eastAsia="宋体" w:cs="宋体"/>
          <w:b/>
          <w:color w:val="auto"/>
          <w:sz w:val="24"/>
          <w:szCs w:val="24"/>
          <w:highlight w:val="none"/>
        </w:rPr>
      </w:pPr>
    </w:p>
    <w:p>
      <w:pPr>
        <w:pageBreakBefore w:val="0"/>
        <w:kinsoku/>
        <w:overflowPunct/>
        <w:bidi w:val="0"/>
        <w:spacing w:beforeAutospacing="0" w:afterAutospacing="0" w:line="360" w:lineRule="auto"/>
        <w:ind w:left="0" w:leftChars="0" w:right="0" w:rightChars="0"/>
        <w:jc w:val="center"/>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40"/>
          <w:szCs w:val="40"/>
          <w:highlight w:val="none"/>
        </w:rPr>
        <w:t>总</w:t>
      </w:r>
      <w:r>
        <w:rPr>
          <w:rFonts w:hint="eastAsia" w:ascii="宋体" w:hAnsi="宋体" w:cs="宋体"/>
          <w:b/>
          <w:bCs w:val="0"/>
          <w:color w:val="auto"/>
          <w:sz w:val="40"/>
          <w:szCs w:val="40"/>
          <w:highlight w:val="none"/>
          <w:lang w:val="en-US" w:eastAsia="zh-CN"/>
        </w:rPr>
        <w:t xml:space="preserve"> </w:t>
      </w:r>
      <w:r>
        <w:rPr>
          <w:rFonts w:hint="eastAsia" w:ascii="宋体" w:hAnsi="宋体" w:eastAsia="宋体" w:cs="宋体"/>
          <w:b/>
          <w:bCs w:val="0"/>
          <w:color w:val="auto"/>
          <w:sz w:val="40"/>
          <w:szCs w:val="40"/>
          <w:highlight w:val="none"/>
        </w:rPr>
        <w:t>目</w:t>
      </w:r>
      <w:r>
        <w:rPr>
          <w:rFonts w:hint="eastAsia" w:ascii="宋体" w:hAnsi="宋体" w:cs="宋体"/>
          <w:b/>
          <w:bCs w:val="0"/>
          <w:color w:val="auto"/>
          <w:sz w:val="40"/>
          <w:szCs w:val="40"/>
          <w:highlight w:val="none"/>
          <w:lang w:val="en-US" w:eastAsia="zh-CN"/>
        </w:rPr>
        <w:t xml:space="preserve"> </w:t>
      </w:r>
      <w:r>
        <w:rPr>
          <w:rFonts w:hint="eastAsia" w:ascii="宋体" w:hAnsi="宋体" w:eastAsia="宋体" w:cs="宋体"/>
          <w:b/>
          <w:bCs w:val="0"/>
          <w:color w:val="auto"/>
          <w:sz w:val="40"/>
          <w:szCs w:val="40"/>
          <w:highlight w:val="none"/>
        </w:rPr>
        <w:t>录</w:t>
      </w:r>
    </w:p>
    <w:p>
      <w:pPr>
        <w:pStyle w:val="13"/>
        <w:keepNext w:val="0"/>
        <w:keepLines w:val="0"/>
        <w:pageBreakBefore w:val="0"/>
        <w:widowControl w:val="0"/>
        <w:tabs>
          <w:tab w:val="right" w:leader="dot" w:pos="9660"/>
        </w:tabs>
        <w:kinsoku/>
        <w:wordWrap/>
        <w:overflowPunct/>
        <w:topLinePunct w:val="0"/>
        <w:autoSpaceDE/>
        <w:autoSpaceDN/>
        <w:bidi w:val="0"/>
        <w:adjustRightInd/>
        <w:snapToGrid/>
        <w:spacing w:line="360" w:lineRule="auto"/>
        <w:textAlignment w:val="auto"/>
        <w:rPr>
          <w:rFonts w:hint="eastAsia" w:ascii="宋体" w:hAnsi="宋体" w:eastAsia="宋体" w:cs="宋体"/>
          <w:sz w:val="32"/>
          <w:szCs w:val="32"/>
        </w:rPr>
      </w:pPr>
      <w:bookmarkStart w:id="0" w:name="_Toc17869"/>
      <w:bookmarkStart w:id="1" w:name="_Toc32022"/>
      <w:bookmarkStart w:id="2" w:name="_Toc490748528"/>
      <w:bookmarkStart w:id="3" w:name="_Toc4890"/>
      <w:bookmarkStart w:id="4" w:name="_Toc27325"/>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TOC \o "1-2" \h \u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32"/>
          <w:szCs w:val="32"/>
          <w:highlight w:val="none"/>
        </w:rPr>
        <w:fldChar w:fldCharType="begin"/>
      </w:r>
      <w:r>
        <w:rPr>
          <w:rFonts w:hint="eastAsia" w:ascii="宋体" w:hAnsi="宋体" w:eastAsia="宋体" w:cs="宋体"/>
          <w:sz w:val="32"/>
          <w:szCs w:val="32"/>
          <w:highlight w:val="none"/>
        </w:rPr>
        <w:instrText xml:space="preserve"> HYPERLINK \l _Toc7574 </w:instrText>
      </w:r>
      <w:r>
        <w:rPr>
          <w:rFonts w:hint="eastAsia" w:ascii="宋体" w:hAnsi="宋体" w:eastAsia="宋体" w:cs="宋体"/>
          <w:sz w:val="32"/>
          <w:szCs w:val="32"/>
          <w:highlight w:val="none"/>
        </w:rPr>
        <w:fldChar w:fldCharType="separate"/>
      </w:r>
      <w:r>
        <w:rPr>
          <w:rFonts w:hint="eastAsia" w:ascii="宋体" w:hAnsi="宋体" w:eastAsia="宋体" w:cs="宋体"/>
          <w:snapToGrid w:val="0"/>
          <w:spacing w:val="-23"/>
          <w:kern w:val="0"/>
          <w:sz w:val="32"/>
          <w:szCs w:val="32"/>
          <w:lang w:eastAsia="en-US"/>
          <w14:textOutline w14:w="13063" w14:cap="flat" w14:cmpd="sng">
            <w14:solidFill>
              <w14:srgbClr w14:val="000000"/>
            </w14:solidFill>
            <w14:prstDash w14:val="solid"/>
            <w14:miter w14:val="0"/>
          </w14:textOutline>
        </w:rPr>
        <w:t>第一卷</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_Toc7574 \h </w:instrText>
      </w:r>
      <w:r>
        <w:rPr>
          <w:rFonts w:hint="eastAsia" w:ascii="宋体" w:hAnsi="宋体" w:eastAsia="宋体" w:cs="宋体"/>
          <w:sz w:val="32"/>
          <w:szCs w:val="32"/>
        </w:rPr>
        <w:fldChar w:fldCharType="separate"/>
      </w:r>
      <w:r>
        <w:rPr>
          <w:rFonts w:hint="eastAsia" w:ascii="宋体" w:hAnsi="宋体" w:eastAsia="宋体" w:cs="宋体"/>
          <w:sz w:val="32"/>
          <w:szCs w:val="32"/>
        </w:rPr>
        <w:t>1</w:t>
      </w:r>
      <w:r>
        <w:rPr>
          <w:rFonts w:hint="eastAsia" w:ascii="宋体" w:hAnsi="宋体" w:eastAsia="宋体" w:cs="宋体"/>
          <w:sz w:val="32"/>
          <w:szCs w:val="32"/>
        </w:rPr>
        <w:fldChar w:fldCharType="end"/>
      </w:r>
      <w:r>
        <w:rPr>
          <w:rFonts w:hint="eastAsia" w:ascii="宋体" w:hAnsi="宋体" w:eastAsia="宋体" w:cs="宋体"/>
          <w:color w:val="auto"/>
          <w:sz w:val="32"/>
          <w:szCs w:val="32"/>
          <w:highlight w:val="none"/>
        </w:rPr>
        <w:fldChar w:fldCharType="end"/>
      </w:r>
    </w:p>
    <w:p>
      <w:pPr>
        <w:pStyle w:val="13"/>
        <w:keepNext w:val="0"/>
        <w:keepLines w:val="0"/>
        <w:pageBreakBefore w:val="0"/>
        <w:widowControl w:val="0"/>
        <w:tabs>
          <w:tab w:val="right" w:leader="dot" w:pos="9660"/>
        </w:tabs>
        <w:kinsoku/>
        <w:wordWrap/>
        <w:overflowPunct/>
        <w:topLinePunct w:val="0"/>
        <w:autoSpaceDE/>
        <w:autoSpaceDN/>
        <w:bidi w:val="0"/>
        <w:adjustRightInd/>
        <w:snapToGrid/>
        <w:spacing w:line="360" w:lineRule="auto"/>
        <w:textAlignment w:val="auto"/>
        <w:rPr>
          <w:rFonts w:hint="eastAsia" w:ascii="宋体" w:hAnsi="宋体" w:eastAsia="宋体" w:cs="宋体"/>
          <w:sz w:val="32"/>
          <w:szCs w:val="32"/>
        </w:rPr>
      </w:pPr>
      <w:r>
        <w:rPr>
          <w:rFonts w:hint="eastAsia" w:ascii="宋体" w:hAnsi="宋体" w:eastAsia="宋体" w:cs="宋体"/>
          <w:color w:val="auto"/>
          <w:sz w:val="32"/>
          <w:szCs w:val="32"/>
          <w:highlight w:val="none"/>
        </w:rPr>
        <w:fldChar w:fldCharType="begin"/>
      </w:r>
      <w:r>
        <w:rPr>
          <w:rFonts w:hint="eastAsia" w:ascii="宋体" w:hAnsi="宋体" w:eastAsia="宋体" w:cs="宋体"/>
          <w:sz w:val="32"/>
          <w:szCs w:val="32"/>
          <w:highlight w:val="none"/>
        </w:rPr>
        <w:instrText xml:space="preserve"> HYPERLINK \l _Toc8166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第一章、招标公告</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_Toc8166 \h </w:instrText>
      </w:r>
      <w:r>
        <w:rPr>
          <w:rFonts w:hint="eastAsia" w:ascii="宋体" w:hAnsi="宋体" w:eastAsia="宋体" w:cs="宋体"/>
          <w:sz w:val="32"/>
          <w:szCs w:val="32"/>
        </w:rPr>
        <w:fldChar w:fldCharType="separate"/>
      </w:r>
      <w:r>
        <w:rPr>
          <w:rFonts w:hint="eastAsia" w:ascii="宋体" w:hAnsi="宋体" w:eastAsia="宋体" w:cs="宋体"/>
          <w:sz w:val="32"/>
          <w:szCs w:val="32"/>
        </w:rPr>
        <w:t>2</w:t>
      </w:r>
      <w:r>
        <w:rPr>
          <w:rFonts w:hint="eastAsia" w:ascii="宋体" w:hAnsi="宋体" w:eastAsia="宋体" w:cs="宋体"/>
          <w:sz w:val="32"/>
          <w:szCs w:val="32"/>
        </w:rPr>
        <w:fldChar w:fldCharType="end"/>
      </w:r>
      <w:r>
        <w:rPr>
          <w:rFonts w:hint="eastAsia" w:ascii="宋体" w:hAnsi="宋体" w:eastAsia="宋体" w:cs="宋体"/>
          <w:color w:val="auto"/>
          <w:sz w:val="32"/>
          <w:szCs w:val="32"/>
          <w:highlight w:val="none"/>
        </w:rPr>
        <w:fldChar w:fldCharType="end"/>
      </w:r>
    </w:p>
    <w:p>
      <w:pPr>
        <w:pStyle w:val="13"/>
        <w:keepNext w:val="0"/>
        <w:keepLines w:val="0"/>
        <w:pageBreakBefore w:val="0"/>
        <w:widowControl w:val="0"/>
        <w:tabs>
          <w:tab w:val="right" w:leader="dot" w:pos="9660"/>
        </w:tabs>
        <w:kinsoku/>
        <w:wordWrap/>
        <w:overflowPunct/>
        <w:topLinePunct w:val="0"/>
        <w:autoSpaceDE/>
        <w:autoSpaceDN/>
        <w:bidi w:val="0"/>
        <w:adjustRightInd/>
        <w:snapToGrid/>
        <w:spacing w:line="360" w:lineRule="auto"/>
        <w:textAlignment w:val="auto"/>
        <w:rPr>
          <w:rFonts w:hint="eastAsia" w:ascii="宋体" w:hAnsi="宋体" w:eastAsia="宋体" w:cs="宋体"/>
          <w:sz w:val="32"/>
          <w:szCs w:val="32"/>
        </w:rPr>
      </w:pPr>
      <w:r>
        <w:rPr>
          <w:rFonts w:hint="eastAsia" w:ascii="宋体" w:hAnsi="宋体" w:eastAsia="宋体" w:cs="宋体"/>
          <w:color w:val="auto"/>
          <w:sz w:val="32"/>
          <w:szCs w:val="32"/>
          <w:highlight w:val="none"/>
        </w:rPr>
        <w:fldChar w:fldCharType="begin"/>
      </w:r>
      <w:r>
        <w:rPr>
          <w:rFonts w:hint="eastAsia" w:ascii="宋体" w:hAnsi="宋体" w:eastAsia="宋体" w:cs="宋体"/>
          <w:sz w:val="32"/>
          <w:szCs w:val="32"/>
          <w:highlight w:val="none"/>
        </w:rPr>
        <w:instrText xml:space="preserve"> HYPERLINK \l _Toc29936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lang w:val="en-US" w:eastAsia="zh-CN"/>
        </w:rPr>
        <w:t>第二章、</w:t>
      </w:r>
      <w:r>
        <w:rPr>
          <w:rFonts w:hint="eastAsia" w:ascii="宋体" w:hAnsi="宋体" w:eastAsia="宋体" w:cs="宋体"/>
          <w:sz w:val="32"/>
          <w:szCs w:val="32"/>
          <w:highlight w:val="none"/>
        </w:rPr>
        <w:t>投标人须知</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_Toc29936 \h </w:instrText>
      </w:r>
      <w:r>
        <w:rPr>
          <w:rFonts w:hint="eastAsia" w:ascii="宋体" w:hAnsi="宋体" w:eastAsia="宋体" w:cs="宋体"/>
          <w:sz w:val="32"/>
          <w:szCs w:val="32"/>
        </w:rPr>
        <w:fldChar w:fldCharType="separate"/>
      </w:r>
      <w:r>
        <w:rPr>
          <w:rFonts w:hint="eastAsia" w:ascii="宋体" w:hAnsi="宋体" w:eastAsia="宋体" w:cs="宋体"/>
          <w:sz w:val="32"/>
          <w:szCs w:val="32"/>
        </w:rPr>
        <w:t>7</w:t>
      </w:r>
      <w:r>
        <w:rPr>
          <w:rFonts w:hint="eastAsia" w:ascii="宋体" w:hAnsi="宋体" w:eastAsia="宋体" w:cs="宋体"/>
          <w:sz w:val="32"/>
          <w:szCs w:val="32"/>
        </w:rPr>
        <w:fldChar w:fldCharType="end"/>
      </w:r>
      <w:r>
        <w:rPr>
          <w:rFonts w:hint="eastAsia" w:ascii="宋体" w:hAnsi="宋体" w:eastAsia="宋体" w:cs="宋体"/>
          <w:color w:val="auto"/>
          <w:sz w:val="32"/>
          <w:szCs w:val="32"/>
          <w:highlight w:val="none"/>
        </w:rPr>
        <w:fldChar w:fldCharType="end"/>
      </w:r>
    </w:p>
    <w:p>
      <w:pPr>
        <w:pStyle w:val="13"/>
        <w:keepNext w:val="0"/>
        <w:keepLines w:val="0"/>
        <w:pageBreakBefore w:val="0"/>
        <w:widowControl w:val="0"/>
        <w:tabs>
          <w:tab w:val="right" w:leader="dot" w:pos="9660"/>
        </w:tabs>
        <w:kinsoku/>
        <w:wordWrap/>
        <w:overflowPunct/>
        <w:topLinePunct w:val="0"/>
        <w:autoSpaceDE/>
        <w:autoSpaceDN/>
        <w:bidi w:val="0"/>
        <w:adjustRightInd/>
        <w:snapToGrid/>
        <w:spacing w:line="360" w:lineRule="auto"/>
        <w:textAlignment w:val="auto"/>
        <w:rPr>
          <w:rFonts w:hint="eastAsia" w:ascii="宋体" w:hAnsi="宋体" w:eastAsia="宋体" w:cs="宋体"/>
          <w:sz w:val="32"/>
          <w:szCs w:val="32"/>
        </w:rPr>
      </w:pPr>
      <w:r>
        <w:rPr>
          <w:rFonts w:hint="eastAsia" w:ascii="宋体" w:hAnsi="宋体" w:eastAsia="宋体" w:cs="宋体"/>
          <w:color w:val="auto"/>
          <w:sz w:val="32"/>
          <w:szCs w:val="32"/>
          <w:highlight w:val="none"/>
        </w:rPr>
        <w:fldChar w:fldCharType="begin"/>
      </w:r>
      <w:r>
        <w:rPr>
          <w:rFonts w:hint="eastAsia" w:ascii="宋体" w:hAnsi="宋体" w:eastAsia="宋体" w:cs="宋体"/>
          <w:sz w:val="32"/>
          <w:szCs w:val="32"/>
          <w:highlight w:val="none"/>
        </w:rPr>
        <w:instrText xml:space="preserve"> HYPERLINK \l _Toc18714 </w:instrText>
      </w:r>
      <w:r>
        <w:rPr>
          <w:rFonts w:hint="eastAsia" w:ascii="宋体" w:hAnsi="宋体" w:eastAsia="宋体" w:cs="宋体"/>
          <w:sz w:val="32"/>
          <w:szCs w:val="32"/>
          <w:highlight w:val="none"/>
        </w:rPr>
        <w:fldChar w:fldCharType="separate"/>
      </w:r>
      <w:r>
        <w:rPr>
          <w:rFonts w:hint="eastAsia" w:ascii="宋体" w:hAnsi="宋体" w:eastAsia="宋体" w:cs="宋体"/>
          <w:bCs w:val="0"/>
          <w:sz w:val="32"/>
          <w:szCs w:val="32"/>
          <w:highlight w:val="none"/>
        </w:rPr>
        <w:t>第三章</w:t>
      </w:r>
      <w:r>
        <w:rPr>
          <w:rFonts w:hint="eastAsia" w:ascii="宋体" w:hAnsi="宋体" w:eastAsia="宋体" w:cs="宋体"/>
          <w:bCs w:val="0"/>
          <w:sz w:val="32"/>
          <w:szCs w:val="32"/>
          <w:highlight w:val="none"/>
          <w:lang w:val="en-US" w:eastAsia="zh-CN"/>
        </w:rPr>
        <w:t>、</w:t>
      </w:r>
      <w:r>
        <w:rPr>
          <w:rFonts w:hint="eastAsia" w:ascii="宋体" w:hAnsi="宋体" w:eastAsia="宋体" w:cs="宋体"/>
          <w:bCs w:val="0"/>
          <w:sz w:val="32"/>
          <w:szCs w:val="32"/>
          <w:highlight w:val="none"/>
        </w:rPr>
        <w:t>评标办法（技术评分最低标价法)</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_Toc18714 \h </w:instrText>
      </w:r>
      <w:r>
        <w:rPr>
          <w:rFonts w:hint="eastAsia" w:ascii="宋体" w:hAnsi="宋体" w:eastAsia="宋体" w:cs="宋体"/>
          <w:sz w:val="32"/>
          <w:szCs w:val="32"/>
        </w:rPr>
        <w:fldChar w:fldCharType="separate"/>
      </w:r>
      <w:r>
        <w:rPr>
          <w:rFonts w:hint="eastAsia" w:ascii="宋体" w:hAnsi="宋体" w:eastAsia="宋体" w:cs="宋体"/>
          <w:sz w:val="32"/>
          <w:szCs w:val="32"/>
        </w:rPr>
        <w:t>48</w:t>
      </w:r>
      <w:r>
        <w:rPr>
          <w:rFonts w:hint="eastAsia" w:ascii="宋体" w:hAnsi="宋体" w:eastAsia="宋体" w:cs="宋体"/>
          <w:sz w:val="32"/>
          <w:szCs w:val="32"/>
        </w:rPr>
        <w:fldChar w:fldCharType="end"/>
      </w:r>
      <w:r>
        <w:rPr>
          <w:rFonts w:hint="eastAsia" w:ascii="宋体" w:hAnsi="宋体" w:eastAsia="宋体" w:cs="宋体"/>
          <w:color w:val="auto"/>
          <w:sz w:val="32"/>
          <w:szCs w:val="32"/>
          <w:highlight w:val="none"/>
        </w:rPr>
        <w:fldChar w:fldCharType="end"/>
      </w:r>
    </w:p>
    <w:p>
      <w:pPr>
        <w:pStyle w:val="13"/>
        <w:keepNext w:val="0"/>
        <w:keepLines w:val="0"/>
        <w:pageBreakBefore w:val="0"/>
        <w:widowControl w:val="0"/>
        <w:tabs>
          <w:tab w:val="right" w:leader="dot" w:pos="9660"/>
        </w:tabs>
        <w:kinsoku/>
        <w:wordWrap/>
        <w:overflowPunct/>
        <w:topLinePunct w:val="0"/>
        <w:autoSpaceDE/>
        <w:autoSpaceDN/>
        <w:bidi w:val="0"/>
        <w:adjustRightInd/>
        <w:snapToGrid/>
        <w:spacing w:line="360" w:lineRule="auto"/>
        <w:textAlignment w:val="auto"/>
        <w:rPr>
          <w:rFonts w:hint="eastAsia" w:ascii="宋体" w:hAnsi="宋体" w:eastAsia="宋体" w:cs="宋体"/>
          <w:sz w:val="32"/>
          <w:szCs w:val="32"/>
        </w:rPr>
      </w:pPr>
      <w:r>
        <w:rPr>
          <w:rFonts w:hint="eastAsia" w:ascii="宋体" w:hAnsi="宋体" w:eastAsia="宋体" w:cs="宋体"/>
          <w:color w:val="auto"/>
          <w:sz w:val="32"/>
          <w:szCs w:val="32"/>
          <w:highlight w:val="none"/>
        </w:rPr>
        <w:fldChar w:fldCharType="begin"/>
      </w:r>
      <w:r>
        <w:rPr>
          <w:rFonts w:hint="eastAsia" w:ascii="宋体" w:hAnsi="宋体" w:eastAsia="宋体" w:cs="宋体"/>
          <w:sz w:val="32"/>
          <w:szCs w:val="32"/>
          <w:highlight w:val="none"/>
        </w:rPr>
        <w:instrText xml:space="preserve"> HYPERLINK \l _Toc25697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第四章、合同条款及格式</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_Toc25697 \h </w:instrText>
      </w:r>
      <w:r>
        <w:rPr>
          <w:rFonts w:hint="eastAsia" w:ascii="宋体" w:hAnsi="宋体" w:eastAsia="宋体" w:cs="宋体"/>
          <w:sz w:val="32"/>
          <w:szCs w:val="32"/>
        </w:rPr>
        <w:fldChar w:fldCharType="separate"/>
      </w:r>
      <w:r>
        <w:rPr>
          <w:rFonts w:hint="eastAsia" w:ascii="宋体" w:hAnsi="宋体" w:eastAsia="宋体" w:cs="宋体"/>
          <w:sz w:val="32"/>
          <w:szCs w:val="32"/>
        </w:rPr>
        <w:t>62</w:t>
      </w:r>
      <w:r>
        <w:rPr>
          <w:rFonts w:hint="eastAsia" w:ascii="宋体" w:hAnsi="宋体" w:eastAsia="宋体" w:cs="宋体"/>
          <w:sz w:val="32"/>
          <w:szCs w:val="32"/>
        </w:rPr>
        <w:fldChar w:fldCharType="end"/>
      </w:r>
      <w:r>
        <w:rPr>
          <w:rFonts w:hint="eastAsia" w:ascii="宋体" w:hAnsi="宋体" w:eastAsia="宋体" w:cs="宋体"/>
          <w:color w:val="auto"/>
          <w:sz w:val="32"/>
          <w:szCs w:val="32"/>
          <w:highlight w:val="none"/>
        </w:rPr>
        <w:fldChar w:fldCharType="end"/>
      </w:r>
    </w:p>
    <w:p>
      <w:pPr>
        <w:pStyle w:val="13"/>
        <w:keepNext w:val="0"/>
        <w:keepLines w:val="0"/>
        <w:pageBreakBefore w:val="0"/>
        <w:widowControl w:val="0"/>
        <w:tabs>
          <w:tab w:val="right" w:leader="dot" w:pos="9660"/>
        </w:tabs>
        <w:kinsoku/>
        <w:wordWrap/>
        <w:overflowPunct/>
        <w:topLinePunct w:val="0"/>
        <w:autoSpaceDE/>
        <w:autoSpaceDN/>
        <w:bidi w:val="0"/>
        <w:adjustRightInd/>
        <w:snapToGrid/>
        <w:spacing w:line="360" w:lineRule="auto"/>
        <w:textAlignment w:val="auto"/>
        <w:rPr>
          <w:rFonts w:hint="eastAsia" w:ascii="宋体" w:hAnsi="宋体" w:eastAsia="宋体" w:cs="宋体"/>
          <w:sz w:val="32"/>
          <w:szCs w:val="32"/>
        </w:rPr>
      </w:pPr>
      <w:r>
        <w:rPr>
          <w:rFonts w:hint="eastAsia" w:ascii="宋体" w:hAnsi="宋体" w:eastAsia="宋体" w:cs="宋体"/>
          <w:color w:val="auto"/>
          <w:sz w:val="32"/>
          <w:szCs w:val="32"/>
          <w:highlight w:val="none"/>
        </w:rPr>
        <w:fldChar w:fldCharType="begin"/>
      </w:r>
      <w:r>
        <w:rPr>
          <w:rFonts w:hint="eastAsia" w:ascii="宋体" w:hAnsi="宋体" w:eastAsia="宋体" w:cs="宋体"/>
          <w:sz w:val="32"/>
          <w:szCs w:val="32"/>
          <w:highlight w:val="none"/>
        </w:rPr>
        <w:instrText xml:space="preserve"> HYPERLINK \l _Toc10761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第五章、工程量清单</w:t>
      </w:r>
      <w:r>
        <w:rPr>
          <w:rFonts w:hint="eastAsia" w:ascii="宋体" w:hAnsi="宋体" w:eastAsia="宋体" w:cs="宋体"/>
          <w:sz w:val="32"/>
          <w:szCs w:val="32"/>
          <w:highlight w:val="none"/>
          <w:lang w:eastAsia="zh-CN"/>
        </w:rPr>
        <w:t>（</w:t>
      </w:r>
      <w:r>
        <w:rPr>
          <w:rFonts w:hint="eastAsia" w:ascii="宋体" w:hAnsi="宋体" w:eastAsia="宋体" w:cs="宋体"/>
          <w:sz w:val="32"/>
          <w:szCs w:val="32"/>
          <w:highlight w:val="none"/>
          <w:lang w:val="en-US" w:eastAsia="zh-CN"/>
        </w:rPr>
        <w:t>另附）</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_Toc10761 \h </w:instrText>
      </w:r>
      <w:r>
        <w:rPr>
          <w:rFonts w:hint="eastAsia" w:ascii="宋体" w:hAnsi="宋体" w:eastAsia="宋体" w:cs="宋体"/>
          <w:sz w:val="32"/>
          <w:szCs w:val="32"/>
        </w:rPr>
        <w:fldChar w:fldCharType="separate"/>
      </w:r>
      <w:r>
        <w:rPr>
          <w:rFonts w:hint="eastAsia" w:ascii="宋体" w:hAnsi="宋体" w:eastAsia="宋体" w:cs="宋体"/>
          <w:sz w:val="32"/>
          <w:szCs w:val="32"/>
        </w:rPr>
        <w:t>112</w:t>
      </w:r>
      <w:r>
        <w:rPr>
          <w:rFonts w:hint="eastAsia" w:ascii="宋体" w:hAnsi="宋体" w:eastAsia="宋体" w:cs="宋体"/>
          <w:sz w:val="32"/>
          <w:szCs w:val="32"/>
        </w:rPr>
        <w:fldChar w:fldCharType="end"/>
      </w:r>
      <w:r>
        <w:rPr>
          <w:rFonts w:hint="eastAsia" w:ascii="宋体" w:hAnsi="宋体" w:eastAsia="宋体" w:cs="宋体"/>
          <w:color w:val="auto"/>
          <w:sz w:val="32"/>
          <w:szCs w:val="32"/>
          <w:highlight w:val="none"/>
        </w:rPr>
        <w:fldChar w:fldCharType="end"/>
      </w:r>
    </w:p>
    <w:p>
      <w:pPr>
        <w:pStyle w:val="13"/>
        <w:keepNext w:val="0"/>
        <w:keepLines w:val="0"/>
        <w:pageBreakBefore w:val="0"/>
        <w:widowControl w:val="0"/>
        <w:tabs>
          <w:tab w:val="right" w:leader="dot" w:pos="9660"/>
        </w:tabs>
        <w:kinsoku/>
        <w:wordWrap/>
        <w:overflowPunct/>
        <w:topLinePunct w:val="0"/>
        <w:autoSpaceDE/>
        <w:autoSpaceDN/>
        <w:bidi w:val="0"/>
        <w:adjustRightInd/>
        <w:snapToGrid/>
        <w:spacing w:line="360" w:lineRule="auto"/>
        <w:textAlignment w:val="auto"/>
        <w:rPr>
          <w:rFonts w:hint="eastAsia" w:ascii="宋体" w:hAnsi="宋体" w:eastAsia="宋体" w:cs="宋体"/>
          <w:sz w:val="32"/>
          <w:szCs w:val="32"/>
        </w:rPr>
      </w:pPr>
      <w:r>
        <w:rPr>
          <w:rFonts w:hint="eastAsia" w:ascii="宋体" w:hAnsi="宋体" w:eastAsia="宋体" w:cs="宋体"/>
          <w:color w:val="auto"/>
          <w:sz w:val="32"/>
          <w:szCs w:val="32"/>
          <w:highlight w:val="none"/>
        </w:rPr>
        <w:fldChar w:fldCharType="begin"/>
      </w:r>
      <w:r>
        <w:rPr>
          <w:rFonts w:hint="eastAsia" w:ascii="宋体" w:hAnsi="宋体" w:eastAsia="宋体" w:cs="宋体"/>
          <w:sz w:val="32"/>
          <w:szCs w:val="32"/>
          <w:highlight w:val="none"/>
        </w:rPr>
        <w:instrText xml:space="preserve"> HYPERLINK \l _Toc22127 </w:instrText>
      </w:r>
      <w:r>
        <w:rPr>
          <w:rFonts w:hint="eastAsia" w:ascii="宋体" w:hAnsi="宋体" w:eastAsia="宋体" w:cs="宋体"/>
          <w:sz w:val="32"/>
          <w:szCs w:val="32"/>
          <w:highlight w:val="none"/>
        </w:rPr>
        <w:fldChar w:fldCharType="separate"/>
      </w:r>
      <w:r>
        <w:rPr>
          <w:rFonts w:hint="eastAsia" w:ascii="宋体" w:hAnsi="宋体" w:eastAsia="宋体" w:cs="宋体"/>
          <w:snapToGrid w:val="0"/>
          <w:spacing w:val="-23"/>
          <w:kern w:val="0"/>
          <w:sz w:val="32"/>
          <w:szCs w:val="32"/>
          <w:lang w:eastAsia="en-US"/>
          <w14:textOutline w14:w="13063" w14:cap="flat" w14:cmpd="sng">
            <w14:solidFill>
              <w14:srgbClr w14:val="000000"/>
            </w14:solidFill>
            <w14:prstDash w14:val="solid"/>
            <w14:miter w14:val="0"/>
          </w14:textOutline>
        </w:rPr>
        <w:t>第二卷</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_Toc22127 \h </w:instrText>
      </w:r>
      <w:r>
        <w:rPr>
          <w:rFonts w:hint="eastAsia" w:ascii="宋体" w:hAnsi="宋体" w:eastAsia="宋体" w:cs="宋体"/>
          <w:sz w:val="32"/>
          <w:szCs w:val="32"/>
        </w:rPr>
        <w:fldChar w:fldCharType="separate"/>
      </w:r>
      <w:r>
        <w:rPr>
          <w:rFonts w:hint="eastAsia" w:ascii="宋体" w:hAnsi="宋体" w:eastAsia="宋体" w:cs="宋体"/>
          <w:sz w:val="32"/>
          <w:szCs w:val="32"/>
        </w:rPr>
        <w:t>115</w:t>
      </w:r>
      <w:r>
        <w:rPr>
          <w:rFonts w:hint="eastAsia" w:ascii="宋体" w:hAnsi="宋体" w:eastAsia="宋体" w:cs="宋体"/>
          <w:sz w:val="32"/>
          <w:szCs w:val="32"/>
        </w:rPr>
        <w:fldChar w:fldCharType="end"/>
      </w:r>
      <w:r>
        <w:rPr>
          <w:rFonts w:hint="eastAsia" w:ascii="宋体" w:hAnsi="宋体" w:eastAsia="宋体" w:cs="宋体"/>
          <w:color w:val="auto"/>
          <w:sz w:val="32"/>
          <w:szCs w:val="32"/>
          <w:highlight w:val="none"/>
        </w:rPr>
        <w:fldChar w:fldCharType="end"/>
      </w:r>
    </w:p>
    <w:p>
      <w:pPr>
        <w:pStyle w:val="13"/>
        <w:keepNext w:val="0"/>
        <w:keepLines w:val="0"/>
        <w:pageBreakBefore w:val="0"/>
        <w:widowControl w:val="0"/>
        <w:tabs>
          <w:tab w:val="right" w:leader="dot" w:pos="9660"/>
        </w:tabs>
        <w:kinsoku/>
        <w:wordWrap/>
        <w:overflowPunct/>
        <w:topLinePunct w:val="0"/>
        <w:autoSpaceDE/>
        <w:autoSpaceDN/>
        <w:bidi w:val="0"/>
        <w:adjustRightInd/>
        <w:snapToGrid/>
        <w:spacing w:line="360" w:lineRule="auto"/>
        <w:textAlignment w:val="auto"/>
        <w:rPr>
          <w:rFonts w:hint="eastAsia" w:ascii="宋体" w:hAnsi="宋体" w:eastAsia="宋体" w:cs="宋体"/>
          <w:sz w:val="32"/>
          <w:szCs w:val="32"/>
        </w:rPr>
      </w:pPr>
      <w:r>
        <w:rPr>
          <w:rFonts w:hint="eastAsia" w:ascii="宋体" w:hAnsi="宋体" w:eastAsia="宋体" w:cs="宋体"/>
          <w:color w:val="auto"/>
          <w:sz w:val="32"/>
          <w:szCs w:val="32"/>
          <w:highlight w:val="none"/>
        </w:rPr>
        <w:fldChar w:fldCharType="begin"/>
      </w:r>
      <w:r>
        <w:rPr>
          <w:rFonts w:hint="eastAsia" w:ascii="宋体" w:hAnsi="宋体" w:eastAsia="宋体" w:cs="宋体"/>
          <w:sz w:val="32"/>
          <w:szCs w:val="32"/>
          <w:highlight w:val="none"/>
        </w:rPr>
        <w:instrText xml:space="preserve"> HYPERLINK \l _Toc29994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lang w:val="en-US" w:eastAsia="zh-CN"/>
        </w:rPr>
        <w:t>第六章、</w:t>
      </w:r>
      <w:r>
        <w:rPr>
          <w:rFonts w:hint="eastAsia" w:ascii="宋体" w:hAnsi="宋体" w:eastAsia="宋体" w:cs="宋体"/>
          <w:sz w:val="32"/>
          <w:szCs w:val="32"/>
          <w:highlight w:val="none"/>
        </w:rPr>
        <w:t>图纸（另册）</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_Toc29994 \h </w:instrText>
      </w:r>
      <w:r>
        <w:rPr>
          <w:rFonts w:hint="eastAsia" w:ascii="宋体" w:hAnsi="宋体" w:eastAsia="宋体" w:cs="宋体"/>
          <w:sz w:val="32"/>
          <w:szCs w:val="32"/>
        </w:rPr>
        <w:fldChar w:fldCharType="separate"/>
      </w:r>
      <w:r>
        <w:rPr>
          <w:rFonts w:hint="eastAsia" w:ascii="宋体" w:hAnsi="宋体" w:eastAsia="宋体" w:cs="宋体"/>
          <w:sz w:val="32"/>
          <w:szCs w:val="32"/>
        </w:rPr>
        <w:t>116</w:t>
      </w:r>
      <w:r>
        <w:rPr>
          <w:rFonts w:hint="eastAsia" w:ascii="宋体" w:hAnsi="宋体" w:eastAsia="宋体" w:cs="宋体"/>
          <w:sz w:val="32"/>
          <w:szCs w:val="32"/>
        </w:rPr>
        <w:fldChar w:fldCharType="end"/>
      </w:r>
      <w:r>
        <w:rPr>
          <w:rFonts w:hint="eastAsia" w:ascii="宋体" w:hAnsi="宋体" w:eastAsia="宋体" w:cs="宋体"/>
          <w:color w:val="auto"/>
          <w:sz w:val="32"/>
          <w:szCs w:val="32"/>
          <w:highlight w:val="none"/>
        </w:rPr>
        <w:fldChar w:fldCharType="end"/>
      </w:r>
    </w:p>
    <w:p>
      <w:pPr>
        <w:pStyle w:val="13"/>
        <w:keepNext w:val="0"/>
        <w:keepLines w:val="0"/>
        <w:pageBreakBefore w:val="0"/>
        <w:widowControl w:val="0"/>
        <w:tabs>
          <w:tab w:val="right" w:leader="dot" w:pos="9660"/>
        </w:tabs>
        <w:kinsoku/>
        <w:wordWrap/>
        <w:overflowPunct/>
        <w:topLinePunct w:val="0"/>
        <w:autoSpaceDE/>
        <w:autoSpaceDN/>
        <w:bidi w:val="0"/>
        <w:adjustRightInd/>
        <w:snapToGrid/>
        <w:spacing w:line="360" w:lineRule="auto"/>
        <w:textAlignment w:val="auto"/>
        <w:rPr>
          <w:rFonts w:hint="eastAsia" w:ascii="宋体" w:hAnsi="宋体" w:eastAsia="宋体" w:cs="宋体"/>
          <w:sz w:val="32"/>
          <w:szCs w:val="32"/>
        </w:rPr>
      </w:pPr>
      <w:r>
        <w:rPr>
          <w:rFonts w:hint="eastAsia" w:ascii="宋体" w:hAnsi="宋体" w:eastAsia="宋体" w:cs="宋体"/>
          <w:color w:val="auto"/>
          <w:sz w:val="32"/>
          <w:szCs w:val="32"/>
          <w:highlight w:val="none"/>
        </w:rPr>
        <w:fldChar w:fldCharType="begin"/>
      </w:r>
      <w:r>
        <w:rPr>
          <w:rFonts w:hint="eastAsia" w:ascii="宋体" w:hAnsi="宋体" w:eastAsia="宋体" w:cs="宋体"/>
          <w:sz w:val="32"/>
          <w:szCs w:val="32"/>
          <w:highlight w:val="none"/>
        </w:rPr>
        <w:instrText xml:space="preserve"> HYPERLINK \l _Toc29138 </w:instrText>
      </w:r>
      <w:r>
        <w:rPr>
          <w:rFonts w:hint="eastAsia" w:ascii="宋体" w:hAnsi="宋体" w:eastAsia="宋体" w:cs="宋体"/>
          <w:sz w:val="32"/>
          <w:szCs w:val="32"/>
          <w:highlight w:val="none"/>
        </w:rPr>
        <w:fldChar w:fldCharType="separate"/>
      </w:r>
      <w:r>
        <w:rPr>
          <w:rFonts w:hint="eastAsia" w:ascii="宋体" w:hAnsi="宋体" w:eastAsia="宋体" w:cs="宋体"/>
          <w:snapToGrid w:val="0"/>
          <w:spacing w:val="-23"/>
          <w:kern w:val="0"/>
          <w:sz w:val="32"/>
          <w:szCs w:val="32"/>
          <w:lang w:eastAsia="en-US"/>
          <w14:textOutline w14:w="13063" w14:cap="flat" w14:cmpd="sng">
            <w14:solidFill>
              <w14:srgbClr w14:val="000000"/>
            </w14:solidFill>
            <w14:prstDash w14:val="solid"/>
            <w14:miter w14:val="0"/>
          </w14:textOutline>
        </w:rPr>
        <w:t>第三卷</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_Toc29138 \h </w:instrText>
      </w:r>
      <w:r>
        <w:rPr>
          <w:rFonts w:hint="eastAsia" w:ascii="宋体" w:hAnsi="宋体" w:eastAsia="宋体" w:cs="宋体"/>
          <w:sz w:val="32"/>
          <w:szCs w:val="32"/>
        </w:rPr>
        <w:fldChar w:fldCharType="separate"/>
      </w:r>
      <w:r>
        <w:rPr>
          <w:rFonts w:hint="eastAsia" w:ascii="宋体" w:hAnsi="宋体" w:eastAsia="宋体" w:cs="宋体"/>
          <w:sz w:val="32"/>
          <w:szCs w:val="32"/>
        </w:rPr>
        <w:t>117</w:t>
      </w:r>
      <w:r>
        <w:rPr>
          <w:rFonts w:hint="eastAsia" w:ascii="宋体" w:hAnsi="宋体" w:eastAsia="宋体" w:cs="宋体"/>
          <w:sz w:val="32"/>
          <w:szCs w:val="32"/>
        </w:rPr>
        <w:fldChar w:fldCharType="end"/>
      </w:r>
      <w:r>
        <w:rPr>
          <w:rFonts w:hint="eastAsia" w:ascii="宋体" w:hAnsi="宋体" w:eastAsia="宋体" w:cs="宋体"/>
          <w:color w:val="auto"/>
          <w:sz w:val="32"/>
          <w:szCs w:val="32"/>
          <w:highlight w:val="none"/>
        </w:rPr>
        <w:fldChar w:fldCharType="end"/>
      </w:r>
    </w:p>
    <w:p>
      <w:pPr>
        <w:pStyle w:val="13"/>
        <w:keepNext w:val="0"/>
        <w:keepLines w:val="0"/>
        <w:pageBreakBefore w:val="0"/>
        <w:widowControl w:val="0"/>
        <w:tabs>
          <w:tab w:val="right" w:leader="dot" w:pos="9660"/>
        </w:tabs>
        <w:kinsoku/>
        <w:wordWrap/>
        <w:overflowPunct/>
        <w:topLinePunct w:val="0"/>
        <w:autoSpaceDE/>
        <w:autoSpaceDN/>
        <w:bidi w:val="0"/>
        <w:adjustRightInd/>
        <w:snapToGrid/>
        <w:spacing w:line="360" w:lineRule="auto"/>
        <w:textAlignment w:val="auto"/>
        <w:rPr>
          <w:rFonts w:hint="eastAsia" w:ascii="宋体" w:hAnsi="宋体" w:eastAsia="宋体" w:cs="宋体"/>
          <w:sz w:val="32"/>
          <w:szCs w:val="32"/>
        </w:rPr>
      </w:pPr>
      <w:r>
        <w:rPr>
          <w:rFonts w:hint="eastAsia" w:ascii="宋体" w:hAnsi="宋体" w:eastAsia="宋体" w:cs="宋体"/>
          <w:color w:val="auto"/>
          <w:sz w:val="32"/>
          <w:szCs w:val="32"/>
          <w:highlight w:val="none"/>
        </w:rPr>
        <w:fldChar w:fldCharType="begin"/>
      </w:r>
      <w:r>
        <w:rPr>
          <w:rFonts w:hint="eastAsia" w:ascii="宋体" w:hAnsi="宋体" w:eastAsia="宋体" w:cs="宋体"/>
          <w:sz w:val="32"/>
          <w:szCs w:val="32"/>
          <w:highlight w:val="none"/>
        </w:rPr>
        <w:instrText xml:space="preserve"> HYPERLINK \l _Toc11458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第七章、技术</w:t>
      </w:r>
      <w:r>
        <w:rPr>
          <w:rFonts w:hint="eastAsia" w:ascii="宋体" w:hAnsi="宋体" w:eastAsia="宋体" w:cs="宋体"/>
          <w:sz w:val="32"/>
          <w:szCs w:val="32"/>
          <w:highlight w:val="none"/>
          <w:lang w:val="en-US" w:eastAsia="zh-CN"/>
        </w:rPr>
        <w:t>规范</w:t>
      </w:r>
      <w:r>
        <w:rPr>
          <w:rFonts w:hint="eastAsia" w:ascii="宋体" w:hAnsi="宋体" w:eastAsia="宋体" w:cs="宋体"/>
          <w:sz w:val="32"/>
          <w:szCs w:val="32"/>
          <w:highlight w:val="none"/>
        </w:rPr>
        <w:t>（另册）</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_Toc11458 \h </w:instrText>
      </w:r>
      <w:r>
        <w:rPr>
          <w:rFonts w:hint="eastAsia" w:ascii="宋体" w:hAnsi="宋体" w:eastAsia="宋体" w:cs="宋体"/>
          <w:sz w:val="32"/>
          <w:szCs w:val="32"/>
        </w:rPr>
        <w:fldChar w:fldCharType="separate"/>
      </w:r>
      <w:r>
        <w:rPr>
          <w:rFonts w:hint="eastAsia" w:ascii="宋体" w:hAnsi="宋体" w:eastAsia="宋体" w:cs="宋体"/>
          <w:sz w:val="32"/>
          <w:szCs w:val="32"/>
        </w:rPr>
        <w:t>118</w:t>
      </w:r>
      <w:r>
        <w:rPr>
          <w:rFonts w:hint="eastAsia" w:ascii="宋体" w:hAnsi="宋体" w:eastAsia="宋体" w:cs="宋体"/>
          <w:sz w:val="32"/>
          <w:szCs w:val="32"/>
        </w:rPr>
        <w:fldChar w:fldCharType="end"/>
      </w:r>
      <w:r>
        <w:rPr>
          <w:rFonts w:hint="eastAsia" w:ascii="宋体" w:hAnsi="宋体" w:eastAsia="宋体" w:cs="宋体"/>
          <w:color w:val="auto"/>
          <w:sz w:val="32"/>
          <w:szCs w:val="32"/>
          <w:highlight w:val="none"/>
        </w:rPr>
        <w:fldChar w:fldCharType="end"/>
      </w:r>
    </w:p>
    <w:p>
      <w:pPr>
        <w:pStyle w:val="13"/>
        <w:keepNext w:val="0"/>
        <w:keepLines w:val="0"/>
        <w:pageBreakBefore w:val="0"/>
        <w:widowControl w:val="0"/>
        <w:tabs>
          <w:tab w:val="right" w:leader="dot" w:pos="9660"/>
        </w:tabs>
        <w:kinsoku/>
        <w:wordWrap/>
        <w:overflowPunct/>
        <w:topLinePunct w:val="0"/>
        <w:autoSpaceDE/>
        <w:autoSpaceDN/>
        <w:bidi w:val="0"/>
        <w:adjustRightInd/>
        <w:snapToGrid/>
        <w:spacing w:line="360" w:lineRule="auto"/>
        <w:textAlignment w:val="auto"/>
        <w:rPr>
          <w:rFonts w:hint="eastAsia" w:ascii="宋体" w:hAnsi="宋体" w:eastAsia="宋体" w:cs="宋体"/>
          <w:sz w:val="32"/>
          <w:szCs w:val="32"/>
        </w:rPr>
      </w:pPr>
      <w:r>
        <w:rPr>
          <w:rFonts w:hint="eastAsia" w:ascii="宋体" w:hAnsi="宋体" w:eastAsia="宋体" w:cs="宋体"/>
          <w:color w:val="auto"/>
          <w:sz w:val="32"/>
          <w:szCs w:val="32"/>
          <w:highlight w:val="none"/>
        </w:rPr>
        <w:fldChar w:fldCharType="begin"/>
      </w:r>
      <w:r>
        <w:rPr>
          <w:rFonts w:hint="eastAsia" w:ascii="宋体" w:hAnsi="宋体" w:eastAsia="宋体" w:cs="宋体"/>
          <w:sz w:val="32"/>
          <w:szCs w:val="32"/>
          <w:highlight w:val="none"/>
        </w:rPr>
        <w:instrText xml:space="preserve"> HYPERLINK \l _Toc30443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第八章</w:t>
      </w:r>
      <w:r>
        <w:rPr>
          <w:rFonts w:hint="eastAsia" w:ascii="宋体" w:hAnsi="宋体" w:eastAsia="宋体" w:cs="宋体"/>
          <w:sz w:val="32"/>
          <w:szCs w:val="32"/>
          <w:highlight w:val="none"/>
          <w:lang w:eastAsia="zh-CN"/>
        </w:rPr>
        <w:t>、</w:t>
      </w:r>
      <w:r>
        <w:rPr>
          <w:rFonts w:hint="eastAsia" w:ascii="宋体" w:hAnsi="宋体" w:eastAsia="宋体" w:cs="宋体"/>
          <w:sz w:val="32"/>
          <w:szCs w:val="32"/>
          <w:highlight w:val="none"/>
        </w:rPr>
        <w:t>工程量清单计量规则</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_Toc30443 \h </w:instrText>
      </w:r>
      <w:r>
        <w:rPr>
          <w:rFonts w:hint="eastAsia" w:ascii="宋体" w:hAnsi="宋体" w:eastAsia="宋体" w:cs="宋体"/>
          <w:sz w:val="32"/>
          <w:szCs w:val="32"/>
        </w:rPr>
        <w:fldChar w:fldCharType="separate"/>
      </w:r>
      <w:r>
        <w:rPr>
          <w:rFonts w:hint="eastAsia" w:ascii="宋体" w:hAnsi="宋体" w:eastAsia="宋体" w:cs="宋体"/>
          <w:sz w:val="32"/>
          <w:szCs w:val="32"/>
        </w:rPr>
        <w:t>119</w:t>
      </w:r>
      <w:r>
        <w:rPr>
          <w:rFonts w:hint="eastAsia" w:ascii="宋体" w:hAnsi="宋体" w:eastAsia="宋体" w:cs="宋体"/>
          <w:sz w:val="32"/>
          <w:szCs w:val="32"/>
        </w:rPr>
        <w:fldChar w:fldCharType="end"/>
      </w:r>
      <w:r>
        <w:rPr>
          <w:rFonts w:hint="eastAsia" w:ascii="宋体" w:hAnsi="宋体" w:eastAsia="宋体" w:cs="宋体"/>
          <w:color w:val="auto"/>
          <w:sz w:val="32"/>
          <w:szCs w:val="32"/>
          <w:highlight w:val="none"/>
        </w:rPr>
        <w:fldChar w:fldCharType="end"/>
      </w:r>
    </w:p>
    <w:p>
      <w:pPr>
        <w:pStyle w:val="13"/>
        <w:keepNext w:val="0"/>
        <w:keepLines w:val="0"/>
        <w:pageBreakBefore w:val="0"/>
        <w:widowControl w:val="0"/>
        <w:tabs>
          <w:tab w:val="right" w:leader="dot" w:pos="9660"/>
        </w:tabs>
        <w:kinsoku/>
        <w:wordWrap/>
        <w:overflowPunct/>
        <w:topLinePunct w:val="0"/>
        <w:autoSpaceDE/>
        <w:autoSpaceDN/>
        <w:bidi w:val="0"/>
        <w:adjustRightInd/>
        <w:snapToGrid/>
        <w:spacing w:line="360" w:lineRule="auto"/>
        <w:textAlignment w:val="auto"/>
        <w:rPr>
          <w:rFonts w:hint="eastAsia" w:ascii="宋体" w:hAnsi="宋体" w:eastAsia="宋体" w:cs="宋体"/>
          <w:sz w:val="32"/>
          <w:szCs w:val="32"/>
        </w:rPr>
      </w:pPr>
      <w:r>
        <w:rPr>
          <w:rFonts w:hint="eastAsia" w:ascii="宋体" w:hAnsi="宋体" w:eastAsia="宋体" w:cs="宋体"/>
          <w:color w:val="auto"/>
          <w:sz w:val="32"/>
          <w:szCs w:val="32"/>
          <w:highlight w:val="none"/>
        </w:rPr>
        <w:fldChar w:fldCharType="begin"/>
      </w:r>
      <w:r>
        <w:rPr>
          <w:rFonts w:hint="eastAsia" w:ascii="宋体" w:hAnsi="宋体" w:eastAsia="宋体" w:cs="宋体"/>
          <w:sz w:val="32"/>
          <w:szCs w:val="32"/>
          <w:highlight w:val="none"/>
        </w:rPr>
        <w:instrText xml:space="preserve"> HYPERLINK \l _Toc15989 </w:instrText>
      </w:r>
      <w:r>
        <w:rPr>
          <w:rFonts w:hint="eastAsia" w:ascii="宋体" w:hAnsi="宋体" w:eastAsia="宋体" w:cs="宋体"/>
          <w:sz w:val="32"/>
          <w:szCs w:val="32"/>
          <w:highlight w:val="none"/>
        </w:rPr>
        <w:fldChar w:fldCharType="separate"/>
      </w:r>
      <w:r>
        <w:rPr>
          <w:rFonts w:hint="eastAsia" w:ascii="宋体" w:hAnsi="宋体" w:eastAsia="宋体" w:cs="宋体"/>
          <w:snapToGrid w:val="0"/>
          <w:spacing w:val="-23"/>
          <w:kern w:val="0"/>
          <w:sz w:val="32"/>
          <w:szCs w:val="32"/>
          <w:lang w:eastAsia="en-US"/>
          <w14:textOutline w14:w="13063" w14:cap="flat" w14:cmpd="sng">
            <w14:solidFill>
              <w14:srgbClr w14:val="000000"/>
            </w14:solidFill>
            <w14:prstDash w14:val="solid"/>
            <w14:miter w14:val="0"/>
          </w14:textOutline>
        </w:rPr>
        <w:t>第四卷</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_Toc15989 \h </w:instrText>
      </w:r>
      <w:r>
        <w:rPr>
          <w:rFonts w:hint="eastAsia" w:ascii="宋体" w:hAnsi="宋体" w:eastAsia="宋体" w:cs="宋体"/>
          <w:sz w:val="32"/>
          <w:szCs w:val="32"/>
        </w:rPr>
        <w:fldChar w:fldCharType="separate"/>
      </w:r>
      <w:r>
        <w:rPr>
          <w:rFonts w:hint="eastAsia" w:ascii="宋体" w:hAnsi="宋体" w:eastAsia="宋体" w:cs="宋体"/>
          <w:sz w:val="32"/>
          <w:szCs w:val="32"/>
        </w:rPr>
        <w:t>120</w:t>
      </w:r>
      <w:r>
        <w:rPr>
          <w:rFonts w:hint="eastAsia" w:ascii="宋体" w:hAnsi="宋体" w:eastAsia="宋体" w:cs="宋体"/>
          <w:sz w:val="32"/>
          <w:szCs w:val="32"/>
        </w:rPr>
        <w:fldChar w:fldCharType="end"/>
      </w:r>
      <w:r>
        <w:rPr>
          <w:rFonts w:hint="eastAsia" w:ascii="宋体" w:hAnsi="宋体" w:eastAsia="宋体" w:cs="宋体"/>
          <w:color w:val="auto"/>
          <w:sz w:val="32"/>
          <w:szCs w:val="32"/>
          <w:highlight w:val="none"/>
        </w:rPr>
        <w:fldChar w:fldCharType="end"/>
      </w:r>
    </w:p>
    <w:p>
      <w:pPr>
        <w:pStyle w:val="13"/>
        <w:keepNext w:val="0"/>
        <w:keepLines w:val="0"/>
        <w:pageBreakBefore w:val="0"/>
        <w:widowControl w:val="0"/>
        <w:tabs>
          <w:tab w:val="right" w:leader="dot" w:pos="9660"/>
        </w:tabs>
        <w:kinsoku/>
        <w:wordWrap/>
        <w:overflowPunct/>
        <w:topLinePunct w:val="0"/>
        <w:autoSpaceDE/>
        <w:autoSpaceDN/>
        <w:bidi w:val="0"/>
        <w:adjustRightInd/>
        <w:snapToGrid/>
        <w:spacing w:line="360" w:lineRule="auto"/>
        <w:textAlignment w:val="auto"/>
      </w:pPr>
      <w:r>
        <w:rPr>
          <w:rFonts w:hint="eastAsia" w:ascii="宋体" w:hAnsi="宋体" w:eastAsia="宋体" w:cs="宋体"/>
          <w:color w:val="auto"/>
          <w:sz w:val="32"/>
          <w:szCs w:val="32"/>
          <w:highlight w:val="none"/>
        </w:rPr>
        <w:fldChar w:fldCharType="begin"/>
      </w:r>
      <w:r>
        <w:rPr>
          <w:rFonts w:hint="eastAsia" w:ascii="宋体" w:hAnsi="宋体" w:eastAsia="宋体" w:cs="宋体"/>
          <w:sz w:val="32"/>
          <w:szCs w:val="32"/>
          <w:highlight w:val="none"/>
        </w:rPr>
        <w:instrText xml:space="preserve"> HYPERLINK \l _Toc28918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第</w:t>
      </w:r>
      <w:r>
        <w:rPr>
          <w:rFonts w:hint="eastAsia" w:ascii="宋体" w:hAnsi="宋体" w:eastAsia="宋体" w:cs="宋体"/>
          <w:sz w:val="32"/>
          <w:szCs w:val="32"/>
          <w:highlight w:val="none"/>
          <w:lang w:val="en-US" w:eastAsia="zh-CN"/>
        </w:rPr>
        <w:t>九</w:t>
      </w:r>
      <w:r>
        <w:rPr>
          <w:rFonts w:hint="eastAsia" w:ascii="宋体" w:hAnsi="宋体" w:eastAsia="宋体" w:cs="宋体"/>
          <w:sz w:val="32"/>
          <w:szCs w:val="32"/>
          <w:highlight w:val="none"/>
        </w:rPr>
        <w:t>章、投标文件格式</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_Toc28918 \h </w:instrText>
      </w:r>
      <w:r>
        <w:rPr>
          <w:rFonts w:hint="eastAsia" w:ascii="宋体" w:hAnsi="宋体" w:eastAsia="宋体" w:cs="宋体"/>
          <w:sz w:val="32"/>
          <w:szCs w:val="32"/>
        </w:rPr>
        <w:fldChar w:fldCharType="separate"/>
      </w:r>
      <w:r>
        <w:rPr>
          <w:rFonts w:hint="eastAsia" w:ascii="宋体" w:hAnsi="宋体" w:eastAsia="宋体" w:cs="宋体"/>
          <w:sz w:val="32"/>
          <w:szCs w:val="32"/>
        </w:rPr>
        <w:t>121</w:t>
      </w:r>
      <w:r>
        <w:rPr>
          <w:rFonts w:hint="eastAsia" w:ascii="宋体" w:hAnsi="宋体" w:eastAsia="宋体" w:cs="宋体"/>
          <w:sz w:val="32"/>
          <w:szCs w:val="32"/>
        </w:rPr>
        <w:fldChar w:fldCharType="end"/>
      </w:r>
      <w:r>
        <w:rPr>
          <w:rFonts w:hint="eastAsia" w:ascii="宋体" w:hAnsi="宋体" w:eastAsia="宋体" w:cs="宋体"/>
          <w:color w:val="auto"/>
          <w:sz w:val="32"/>
          <w:szCs w:val="32"/>
          <w:highlight w:val="none"/>
        </w:rPr>
        <w:fldChar w:fldCharType="end"/>
      </w:r>
    </w:p>
    <w:p>
      <w:pPr>
        <w:pStyle w:val="14"/>
        <w:tabs>
          <w:tab w:val="right" w:leader="dot" w:pos="9660"/>
        </w:tabs>
      </w:pPr>
    </w:p>
    <w:p>
      <w:pPr>
        <w:pageBreakBefore w:val="0"/>
        <w:kinsoku/>
        <w:overflowPunct/>
        <w:bidi w:val="0"/>
        <w:spacing w:beforeAutospacing="0" w:afterAutospacing="0" w:line="360" w:lineRule="auto"/>
        <w:ind w:left="0" w:leftChars="0" w:right="0" w:rightChars="0"/>
        <w:rPr>
          <w:rFonts w:hint="eastAsia" w:ascii="宋体" w:hAnsi="宋体" w:eastAsia="宋体" w:cs="宋体"/>
          <w:color w:val="auto"/>
          <w:sz w:val="24"/>
          <w:szCs w:val="24"/>
          <w:highlight w:val="none"/>
        </w:rPr>
      </w:pPr>
      <w:r>
        <w:rPr>
          <w:rFonts w:hint="eastAsia" w:ascii="宋体" w:hAnsi="宋体" w:eastAsia="宋体" w:cs="宋体"/>
          <w:color w:val="auto"/>
          <w:szCs w:val="28"/>
          <w:highlight w:val="none"/>
        </w:rPr>
        <w:fldChar w:fldCharType="end"/>
      </w:r>
    </w:p>
    <w:p>
      <w:pPr>
        <w:pStyle w:val="14"/>
        <w:pageBreakBefore w:val="0"/>
        <w:tabs>
          <w:tab w:val="right" w:leader="dot" w:pos="9060"/>
        </w:tabs>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sectPr>
          <w:footnotePr>
            <w:numFmt w:val="decimalEnclosedCircle"/>
          </w:footnotePr>
          <w:pgSz w:w="11906" w:h="16838"/>
          <w:pgMar w:top="1440" w:right="1028" w:bottom="1440" w:left="1218" w:header="851" w:footer="992" w:gutter="0"/>
          <w:pgNumType w:start="1"/>
          <w:cols w:space="720" w:num="1"/>
          <w:docGrid w:linePitch="312" w:charSpace="0"/>
        </w:sectPr>
      </w:pPr>
    </w:p>
    <w:p>
      <w:pPr>
        <w:pStyle w:val="14"/>
        <w:pageBreakBefore w:val="0"/>
        <w:tabs>
          <w:tab w:val="right" w:leader="dot" w:pos="9060"/>
        </w:tabs>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pPr>
    </w:p>
    <w:p>
      <w:pPr>
        <w:pStyle w:val="14"/>
        <w:pageBreakBefore w:val="0"/>
        <w:tabs>
          <w:tab w:val="right" w:leader="dot" w:pos="9060"/>
        </w:tabs>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pPr>
    </w:p>
    <w:p>
      <w:pPr>
        <w:pStyle w:val="14"/>
        <w:pageBreakBefore w:val="0"/>
        <w:tabs>
          <w:tab w:val="right" w:leader="dot" w:pos="9060"/>
        </w:tabs>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pPr>
    </w:p>
    <w:p>
      <w:pPr>
        <w:pStyle w:val="14"/>
        <w:pageBreakBefore w:val="0"/>
        <w:tabs>
          <w:tab w:val="right" w:leader="dot" w:pos="9060"/>
        </w:tabs>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pPr>
    </w:p>
    <w:p>
      <w:pPr>
        <w:rPr>
          <w:rFonts w:hint="eastAsia" w:ascii="宋体" w:hAnsi="宋体" w:eastAsia="宋体" w:cs="宋体"/>
          <w:b/>
          <w:color w:val="auto"/>
          <w:sz w:val="28"/>
          <w:szCs w:val="28"/>
          <w:highlight w:val="none"/>
        </w:rPr>
      </w:pPr>
    </w:p>
    <w:p>
      <w:pPr>
        <w:pStyle w:val="24"/>
        <w:rPr>
          <w:rFonts w:hint="eastAsia" w:ascii="宋体" w:hAnsi="宋体" w:eastAsia="宋体" w:cs="宋体"/>
          <w:b/>
          <w:color w:val="auto"/>
          <w:sz w:val="28"/>
          <w:szCs w:val="28"/>
          <w:highlight w:val="none"/>
        </w:rPr>
      </w:pPr>
    </w:p>
    <w:p>
      <w:pPr>
        <w:rPr>
          <w:rFonts w:hint="eastAsia" w:ascii="宋体" w:hAnsi="宋体" w:eastAsia="宋体" w:cs="宋体"/>
          <w:b/>
          <w:color w:val="auto"/>
          <w:sz w:val="28"/>
          <w:szCs w:val="28"/>
          <w:highlight w:val="none"/>
        </w:rPr>
      </w:pPr>
    </w:p>
    <w:p>
      <w:pPr>
        <w:pStyle w:val="24"/>
        <w:rPr>
          <w:rFonts w:hint="eastAsia" w:ascii="宋体" w:hAnsi="宋体" w:eastAsia="宋体" w:cs="宋体"/>
          <w:b/>
          <w:color w:val="auto"/>
          <w:sz w:val="28"/>
          <w:szCs w:val="28"/>
          <w:highlight w:val="none"/>
        </w:rPr>
      </w:pPr>
    </w:p>
    <w:p>
      <w:pPr>
        <w:rPr>
          <w:rFonts w:hint="eastAsia" w:ascii="宋体" w:hAnsi="宋体" w:eastAsia="宋体" w:cs="宋体"/>
          <w:b/>
          <w:color w:val="auto"/>
          <w:sz w:val="28"/>
          <w:szCs w:val="28"/>
          <w:highlight w:val="none"/>
        </w:rPr>
      </w:pPr>
    </w:p>
    <w:p>
      <w:pPr>
        <w:pStyle w:val="24"/>
        <w:rPr>
          <w:rFonts w:hint="eastAsia"/>
        </w:rPr>
      </w:pPr>
    </w:p>
    <w:p>
      <w:pPr>
        <w:pStyle w:val="14"/>
        <w:pageBreakBefore w:val="0"/>
        <w:tabs>
          <w:tab w:val="right" w:leader="dot" w:pos="9060"/>
        </w:tabs>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pPr>
    </w:p>
    <w:p>
      <w:pPr>
        <w:pStyle w:val="14"/>
        <w:pageBreakBefore w:val="0"/>
        <w:tabs>
          <w:tab w:val="right" w:leader="dot" w:pos="9060"/>
        </w:tabs>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pPr>
    </w:p>
    <w:p>
      <w:pPr>
        <w:pStyle w:val="14"/>
        <w:pageBreakBefore w:val="0"/>
        <w:tabs>
          <w:tab w:val="right" w:leader="dot" w:pos="9060"/>
        </w:tabs>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pPr>
    </w:p>
    <w:p>
      <w:pPr>
        <w:keepNext w:val="0"/>
        <w:keepLines w:val="0"/>
        <w:pageBreakBefore w:val="0"/>
        <w:widowControl/>
        <w:kinsoku w:val="0"/>
        <w:wordWrap/>
        <w:overflowPunct/>
        <w:topLinePunct w:val="0"/>
        <w:autoSpaceDE w:val="0"/>
        <w:autoSpaceDN w:val="0"/>
        <w:bidi w:val="0"/>
        <w:adjustRightInd w:val="0"/>
        <w:snapToGrid w:val="0"/>
        <w:spacing w:before="234" w:line="221" w:lineRule="auto"/>
        <w:ind w:left="0"/>
        <w:jc w:val="center"/>
        <w:textAlignment w:val="baseline"/>
        <w:outlineLvl w:val="0"/>
        <w:rPr>
          <w:rFonts w:hint="eastAsia" w:ascii="宋体" w:hAnsi="宋体" w:eastAsia="宋体" w:cs="宋体"/>
          <w:snapToGrid w:val="0"/>
          <w:color w:val="000000"/>
          <w:spacing w:val="-23"/>
          <w:kern w:val="0"/>
          <w:sz w:val="72"/>
          <w:szCs w:val="72"/>
          <w:lang w:eastAsia="en-US"/>
          <w14:textOutline w14:w="13063" w14:cap="flat" w14:cmpd="sng">
            <w14:solidFill>
              <w14:srgbClr w14:val="000000"/>
            </w14:solidFill>
            <w14:prstDash w14:val="solid"/>
            <w14:miter w14:val="0"/>
          </w14:textOutline>
        </w:rPr>
      </w:pPr>
      <w:bookmarkStart w:id="5" w:name="_Toc7574"/>
      <w:r>
        <w:rPr>
          <w:rFonts w:hint="eastAsia" w:ascii="宋体" w:hAnsi="宋体" w:eastAsia="宋体" w:cs="宋体"/>
          <w:snapToGrid w:val="0"/>
          <w:color w:val="000000"/>
          <w:spacing w:val="-23"/>
          <w:kern w:val="0"/>
          <w:sz w:val="72"/>
          <w:szCs w:val="72"/>
          <w:lang w:eastAsia="en-US"/>
          <w14:textOutline w14:w="13063" w14:cap="flat" w14:cmpd="sng">
            <w14:solidFill>
              <w14:srgbClr w14:val="000000"/>
            </w14:solidFill>
            <w14:prstDash w14:val="solid"/>
            <w14:miter w14:val="0"/>
          </w14:textOutline>
        </w:rPr>
        <w:t>第一卷</w:t>
      </w:r>
      <w:bookmarkEnd w:id="0"/>
      <w:bookmarkEnd w:id="1"/>
      <w:bookmarkEnd w:id="2"/>
      <w:bookmarkEnd w:id="3"/>
      <w:bookmarkEnd w:id="4"/>
      <w:bookmarkEnd w:id="5"/>
    </w:p>
    <w:p>
      <w:pPr>
        <w:pageBreakBefore w:val="0"/>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pPr>
      <w:bookmarkStart w:id="6" w:name="_Toc23909"/>
      <w:bookmarkStart w:id="7" w:name="_Toc18466"/>
      <w:bookmarkStart w:id="8" w:name="_Toc7609"/>
      <w:bookmarkStart w:id="9" w:name="_Toc490748529"/>
      <w:bookmarkStart w:id="10" w:name="_Toc18902"/>
      <w:bookmarkStart w:id="11" w:name="_Toc132601549"/>
      <w:bookmarkStart w:id="12" w:name="_Toc132601550"/>
      <w:bookmarkStart w:id="13" w:name="_Hlt111980651"/>
    </w:p>
    <w:p>
      <w:pPr>
        <w:pageBreakBefore w:val="0"/>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pPr>
      <w:bookmarkStart w:id="14" w:name="_Toc8166"/>
      <w:r>
        <w:rPr>
          <w:rFonts w:hint="eastAsia" w:ascii="宋体" w:hAnsi="宋体" w:eastAsia="宋体" w:cs="宋体"/>
          <w:b/>
          <w:color w:val="auto"/>
          <w:sz w:val="28"/>
          <w:szCs w:val="28"/>
          <w:highlight w:val="none"/>
        </w:rPr>
        <w:t>第一章、招标公告</w:t>
      </w:r>
      <w:bookmarkEnd w:id="6"/>
      <w:bookmarkEnd w:id="7"/>
      <w:bookmarkEnd w:id="8"/>
      <w:bookmarkEnd w:id="9"/>
      <w:bookmarkEnd w:id="10"/>
      <w:bookmarkEnd w:id="14"/>
    </w:p>
    <w:p>
      <w:pPr>
        <w:pStyle w:val="27"/>
        <w:pageBreakBefore w:val="0"/>
        <w:kinsoku/>
        <w:overflowPunct/>
        <w:bidi w:val="0"/>
        <w:spacing w:beforeAutospacing="0" w:afterAutospacing="0" w:line="360" w:lineRule="auto"/>
        <w:ind w:left="0" w:leftChars="0" w:right="0" w:righ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窗体顶端</w:t>
      </w:r>
    </w:p>
    <w:p>
      <w:pPr>
        <w:pStyle w:val="47"/>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窗体顶端</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2" w:firstLineChars="200"/>
        <w:jc w:val="left"/>
        <w:textAlignment w:val="auto"/>
        <w:rPr>
          <w:rFonts w:hint="eastAsia" w:ascii="宋体" w:hAnsi="宋体" w:eastAsia="宋体" w:cs="宋体"/>
          <w:sz w:val="24"/>
          <w:szCs w:val="24"/>
        </w:rPr>
      </w:pPr>
      <w:r>
        <w:rPr>
          <w:rFonts w:hint="eastAsia" w:ascii="宋体" w:hAnsi="宋体" w:eastAsia="宋体" w:cs="宋体"/>
          <w:b/>
          <w:bCs/>
          <w:color w:val="333333"/>
          <w:sz w:val="24"/>
          <w:szCs w:val="24"/>
          <w:shd w:val="clear" w:fill="FFFFFF"/>
        </w:rPr>
        <w:t>一、招标条件</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333333"/>
          <w:sz w:val="24"/>
          <w:szCs w:val="24"/>
          <w:shd w:val="clear" w:fill="FFFFFF"/>
          <w:lang w:eastAsia="zh-CN"/>
        </w:rPr>
        <w:t>本招标项目</w:t>
      </w:r>
      <w:r>
        <w:rPr>
          <w:rFonts w:hint="eastAsia" w:ascii="宋体" w:hAnsi="宋体" w:eastAsia="宋体" w:cs="宋体"/>
          <w:color w:val="333333"/>
          <w:sz w:val="24"/>
          <w:szCs w:val="24"/>
          <w:u w:val="single"/>
          <w:shd w:val="clear" w:fill="FFFFFF"/>
          <w:lang w:eastAsia="zh-CN"/>
        </w:rPr>
        <w:t>伊川县交通事业发展中心伊川县Y002半鲁线段庄至三岔口段改造工程项目</w:t>
      </w:r>
      <w:r>
        <w:rPr>
          <w:rFonts w:hint="eastAsia" w:ascii="宋体" w:hAnsi="宋体" w:eastAsia="宋体" w:cs="宋体"/>
          <w:color w:val="333333"/>
          <w:sz w:val="24"/>
          <w:szCs w:val="24"/>
          <w:shd w:val="clear" w:fill="FFFFFF"/>
          <w:lang w:eastAsia="zh-CN"/>
        </w:rPr>
        <w:t>已</w:t>
      </w:r>
      <w:r>
        <w:rPr>
          <w:rFonts w:hint="eastAsia" w:ascii="宋体" w:hAnsi="宋体" w:eastAsia="宋体" w:cs="宋体"/>
          <w:color w:val="333333"/>
          <w:sz w:val="24"/>
          <w:szCs w:val="24"/>
          <w:highlight w:val="none"/>
          <w:shd w:val="clear" w:fill="FFFFFF"/>
          <w:lang w:eastAsia="zh-CN"/>
        </w:rPr>
        <w:t>由</w:t>
      </w:r>
      <w:r>
        <w:rPr>
          <w:rFonts w:hint="eastAsia" w:ascii="宋体" w:hAnsi="宋体" w:eastAsia="宋体" w:cs="宋体"/>
          <w:color w:val="333333"/>
          <w:sz w:val="24"/>
          <w:szCs w:val="24"/>
          <w:highlight w:val="none"/>
          <w:u w:val="single"/>
          <w:shd w:val="clear" w:fill="FFFFFF"/>
          <w:lang w:eastAsia="zh-CN"/>
        </w:rPr>
        <w:t>伊川县发展和改革委员会</w:t>
      </w:r>
      <w:r>
        <w:rPr>
          <w:rFonts w:hint="eastAsia" w:ascii="宋体" w:hAnsi="宋体" w:eastAsia="宋体" w:cs="宋体"/>
          <w:color w:val="333333"/>
          <w:sz w:val="24"/>
          <w:szCs w:val="24"/>
          <w:highlight w:val="none"/>
          <w:u w:val="none"/>
          <w:shd w:val="clear" w:fill="FFFFFF"/>
          <w:lang w:eastAsia="zh-CN"/>
        </w:rPr>
        <w:t>以</w:t>
      </w:r>
      <w:r>
        <w:rPr>
          <w:rFonts w:hint="eastAsia" w:ascii="宋体" w:hAnsi="宋体" w:eastAsia="宋体" w:cs="宋体"/>
          <w:color w:val="333333"/>
          <w:sz w:val="24"/>
          <w:szCs w:val="24"/>
          <w:highlight w:val="none"/>
          <w:u w:val="single"/>
          <w:shd w:val="clear" w:fill="FFFFFF"/>
          <w:lang w:eastAsia="zh-CN"/>
        </w:rPr>
        <w:t>伊发改审批(2022〕47号</w:t>
      </w:r>
      <w:r>
        <w:rPr>
          <w:rFonts w:hint="eastAsia" w:ascii="宋体" w:hAnsi="宋体" w:eastAsia="宋体" w:cs="宋体"/>
          <w:color w:val="333333"/>
          <w:sz w:val="24"/>
          <w:szCs w:val="24"/>
          <w:highlight w:val="none"/>
          <w:shd w:val="clear" w:fill="FFFFFF"/>
          <w:lang w:eastAsia="zh-CN"/>
        </w:rPr>
        <w:t>批准，建设资金来自</w:t>
      </w:r>
      <w:r>
        <w:rPr>
          <w:rFonts w:hint="eastAsia" w:ascii="宋体" w:hAnsi="宋体" w:eastAsia="宋体" w:cs="宋体"/>
          <w:color w:val="333333"/>
          <w:sz w:val="24"/>
          <w:szCs w:val="24"/>
          <w:highlight w:val="none"/>
          <w:u w:val="single"/>
          <w:shd w:val="clear" w:fill="FFFFFF"/>
          <w:lang w:eastAsia="zh-CN"/>
        </w:rPr>
        <w:t>财政资金</w:t>
      </w:r>
      <w:r>
        <w:rPr>
          <w:rFonts w:hint="eastAsia" w:ascii="宋体" w:hAnsi="宋体" w:eastAsia="宋体" w:cs="宋体"/>
          <w:color w:val="333333"/>
          <w:sz w:val="24"/>
          <w:szCs w:val="24"/>
          <w:highlight w:val="none"/>
          <w:shd w:val="clear" w:fill="FFFFFF"/>
          <w:lang w:eastAsia="zh-CN"/>
        </w:rPr>
        <w:t>，招标人为伊川县</w:t>
      </w:r>
      <w:r>
        <w:rPr>
          <w:rFonts w:hint="eastAsia" w:ascii="宋体" w:hAnsi="宋体" w:eastAsia="宋体" w:cs="宋体"/>
          <w:color w:val="333333"/>
          <w:sz w:val="24"/>
          <w:szCs w:val="24"/>
          <w:highlight w:val="none"/>
          <w:shd w:val="clear" w:fill="FFFFFF"/>
        </w:rPr>
        <w:t>交通</w:t>
      </w:r>
      <w:r>
        <w:rPr>
          <w:rFonts w:hint="eastAsia" w:ascii="宋体" w:hAnsi="宋体" w:eastAsia="宋体" w:cs="宋体"/>
          <w:color w:val="333333"/>
          <w:sz w:val="24"/>
          <w:szCs w:val="24"/>
          <w:highlight w:val="none"/>
          <w:shd w:val="clear" w:fill="FFFFFF"/>
          <w:lang w:eastAsia="zh-CN"/>
        </w:rPr>
        <w:t>事业发展中心。项目已具备招标条件，现对本项目的施工进行公开招标。</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2"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color w:val="333333"/>
          <w:sz w:val="24"/>
          <w:szCs w:val="24"/>
          <w:highlight w:val="none"/>
          <w:shd w:val="clear" w:fill="FFFFFF"/>
        </w:rPr>
        <w:t>二、项目概况与招标范围</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color w:val="333333"/>
          <w:sz w:val="24"/>
          <w:szCs w:val="24"/>
          <w:highlight w:val="none"/>
          <w:shd w:val="clear" w:fill="FFFFFF"/>
        </w:rPr>
      </w:pPr>
      <w:r>
        <w:rPr>
          <w:rFonts w:hint="eastAsia" w:ascii="宋体" w:hAnsi="宋体" w:eastAsia="宋体" w:cs="宋体"/>
          <w:color w:val="333333"/>
          <w:sz w:val="24"/>
          <w:szCs w:val="24"/>
          <w:highlight w:val="none"/>
          <w:shd w:val="clear" w:fill="FFFFFF"/>
        </w:rPr>
        <w:t>1、项目名称：伊川县交通事业发展中心伊川县Y002半鲁线段庄至三岔口段改造工程项目（项目代码：2205-410329-04-01-863438）；</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color w:val="333333"/>
          <w:sz w:val="24"/>
          <w:szCs w:val="24"/>
          <w:highlight w:val="none"/>
          <w:shd w:val="clear" w:fill="FFFFFF"/>
        </w:rPr>
      </w:pPr>
      <w:r>
        <w:rPr>
          <w:rFonts w:hint="eastAsia" w:ascii="宋体" w:hAnsi="宋体" w:eastAsia="宋体" w:cs="宋体"/>
          <w:color w:val="333333"/>
          <w:sz w:val="24"/>
          <w:szCs w:val="24"/>
          <w:highlight w:val="none"/>
          <w:shd w:val="clear" w:fill="FFFFFF"/>
        </w:rPr>
        <w:t>2、项目编号：</w:t>
      </w:r>
      <w:r>
        <w:rPr>
          <w:rFonts w:hint="eastAsia" w:ascii="宋体" w:hAnsi="宋体" w:eastAsia="宋体" w:cs="宋体"/>
          <w:color w:val="auto"/>
          <w:sz w:val="24"/>
          <w:szCs w:val="24"/>
          <w:highlight w:val="none"/>
        </w:rPr>
        <w:t>伊川工施招标(2024)0075号</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color w:val="333333"/>
          <w:sz w:val="24"/>
          <w:szCs w:val="24"/>
          <w:highlight w:val="none"/>
          <w:shd w:val="clear" w:fill="FFFFFF"/>
        </w:rPr>
      </w:pPr>
      <w:r>
        <w:rPr>
          <w:rFonts w:hint="eastAsia" w:ascii="宋体" w:hAnsi="宋体" w:eastAsia="宋体" w:cs="宋体"/>
          <w:color w:val="333333"/>
          <w:sz w:val="24"/>
          <w:szCs w:val="24"/>
          <w:highlight w:val="none"/>
          <w:shd w:val="clear" w:fill="FFFFFF"/>
        </w:rPr>
        <w:t>政府采购管理部门备案编号：伊川政采公开-2024-23</w:t>
      </w:r>
    </w:p>
    <w:p>
      <w:pPr>
        <w:pStyle w:val="17"/>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cs="宋体"/>
          <w:color w:val="333333"/>
          <w:sz w:val="24"/>
          <w:szCs w:val="24"/>
          <w:shd w:val="clear" w:fill="FFFFFF"/>
          <w:lang w:val="en-US" w:eastAsia="zh-CN"/>
        </w:rPr>
      </w:pPr>
      <w:r>
        <w:rPr>
          <w:rFonts w:hint="eastAsia" w:ascii="宋体" w:hAnsi="宋体" w:eastAsia="宋体" w:cs="宋体"/>
          <w:color w:val="333333"/>
          <w:sz w:val="24"/>
          <w:szCs w:val="24"/>
          <w:highlight w:val="none"/>
          <w:shd w:val="clear" w:fill="FFFFFF"/>
        </w:rPr>
        <w:t>工程概况：本项目起点位于半坡镇卫生院，路线</w:t>
      </w:r>
      <w:r>
        <w:rPr>
          <w:rFonts w:hint="eastAsia" w:ascii="宋体" w:hAnsi="宋体" w:eastAsia="宋体" w:cs="宋体"/>
          <w:color w:val="333333"/>
          <w:sz w:val="24"/>
          <w:szCs w:val="24"/>
          <w:shd w:val="clear" w:fill="FFFFFF"/>
        </w:rPr>
        <w:t>向南经过段庄村、朱沟村止于三岔口村平交口，路线总长4.475公里，按照原三级公路标准设计，路基宽7-9.5米，路面宽6-8.5米，设计时速30km/h,沥青混凝土路面</w:t>
      </w:r>
      <w:r>
        <w:rPr>
          <w:rFonts w:hint="eastAsia" w:cs="宋体"/>
          <w:color w:val="333333"/>
          <w:sz w:val="24"/>
          <w:szCs w:val="24"/>
          <w:shd w:val="clear" w:fill="FFFFFF"/>
          <w:lang w:val="en-US" w:eastAsia="zh-CN"/>
        </w:rPr>
        <w:t>。</w:t>
      </w:r>
    </w:p>
    <w:p>
      <w:pPr>
        <w:pStyle w:val="1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Chars="200" w:right="0" w:rightChars="0"/>
        <w:jc w:val="left"/>
        <w:textAlignment w:val="auto"/>
        <w:rPr>
          <w:rFonts w:hint="eastAsia" w:ascii="宋体" w:hAnsi="宋体" w:eastAsia="宋体" w:cs="宋体"/>
          <w:color w:val="333333"/>
          <w:sz w:val="24"/>
          <w:szCs w:val="24"/>
          <w:shd w:val="clear" w:fill="FFFFFF"/>
        </w:rPr>
      </w:pPr>
      <w:r>
        <w:rPr>
          <w:rFonts w:hint="eastAsia" w:ascii="宋体" w:hAnsi="宋体" w:eastAsia="宋体" w:cs="宋体"/>
          <w:color w:val="333333"/>
          <w:sz w:val="24"/>
          <w:szCs w:val="24"/>
          <w:shd w:val="clear" w:fill="FFFFFF"/>
        </w:rPr>
        <w:t>4、招标范围：本项目招标文件、工程量清单及施工图纸所包含的全部内容；</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color w:val="333333"/>
          <w:sz w:val="24"/>
          <w:szCs w:val="24"/>
          <w:shd w:val="clear" w:fill="FFFFFF"/>
        </w:rPr>
      </w:pPr>
      <w:r>
        <w:rPr>
          <w:rFonts w:hint="eastAsia" w:ascii="宋体" w:hAnsi="宋体" w:eastAsia="宋体" w:cs="宋体"/>
          <w:color w:val="333333"/>
          <w:sz w:val="24"/>
          <w:szCs w:val="24"/>
          <w:shd w:val="clear" w:fill="FFFFFF"/>
        </w:rPr>
        <w:t>5、资金来源：财政资金；</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color w:val="333333"/>
          <w:sz w:val="24"/>
          <w:szCs w:val="24"/>
          <w:shd w:val="clear" w:fill="FFFFFF"/>
        </w:rPr>
      </w:pPr>
      <w:r>
        <w:rPr>
          <w:rFonts w:hint="eastAsia" w:ascii="宋体" w:hAnsi="宋体" w:eastAsia="宋体" w:cs="宋体"/>
          <w:color w:val="333333"/>
          <w:sz w:val="24"/>
          <w:szCs w:val="24"/>
          <w:shd w:val="clear" w:fill="FFFFFF"/>
        </w:rPr>
        <w:t>6、</w:t>
      </w:r>
      <w:r>
        <w:rPr>
          <w:rFonts w:hint="eastAsia" w:ascii="宋体" w:hAnsi="宋体" w:eastAsia="宋体" w:cs="宋体"/>
          <w:color w:val="333333"/>
          <w:sz w:val="24"/>
          <w:szCs w:val="24"/>
          <w:shd w:val="clear" w:fill="FFFFFF"/>
          <w:lang w:val="en-US" w:eastAsia="zh-CN"/>
        </w:rPr>
        <w:t>最高投标限价（预算控制金额）：</w:t>
      </w:r>
      <w:r>
        <w:rPr>
          <w:rFonts w:hint="eastAsia" w:ascii="宋体" w:hAnsi="宋体" w:eastAsia="宋体" w:cs="宋体"/>
          <w:color w:val="333333"/>
          <w:sz w:val="24"/>
          <w:szCs w:val="24"/>
          <w:shd w:val="clear" w:fill="FFFFFF"/>
        </w:rPr>
        <w:t>12529486.42元；</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color w:val="333333"/>
          <w:sz w:val="24"/>
          <w:szCs w:val="24"/>
          <w:shd w:val="clear" w:fill="FFFFFF"/>
        </w:rPr>
      </w:pPr>
      <w:r>
        <w:rPr>
          <w:rFonts w:hint="eastAsia" w:ascii="宋体" w:hAnsi="宋体" w:eastAsia="宋体" w:cs="宋体"/>
          <w:color w:val="333333"/>
          <w:sz w:val="24"/>
          <w:szCs w:val="24"/>
          <w:shd w:val="clear" w:fill="FFFFFF"/>
        </w:rPr>
        <w:t>7、建设地点：洛阳市伊川县；</w:t>
      </w:r>
    </w:p>
    <w:p>
      <w:pPr>
        <w:pageBreakBefore w:val="0"/>
        <w:kinsoku/>
        <w:wordWrap/>
        <w:overflowPunct/>
        <w:topLinePunct w:val="0"/>
        <w:bidi w:val="0"/>
        <w:snapToGrid w:val="0"/>
        <w:spacing w:line="360" w:lineRule="auto"/>
        <w:ind w:left="0" w:leftChars="0" w:right="0" w:firstLine="480" w:firstLineChars="200"/>
        <w:rPr>
          <w:rFonts w:hint="eastAsia" w:ascii="宋体" w:hAnsi="宋体" w:eastAsia="宋体" w:cs="宋体"/>
          <w:color w:val="333333"/>
          <w:kern w:val="0"/>
          <w:sz w:val="24"/>
          <w:szCs w:val="24"/>
          <w:shd w:val="clear" w:fill="FFFFFF"/>
          <w:lang w:val="en-US" w:eastAsia="zh-CN" w:bidi="ar-SA"/>
        </w:rPr>
      </w:pPr>
      <w:r>
        <w:rPr>
          <w:rFonts w:hint="eastAsia" w:ascii="宋体" w:hAnsi="宋体" w:eastAsia="宋体" w:cs="宋体"/>
          <w:color w:val="333333"/>
          <w:sz w:val="24"/>
          <w:szCs w:val="24"/>
          <w:shd w:val="clear" w:fill="FFFFFF"/>
        </w:rPr>
        <w:t>8</w:t>
      </w:r>
      <w:r>
        <w:rPr>
          <w:rFonts w:hint="eastAsia" w:ascii="宋体" w:hAnsi="宋体" w:eastAsia="宋体" w:cs="宋体"/>
          <w:color w:val="333333"/>
          <w:kern w:val="0"/>
          <w:sz w:val="24"/>
          <w:szCs w:val="24"/>
          <w:shd w:val="clear" w:fill="FFFFFF"/>
          <w:lang w:val="en-US" w:eastAsia="zh-CN" w:bidi="ar-SA"/>
        </w:rPr>
        <w:t>、标段划分：本次招标划分为1个标段</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color w:val="333333"/>
          <w:sz w:val="24"/>
          <w:szCs w:val="24"/>
          <w:shd w:val="clear" w:fill="FFFFFF"/>
        </w:rPr>
      </w:pPr>
      <w:r>
        <w:rPr>
          <w:rFonts w:hint="eastAsia" w:cs="宋体"/>
          <w:color w:val="333333"/>
          <w:sz w:val="24"/>
          <w:szCs w:val="24"/>
          <w:shd w:val="clear" w:fill="FFFFFF"/>
          <w:lang w:val="en-US" w:eastAsia="zh-CN"/>
        </w:rPr>
        <w:t>9、</w:t>
      </w:r>
      <w:r>
        <w:rPr>
          <w:rFonts w:hint="eastAsia" w:ascii="宋体" w:hAnsi="宋体" w:eastAsia="宋体" w:cs="宋体"/>
          <w:color w:val="333333"/>
          <w:sz w:val="24"/>
          <w:szCs w:val="24"/>
          <w:shd w:val="clear" w:fill="FFFFFF"/>
        </w:rPr>
        <w:t>计划工期：180日历天，缺陷责任期为2年（自实际交工日期起计算）；</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color w:val="333333"/>
          <w:sz w:val="24"/>
          <w:szCs w:val="24"/>
          <w:shd w:val="clear" w:fill="FFFFFF"/>
        </w:rPr>
      </w:pPr>
      <w:r>
        <w:rPr>
          <w:rFonts w:hint="eastAsia" w:cs="宋体"/>
          <w:color w:val="333333"/>
          <w:sz w:val="24"/>
          <w:szCs w:val="24"/>
          <w:shd w:val="clear" w:fill="FFFFFF"/>
          <w:lang w:val="en-US" w:eastAsia="zh-CN"/>
        </w:rPr>
        <w:t>10</w:t>
      </w:r>
      <w:r>
        <w:rPr>
          <w:rFonts w:hint="eastAsia" w:ascii="宋体" w:hAnsi="宋体" w:eastAsia="宋体" w:cs="宋体"/>
          <w:color w:val="333333"/>
          <w:sz w:val="24"/>
          <w:szCs w:val="24"/>
          <w:shd w:val="clear" w:fill="FFFFFF"/>
        </w:rPr>
        <w:t>、质量目标：交工验收的质量评定：合格；竣工验收的质量评定：优良；</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color w:val="333333"/>
          <w:sz w:val="24"/>
          <w:szCs w:val="24"/>
          <w:shd w:val="clear" w:fill="FFFFFF"/>
        </w:rPr>
      </w:pPr>
      <w:r>
        <w:rPr>
          <w:rFonts w:hint="eastAsia" w:ascii="宋体" w:hAnsi="宋体" w:eastAsia="宋体" w:cs="宋体"/>
          <w:color w:val="333333"/>
          <w:sz w:val="24"/>
          <w:szCs w:val="24"/>
          <w:shd w:val="clear" w:fill="FFFFFF"/>
        </w:rPr>
        <w:t>1</w:t>
      </w:r>
      <w:r>
        <w:rPr>
          <w:rFonts w:hint="eastAsia" w:cs="宋体"/>
          <w:color w:val="333333"/>
          <w:sz w:val="24"/>
          <w:szCs w:val="24"/>
          <w:shd w:val="clear" w:fill="FFFFFF"/>
          <w:lang w:val="en-US" w:eastAsia="zh-CN"/>
        </w:rPr>
        <w:t>1</w:t>
      </w:r>
      <w:r>
        <w:rPr>
          <w:rFonts w:hint="eastAsia" w:ascii="宋体" w:hAnsi="宋体" w:eastAsia="宋体" w:cs="宋体"/>
          <w:color w:val="333333"/>
          <w:sz w:val="24"/>
          <w:szCs w:val="24"/>
          <w:shd w:val="clear" w:fill="FFFFFF"/>
        </w:rPr>
        <w:t>、安全目标：安全生产零事故；</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color w:val="333333"/>
          <w:sz w:val="24"/>
          <w:szCs w:val="24"/>
          <w:shd w:val="clear" w:fill="FFFFFF"/>
        </w:rPr>
      </w:pPr>
      <w:r>
        <w:rPr>
          <w:rFonts w:hint="eastAsia" w:ascii="宋体" w:hAnsi="宋体" w:eastAsia="宋体" w:cs="宋体"/>
          <w:color w:val="333333"/>
          <w:sz w:val="24"/>
          <w:szCs w:val="24"/>
          <w:shd w:val="clear" w:fill="FFFFFF"/>
        </w:rPr>
        <w:t>1</w:t>
      </w:r>
      <w:r>
        <w:rPr>
          <w:rFonts w:hint="eastAsia" w:cs="宋体"/>
          <w:color w:val="333333"/>
          <w:sz w:val="24"/>
          <w:szCs w:val="24"/>
          <w:shd w:val="clear" w:fill="FFFFFF"/>
          <w:lang w:val="en-US" w:eastAsia="zh-CN"/>
        </w:rPr>
        <w:t>2</w:t>
      </w:r>
      <w:r>
        <w:rPr>
          <w:rFonts w:hint="eastAsia" w:ascii="宋体" w:hAnsi="宋体" w:eastAsia="宋体" w:cs="宋体"/>
          <w:color w:val="333333"/>
          <w:sz w:val="24"/>
          <w:szCs w:val="24"/>
          <w:shd w:val="clear" w:fill="FFFFFF"/>
        </w:rPr>
        <w:t>、文明工地目标：市级文明工地。</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color w:val="333333"/>
          <w:sz w:val="24"/>
          <w:szCs w:val="24"/>
          <w:shd w:val="clear" w:fill="FFFFFF"/>
        </w:rPr>
      </w:pPr>
      <w:r>
        <w:rPr>
          <w:rFonts w:hint="eastAsia" w:ascii="宋体" w:hAnsi="宋体" w:eastAsia="宋体" w:cs="宋体"/>
          <w:color w:val="333333"/>
          <w:sz w:val="24"/>
          <w:szCs w:val="24"/>
          <w:shd w:val="clear" w:fill="FFFFFF"/>
        </w:rPr>
        <w:t>1</w:t>
      </w:r>
      <w:r>
        <w:rPr>
          <w:rFonts w:hint="eastAsia" w:cs="宋体"/>
          <w:color w:val="333333"/>
          <w:sz w:val="24"/>
          <w:szCs w:val="24"/>
          <w:shd w:val="clear" w:fill="FFFFFF"/>
          <w:lang w:val="en-US" w:eastAsia="zh-CN"/>
        </w:rPr>
        <w:t>3</w:t>
      </w:r>
      <w:r>
        <w:rPr>
          <w:rFonts w:hint="eastAsia" w:ascii="宋体" w:hAnsi="宋体" w:eastAsia="宋体" w:cs="宋体"/>
          <w:color w:val="333333"/>
          <w:sz w:val="24"/>
          <w:szCs w:val="24"/>
          <w:shd w:val="clear" w:fill="FFFFFF"/>
        </w:rPr>
        <w:t>、扬尘防治目标：严格按照国家、省、市扬尘污染防治标准及各项扬尘管控指令，做到“七个100%，八个必须”。</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color w:val="333333"/>
          <w:sz w:val="24"/>
          <w:szCs w:val="24"/>
          <w:shd w:val="clear" w:fill="FFFFFF"/>
        </w:rPr>
      </w:pPr>
      <w:r>
        <w:rPr>
          <w:rFonts w:hint="eastAsia" w:ascii="宋体" w:hAnsi="宋体" w:eastAsia="宋体" w:cs="宋体"/>
          <w:color w:val="333333"/>
          <w:sz w:val="24"/>
          <w:szCs w:val="24"/>
          <w:shd w:val="clear" w:fill="FFFFFF"/>
        </w:rPr>
        <w:t>1</w:t>
      </w:r>
      <w:r>
        <w:rPr>
          <w:rFonts w:hint="eastAsia" w:cs="宋体"/>
          <w:color w:val="333333"/>
          <w:sz w:val="24"/>
          <w:szCs w:val="24"/>
          <w:shd w:val="clear" w:fill="FFFFFF"/>
          <w:lang w:val="en-US" w:eastAsia="zh-CN"/>
        </w:rPr>
        <w:t>4</w:t>
      </w:r>
      <w:r>
        <w:rPr>
          <w:rFonts w:hint="eastAsia" w:ascii="宋体" w:hAnsi="宋体" w:eastAsia="宋体" w:cs="宋体"/>
          <w:color w:val="333333"/>
          <w:sz w:val="24"/>
          <w:szCs w:val="24"/>
          <w:shd w:val="clear" w:fill="FFFFFF"/>
        </w:rPr>
        <w:t>、落实政府采购政策满足的资格要求：根据《政府采购促进中小企业发展管理办法》财库〔2020〕46号，本项目支持中小微（监狱、残疾人福利性单位）企业，监狱企业、残疾人福利性单位视同小型、微型企业，所属行业：建筑业；节约能源，保护环境，落实绿色建筑、绿色建材，不发达、少数民族地区的企业，促进自主创新产业发展。</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2"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color w:val="333333"/>
          <w:sz w:val="24"/>
          <w:szCs w:val="24"/>
          <w:highlight w:val="none"/>
          <w:shd w:val="clear" w:fill="FFFFFF"/>
        </w:rPr>
        <w:t>三、投标人资格要求</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highlight w:val="none"/>
          <w:lang w:val="en-US" w:eastAsia="zh-CN"/>
        </w:rPr>
        <w:sectPr>
          <w:footerReference r:id="rId6" w:type="default"/>
          <w:footnotePr>
            <w:numFmt w:val="decimalEnclosedCircle"/>
          </w:footnotePr>
          <w:pgSz w:w="11906" w:h="16838"/>
          <w:pgMar w:top="1440" w:right="1028" w:bottom="1440" w:left="1218" w:header="851" w:footer="992" w:gutter="0"/>
          <w:pgNumType w:fmt="decimal" w:start="1"/>
          <w:cols w:space="720" w:num="1"/>
          <w:docGrid w:linePitch="312" w:charSpace="0"/>
        </w:sectPr>
      </w:pP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1.资质要求：</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（1）投标人须</w:t>
      </w:r>
      <w:r>
        <w:rPr>
          <w:rFonts w:hint="eastAsia" w:cs="宋体"/>
          <w:sz w:val="24"/>
          <w:szCs w:val="24"/>
          <w:highlight w:val="none"/>
          <w:lang w:val="en-US" w:eastAsia="zh-CN"/>
        </w:rPr>
        <w:t>具备</w:t>
      </w:r>
      <w:r>
        <w:rPr>
          <w:rFonts w:hint="eastAsia" w:ascii="宋体" w:hAnsi="宋体" w:eastAsia="宋体" w:cs="宋体"/>
          <w:sz w:val="24"/>
          <w:szCs w:val="24"/>
          <w:highlight w:val="none"/>
          <w:lang w:val="en-US" w:eastAsia="zh-CN"/>
        </w:rPr>
        <w:t>独立承担民事责任能力，具有有效的营业执照（须在投标文件中附营业执照原件扫描件并加盖企业电子章）；</w:t>
      </w:r>
    </w:p>
    <w:p>
      <w:pPr>
        <w:pStyle w:val="17"/>
        <w:keepNext w:val="0"/>
        <w:keepLines w:val="0"/>
        <w:pageBreakBefore w:val="0"/>
        <w:widowControl/>
        <w:suppressLineNumbers w:val="0"/>
        <w:kinsoku/>
        <w:wordWrap w:val="0"/>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投标人须具备建设行政主管部门颁发的公路工程施工总承包叁级及以上资质（含叁级）并具备有效的安全生产许可证。（须在投标文件中附资质证书、安全生产许可证原件扫描件并加盖企业电子章）；投标人应进入交通运输部“全国公路建设市场监督管理系统（https://hwdms.mot.gov.cn/BMWebSite/）”中的施工企业名录，且投标人名称和资质与该名录中的相应企业名称和资质完全一致。（须提供网站查询页面截图并加盖企业电子章）；</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2.人员要求：</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拟派项目经理须具备公路工程专业贰级及以上（含贰级）注册建造师证书，并具有有效的安全生产考核合格证书（交安B证）；提供在本单位缴纳的2023年7月以来任意连续3个月的社保证明（至少包含养老保险证明，以社保系统网页下载或社保中心出具的社保查询证明为准），拟派的项目经理目前未在其他项目上任职，提供无在建承诺，或虽在其他项目上任职但本项目中标后能够从该项目撤离，提供承诺书。（投标文件中须附以上证件的原件扫描件及项目经理承诺书并加盖企业电子章）。</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highlight w:val="none"/>
          <w:lang w:val="en-US" w:eastAsia="zh-CN"/>
        </w:rPr>
        <w:t>（2）拟派项目总工须具备公路工程相关专业中级（含）及以上职称，并提供在本单位缴纳的2023年7月以来任意连续3个月的社保证明（至少包含养老保险证明，以社保系统网页下载或社保中心出具的社保查询证明为准）；拟派的项目总工目前未在其他项目上任职，提供无在建承诺，或虽在其他项目上任职但本项目中标后能够从该项目撤离，提供承诺书，拟派项目经理和项目总工不得为同一人；（投标文件中须附以上</w:t>
      </w:r>
      <w:r>
        <w:rPr>
          <w:rFonts w:hint="eastAsia" w:ascii="宋体" w:hAnsi="宋体" w:eastAsia="宋体" w:cs="宋体"/>
          <w:sz w:val="24"/>
          <w:szCs w:val="24"/>
          <w:lang w:val="en-US" w:eastAsia="zh-CN"/>
        </w:rPr>
        <w:t>证件的原件扫描件及项目总工承诺书并加盖企业电子章）。</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3.业绩要求：投标人须提供</w:t>
      </w:r>
      <w:r>
        <w:rPr>
          <w:rFonts w:hint="eastAsia" w:ascii="宋体" w:hAnsi="宋体" w:eastAsia="宋体" w:cs="宋体"/>
          <w:sz w:val="24"/>
          <w:szCs w:val="24"/>
          <w:highlight w:val="none"/>
          <w:lang w:val="en-US" w:eastAsia="zh-CN"/>
        </w:rPr>
        <w:t>2021年1月1日以来至</w:t>
      </w:r>
      <w:r>
        <w:rPr>
          <w:rFonts w:hint="eastAsia" w:ascii="宋体" w:hAnsi="宋体" w:eastAsia="宋体" w:cs="宋体"/>
          <w:sz w:val="24"/>
          <w:szCs w:val="24"/>
          <w:lang w:val="en-US" w:eastAsia="zh-CN"/>
        </w:rPr>
        <w:t>投标截止时间</w:t>
      </w:r>
      <w:r>
        <w:rPr>
          <w:rFonts w:hint="eastAsia" w:cs="宋体"/>
          <w:sz w:val="24"/>
          <w:szCs w:val="24"/>
          <w:lang w:val="en-US" w:eastAsia="zh-CN"/>
        </w:rPr>
        <w:t>（</w:t>
      </w:r>
      <w:r>
        <w:rPr>
          <w:rFonts w:hint="eastAsia" w:ascii="宋体" w:hAnsi="宋体" w:eastAsia="宋体" w:cs="宋体"/>
          <w:sz w:val="24"/>
          <w:szCs w:val="24"/>
          <w:lang w:val="en-US" w:eastAsia="zh-CN"/>
        </w:rPr>
        <w:t>以交（竣）工日期为准），至少完成过1项不少于4公里</w:t>
      </w:r>
      <w:r>
        <w:rPr>
          <w:rFonts w:hint="eastAsia" w:cs="宋体"/>
          <w:sz w:val="24"/>
          <w:szCs w:val="24"/>
          <w:lang w:val="en-US" w:eastAsia="zh-CN"/>
        </w:rPr>
        <w:t>的三级公路</w:t>
      </w:r>
      <w:r>
        <w:rPr>
          <w:rFonts w:hint="eastAsia" w:ascii="宋体" w:hAnsi="宋体" w:eastAsia="宋体" w:cs="宋体"/>
          <w:sz w:val="24"/>
          <w:szCs w:val="24"/>
          <w:lang w:val="en-US" w:eastAsia="zh-CN"/>
        </w:rPr>
        <w:t>（含）及以上公路新建（</w:t>
      </w:r>
      <w:r>
        <w:rPr>
          <w:rFonts w:hint="eastAsia" w:cs="宋体"/>
          <w:sz w:val="24"/>
          <w:szCs w:val="24"/>
          <w:lang w:val="en-US" w:eastAsia="zh-CN"/>
        </w:rPr>
        <w:t>或</w:t>
      </w:r>
      <w:r>
        <w:rPr>
          <w:rFonts w:hint="eastAsia" w:ascii="宋体" w:hAnsi="宋体" w:eastAsia="宋体" w:cs="宋体"/>
          <w:sz w:val="24"/>
          <w:szCs w:val="24"/>
          <w:lang w:val="en-US" w:eastAsia="zh-CN"/>
        </w:rPr>
        <w:t>改建、扩</w:t>
      </w:r>
      <w:r>
        <w:rPr>
          <w:rFonts w:hint="eastAsia" w:cs="宋体"/>
          <w:sz w:val="24"/>
          <w:szCs w:val="24"/>
          <w:lang w:val="en-US" w:eastAsia="zh-CN"/>
        </w:rPr>
        <w:t>建</w:t>
      </w:r>
      <w:r>
        <w:rPr>
          <w:rFonts w:hint="eastAsia" w:ascii="宋体" w:hAnsi="宋体" w:eastAsia="宋体" w:cs="宋体"/>
          <w:sz w:val="24"/>
          <w:szCs w:val="24"/>
          <w:lang w:val="en-US" w:eastAsia="zh-CN"/>
        </w:rPr>
        <w:t>）</w:t>
      </w:r>
      <w:r>
        <w:rPr>
          <w:rFonts w:hint="eastAsia" w:cs="宋体"/>
          <w:sz w:val="24"/>
          <w:szCs w:val="24"/>
          <w:lang w:val="en-US" w:eastAsia="zh-CN"/>
        </w:rPr>
        <w:t>工程施工</w:t>
      </w:r>
      <w:r>
        <w:rPr>
          <w:rFonts w:hint="eastAsia" w:ascii="宋体" w:hAnsi="宋体" w:eastAsia="宋体" w:cs="宋体"/>
          <w:sz w:val="24"/>
          <w:szCs w:val="24"/>
          <w:lang w:val="en-US" w:eastAsia="zh-CN"/>
        </w:rPr>
        <w:t>业绩。（须在投标文件中提供中标通知书原件扫描件、合同原件扫描件、交（竣）工验收证书原件扫描件及中标公示或公告网页查询截图并加盖企业电子章）。</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信誉要求：根据《河南省公路建设市场从业单位及人员信用管理办法》，被河南省交通运输厅2021年以来公路施工企业信用等级评价为D级（黑名单）的投标人的投标文件将不予接受（须提供网上查询结果截图并加盖企业电子章）；</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rPr>
      </w:pPr>
      <w:r>
        <w:rPr>
          <w:rFonts w:hint="eastAsia" w:ascii="宋体" w:hAnsi="宋体" w:eastAsia="宋体" w:cs="宋体"/>
          <w:color w:val="333333"/>
          <w:sz w:val="24"/>
          <w:szCs w:val="24"/>
          <w:shd w:val="clear" w:fill="FFFFFF"/>
          <w:lang w:val="en-US" w:eastAsia="zh-CN"/>
        </w:rPr>
        <w:t>5.</w:t>
      </w:r>
      <w:r>
        <w:rPr>
          <w:rFonts w:hint="eastAsia" w:ascii="宋体" w:hAnsi="宋体" w:eastAsia="宋体" w:cs="宋体"/>
          <w:color w:val="333333"/>
          <w:sz w:val="24"/>
          <w:szCs w:val="24"/>
          <w:shd w:val="clear" w:fill="FFFFFF"/>
        </w:rPr>
        <w:t>根据《河南省全面推行证明事项告知承诺制工作实施方案》（豫政办〔2021〕2号）文件，投标人须按照规定提供“信用承诺函”，投标时不再提供以下证明材料：</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rPr>
      </w:pPr>
      <w:r>
        <w:rPr>
          <w:rFonts w:hint="eastAsia" w:ascii="宋体" w:hAnsi="宋体" w:eastAsia="宋体" w:cs="宋体"/>
          <w:color w:val="333333"/>
          <w:sz w:val="24"/>
          <w:szCs w:val="24"/>
          <w:shd w:val="clear" w:fill="FFFFFF"/>
        </w:rPr>
        <w:t>①符合国家相关规定的财务状况报告；</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rPr>
      </w:pPr>
      <w:r>
        <w:rPr>
          <w:rFonts w:hint="eastAsia" w:ascii="宋体" w:hAnsi="宋体" w:eastAsia="宋体" w:cs="宋体"/>
          <w:color w:val="333333"/>
          <w:sz w:val="24"/>
          <w:szCs w:val="24"/>
          <w:shd w:val="clear" w:fill="FFFFFF"/>
        </w:rPr>
        <w:t>②依法缴纳税收的证明材料；</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rPr>
      </w:pPr>
      <w:r>
        <w:rPr>
          <w:rFonts w:hint="eastAsia" w:ascii="宋体" w:hAnsi="宋体" w:eastAsia="宋体" w:cs="宋体"/>
          <w:color w:val="333333"/>
          <w:sz w:val="24"/>
          <w:szCs w:val="24"/>
          <w:shd w:val="clear" w:fill="FFFFFF"/>
        </w:rPr>
        <w:t>③依法缴纳社会保障资金的证明材料；</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rPr>
      </w:pPr>
      <w:r>
        <w:rPr>
          <w:rFonts w:hint="eastAsia" w:ascii="宋体" w:hAnsi="宋体" w:eastAsia="宋体" w:cs="宋体"/>
          <w:color w:val="333333"/>
          <w:sz w:val="24"/>
          <w:szCs w:val="24"/>
          <w:shd w:val="clear" w:fill="FFFFFF"/>
        </w:rPr>
        <w:t>④具备履行合同所必需的设备和专业技术能力的证明材料；</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rPr>
      </w:pPr>
      <w:r>
        <w:rPr>
          <w:rFonts w:hint="eastAsia" w:ascii="宋体" w:hAnsi="宋体" w:eastAsia="宋体" w:cs="宋体"/>
          <w:color w:val="333333"/>
          <w:sz w:val="24"/>
          <w:szCs w:val="24"/>
          <w:shd w:val="clear" w:fill="FFFFFF"/>
        </w:rPr>
        <w:t>⑤参加招标活动前三年内在经营活动中没有重大违法记录的证明材料；</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rPr>
      </w:pPr>
      <w:r>
        <w:rPr>
          <w:rFonts w:hint="eastAsia" w:ascii="宋体" w:hAnsi="宋体" w:eastAsia="宋体" w:cs="宋体"/>
          <w:color w:val="333333"/>
          <w:sz w:val="24"/>
          <w:szCs w:val="24"/>
          <w:shd w:val="clear" w:fill="FFFFFF"/>
        </w:rPr>
        <w:t>⑥未被列入失信被执行人、重大税收违法案件当事人名单、政府采购严重违法失信行为记录名单的证明材料。</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rPr>
      </w:pPr>
      <w:r>
        <w:rPr>
          <w:rFonts w:hint="eastAsia" w:ascii="宋体" w:hAnsi="宋体" w:eastAsia="宋体" w:cs="宋体"/>
          <w:color w:val="333333"/>
          <w:sz w:val="24"/>
          <w:szCs w:val="24"/>
          <w:shd w:val="clear" w:fill="FFFFFF"/>
        </w:rPr>
        <w:t>注：上述所需证明资料第</w:t>
      </w:r>
      <w:r>
        <w:rPr>
          <w:rFonts w:hint="eastAsia" w:ascii="宋体" w:hAnsi="宋体" w:eastAsia="宋体" w:cs="宋体"/>
          <w:color w:val="333333"/>
          <w:sz w:val="24"/>
          <w:szCs w:val="24"/>
          <w:shd w:val="clear" w:fill="FFFFFF"/>
          <w:lang w:val="en-US" w:eastAsia="zh-CN"/>
        </w:rPr>
        <w:t>1</w:t>
      </w:r>
      <w:r>
        <w:rPr>
          <w:rFonts w:hint="eastAsia" w:ascii="宋体" w:hAnsi="宋体" w:eastAsia="宋体" w:cs="宋体"/>
          <w:color w:val="333333"/>
          <w:sz w:val="24"/>
          <w:szCs w:val="24"/>
          <w:shd w:val="clear" w:fill="FFFFFF"/>
        </w:rPr>
        <w:t>-</w:t>
      </w:r>
      <w:r>
        <w:rPr>
          <w:rFonts w:hint="eastAsia" w:ascii="宋体" w:hAnsi="宋体" w:eastAsia="宋体" w:cs="宋体"/>
          <w:color w:val="333333"/>
          <w:sz w:val="24"/>
          <w:szCs w:val="24"/>
          <w:shd w:val="clear" w:fill="FFFFFF"/>
          <w:lang w:val="en-US" w:eastAsia="zh-CN"/>
        </w:rPr>
        <w:t>4</w:t>
      </w:r>
      <w:r>
        <w:rPr>
          <w:rFonts w:hint="eastAsia" w:ascii="宋体" w:hAnsi="宋体" w:eastAsia="宋体" w:cs="宋体"/>
          <w:color w:val="333333"/>
          <w:sz w:val="24"/>
          <w:szCs w:val="24"/>
          <w:shd w:val="clear" w:fill="FFFFFF"/>
        </w:rPr>
        <w:t>项须在投标文件内附相关资料的</w:t>
      </w:r>
      <w:r>
        <w:rPr>
          <w:rFonts w:hint="eastAsia" w:cs="宋体"/>
          <w:color w:val="333333"/>
          <w:sz w:val="24"/>
          <w:szCs w:val="24"/>
          <w:shd w:val="clear" w:fill="FFFFFF"/>
          <w:lang w:eastAsia="zh-CN"/>
        </w:rPr>
        <w:t>原件</w:t>
      </w:r>
      <w:r>
        <w:rPr>
          <w:rFonts w:hint="eastAsia" w:ascii="宋体" w:hAnsi="宋体" w:eastAsia="宋体" w:cs="宋体"/>
          <w:color w:val="333333"/>
          <w:sz w:val="24"/>
          <w:szCs w:val="24"/>
          <w:shd w:val="clear" w:fill="FFFFFF"/>
        </w:rPr>
        <w:t>扫描件/复印件/照片，第</w:t>
      </w:r>
      <w:r>
        <w:rPr>
          <w:rFonts w:hint="eastAsia" w:ascii="宋体" w:hAnsi="宋体" w:eastAsia="宋体" w:cs="宋体"/>
          <w:color w:val="333333"/>
          <w:sz w:val="24"/>
          <w:szCs w:val="24"/>
          <w:shd w:val="clear" w:fill="FFFFFF"/>
          <w:lang w:val="en-US" w:eastAsia="zh-CN"/>
        </w:rPr>
        <w:t>5</w:t>
      </w:r>
      <w:r>
        <w:rPr>
          <w:rFonts w:hint="eastAsia" w:ascii="宋体" w:hAnsi="宋体" w:eastAsia="宋体" w:cs="宋体"/>
          <w:color w:val="333333"/>
          <w:sz w:val="24"/>
          <w:szCs w:val="24"/>
          <w:shd w:val="clear" w:fill="FFFFFF"/>
        </w:rPr>
        <w:t>项须提供信用承诺函（格式详见招标文件），招标人有权在签订合同前要求中标人提供相关证明材料以核实中标单位承诺事项的真实性。如发现存在隐瞒及虚假承诺等情况，招标人有权取消其中标资格。</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6.与招标人存在利害关系可能影响招标公正性的单位，不得参加投标。单位负责人为同一人或存在控股、管理关系的不同单位，不得同时参加本项目投标，否则，相关投标均无效。</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7.本项目资格审查采用资格后审形式，资格审查未通过的取消投标资格。</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8.本次招标不接受联合体。</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2" w:firstLineChars="200"/>
        <w:jc w:val="left"/>
        <w:textAlignment w:val="auto"/>
        <w:rPr>
          <w:rFonts w:hint="eastAsia" w:ascii="宋体" w:hAnsi="宋体" w:eastAsia="宋体" w:cs="宋体"/>
          <w:sz w:val="24"/>
          <w:szCs w:val="24"/>
        </w:rPr>
      </w:pPr>
      <w:r>
        <w:rPr>
          <w:rFonts w:hint="eastAsia" w:ascii="宋体" w:hAnsi="宋体" w:eastAsia="宋体" w:cs="宋体"/>
          <w:b/>
          <w:bCs/>
          <w:color w:val="333333"/>
          <w:sz w:val="24"/>
          <w:szCs w:val="24"/>
          <w:shd w:val="clear" w:fill="FFFFFF"/>
        </w:rPr>
        <w:t>四、招标文件的获取</w:t>
      </w:r>
    </w:p>
    <w:p>
      <w:pPr>
        <w:pStyle w:val="17"/>
        <w:keepNext w:val="0"/>
        <w:keepLines w:val="0"/>
        <w:pageBreakBefore w:val="0"/>
        <w:widowControl/>
        <w:suppressLineNumbers w:val="0"/>
        <w:kinsoku/>
        <w:wordWrap w:val="0"/>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rPr>
      </w:pPr>
      <w:r>
        <w:rPr>
          <w:rFonts w:hint="eastAsia" w:ascii="宋体" w:hAnsi="宋体" w:eastAsia="宋体" w:cs="宋体"/>
          <w:color w:val="333333"/>
          <w:sz w:val="24"/>
          <w:szCs w:val="24"/>
          <w:shd w:val="clear" w:fill="FFFFFF"/>
        </w:rPr>
        <w:t>1、本次招标文件在网上获取，请登录洛阳市公共资源交易中心网站（</w:t>
      </w:r>
      <w:r>
        <w:rPr>
          <w:rFonts w:hint="eastAsia" w:ascii="宋体" w:hAnsi="宋体" w:eastAsia="宋体" w:cs="宋体"/>
          <w:color w:val="333333"/>
          <w:sz w:val="24"/>
          <w:szCs w:val="24"/>
          <w:shd w:val="clear" w:fill="FFFFFF"/>
          <w:lang w:eastAsia="zh-CN"/>
        </w:rPr>
        <w:t>http://111.7.67.183/</w:t>
      </w:r>
      <w:r>
        <w:rPr>
          <w:rFonts w:hint="eastAsia" w:ascii="宋体" w:hAnsi="宋体" w:eastAsia="宋体" w:cs="宋体"/>
          <w:color w:val="333333"/>
          <w:sz w:val="24"/>
          <w:szCs w:val="24"/>
          <w:shd w:val="clear" w:fill="FFFFFF"/>
        </w:rPr>
        <w:t>），点击“交易登录”进入“洛阳市电子招投标交易平台”进行用户注册，并办理CA数字证书。详见洛阳市公共资源交易中心网站—办事指南—办事流程—主体注册CA办理。</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rPr>
      </w:pPr>
      <w:r>
        <w:rPr>
          <w:rFonts w:hint="eastAsia" w:ascii="宋体" w:hAnsi="宋体" w:eastAsia="宋体" w:cs="宋体"/>
          <w:color w:val="333333"/>
          <w:sz w:val="24"/>
          <w:szCs w:val="24"/>
          <w:shd w:val="clear" w:fill="FFFFFF"/>
        </w:rPr>
        <w:t>2、办理数字证书后，请</w:t>
      </w:r>
      <w:r>
        <w:rPr>
          <w:rFonts w:hint="eastAsia" w:ascii="宋体" w:hAnsi="宋体" w:eastAsia="宋体" w:cs="宋体"/>
          <w:color w:val="333333"/>
          <w:sz w:val="24"/>
          <w:szCs w:val="24"/>
          <w:highlight w:val="none"/>
          <w:shd w:val="clear" w:fill="FFFFFF"/>
        </w:rPr>
        <w:t>于2024年</w:t>
      </w:r>
      <w:r>
        <w:rPr>
          <w:rFonts w:hint="eastAsia" w:cs="宋体"/>
          <w:color w:val="333333"/>
          <w:sz w:val="24"/>
          <w:szCs w:val="24"/>
          <w:highlight w:val="none"/>
          <w:shd w:val="clear" w:fill="FFFFFF"/>
          <w:lang w:val="en-US" w:eastAsia="zh-CN"/>
        </w:rPr>
        <w:t>04</w:t>
      </w:r>
      <w:r>
        <w:rPr>
          <w:rFonts w:hint="eastAsia" w:ascii="宋体" w:hAnsi="宋体" w:eastAsia="宋体" w:cs="宋体"/>
          <w:color w:val="333333"/>
          <w:sz w:val="24"/>
          <w:szCs w:val="24"/>
          <w:highlight w:val="none"/>
          <w:shd w:val="clear" w:fill="FFFFFF"/>
        </w:rPr>
        <w:t>月</w:t>
      </w:r>
      <w:r>
        <w:rPr>
          <w:rFonts w:hint="eastAsia" w:cs="宋体"/>
          <w:color w:val="333333"/>
          <w:sz w:val="24"/>
          <w:szCs w:val="24"/>
          <w:highlight w:val="none"/>
          <w:shd w:val="clear" w:fill="FFFFFF"/>
          <w:lang w:val="en-US" w:eastAsia="zh-CN"/>
        </w:rPr>
        <w:t>26</w:t>
      </w:r>
      <w:r>
        <w:rPr>
          <w:rFonts w:hint="eastAsia" w:ascii="宋体" w:hAnsi="宋体" w:eastAsia="宋体" w:cs="宋体"/>
          <w:color w:val="333333"/>
          <w:sz w:val="24"/>
          <w:szCs w:val="24"/>
          <w:highlight w:val="none"/>
          <w:shd w:val="clear" w:fill="FFFFFF"/>
        </w:rPr>
        <w:t>日至2024年</w:t>
      </w:r>
      <w:r>
        <w:rPr>
          <w:rFonts w:hint="eastAsia" w:cs="宋体"/>
          <w:color w:val="333333"/>
          <w:sz w:val="24"/>
          <w:szCs w:val="24"/>
          <w:highlight w:val="none"/>
          <w:shd w:val="clear" w:fill="FFFFFF"/>
          <w:lang w:val="en-US" w:eastAsia="zh-CN"/>
        </w:rPr>
        <w:t>05</w:t>
      </w:r>
      <w:r>
        <w:rPr>
          <w:rFonts w:hint="eastAsia" w:ascii="宋体" w:hAnsi="宋体" w:eastAsia="宋体" w:cs="宋体"/>
          <w:color w:val="333333"/>
          <w:sz w:val="24"/>
          <w:szCs w:val="24"/>
          <w:highlight w:val="none"/>
          <w:shd w:val="clear" w:fill="FFFFFF"/>
        </w:rPr>
        <w:t>月</w:t>
      </w:r>
      <w:r>
        <w:rPr>
          <w:rFonts w:hint="eastAsia" w:cs="宋体"/>
          <w:color w:val="333333"/>
          <w:sz w:val="24"/>
          <w:szCs w:val="24"/>
          <w:highlight w:val="none"/>
          <w:shd w:val="clear" w:fill="FFFFFF"/>
          <w:lang w:val="en-US" w:eastAsia="zh-CN"/>
        </w:rPr>
        <w:t>06</w:t>
      </w:r>
      <w:r>
        <w:rPr>
          <w:rFonts w:hint="eastAsia" w:ascii="宋体" w:hAnsi="宋体" w:eastAsia="宋体" w:cs="宋体"/>
          <w:color w:val="333333"/>
          <w:sz w:val="24"/>
          <w:szCs w:val="24"/>
          <w:highlight w:val="none"/>
          <w:shd w:val="clear" w:fill="FFFFFF"/>
        </w:rPr>
        <w:t>日24:00</w:t>
      </w:r>
      <w:r>
        <w:rPr>
          <w:rFonts w:hint="eastAsia" w:ascii="宋体" w:hAnsi="宋体" w:eastAsia="宋体" w:cs="宋体"/>
          <w:color w:val="333333"/>
          <w:sz w:val="24"/>
          <w:szCs w:val="24"/>
          <w:shd w:val="clear" w:fill="FFFFFF"/>
        </w:rPr>
        <w:t>，登录洛阳市公共资源交易中心网站，点击“交易登录”，选择“证书Key”方式登录，免费下载招标文件。如投多个标段，则应就所投每个标段分别下载获取。联合体投标的，由联合体牵头人完成招标文件下载。</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rPr>
      </w:pPr>
      <w:r>
        <w:rPr>
          <w:rFonts w:hint="eastAsia" w:ascii="宋体" w:hAnsi="宋体" w:eastAsia="宋体" w:cs="宋体"/>
          <w:color w:val="333333"/>
          <w:sz w:val="24"/>
          <w:szCs w:val="24"/>
          <w:shd w:val="clear" w:fill="FFFFFF"/>
        </w:rPr>
        <w:t>3、获取招标文件后，请到洛阳市公共资源交易中心网站—办事指南—下载中心栏目下载并安装最新版本投标文件制作工具，查看招标文件和制作电子投标文件。</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2" w:firstLineChars="200"/>
        <w:jc w:val="left"/>
        <w:textAlignment w:val="auto"/>
        <w:rPr>
          <w:rFonts w:hint="eastAsia" w:ascii="宋体" w:hAnsi="宋体" w:eastAsia="宋体" w:cs="宋体"/>
          <w:sz w:val="24"/>
          <w:szCs w:val="24"/>
        </w:rPr>
      </w:pPr>
      <w:r>
        <w:rPr>
          <w:rFonts w:hint="eastAsia" w:ascii="宋体" w:hAnsi="宋体" w:eastAsia="宋体" w:cs="宋体"/>
          <w:b/>
          <w:bCs/>
          <w:color w:val="333333"/>
          <w:sz w:val="24"/>
          <w:szCs w:val="24"/>
          <w:shd w:val="clear" w:fill="FFFFFF"/>
        </w:rPr>
        <w:t>五、投标文件的递交</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rPr>
      </w:pPr>
      <w:r>
        <w:rPr>
          <w:rFonts w:hint="eastAsia" w:ascii="宋体" w:hAnsi="宋体" w:eastAsia="宋体" w:cs="宋体"/>
          <w:color w:val="333333"/>
          <w:sz w:val="24"/>
          <w:szCs w:val="24"/>
          <w:shd w:val="clear" w:fill="FFFFFF"/>
        </w:rPr>
        <w:t>1、投标文件递交的截止时间（投标截止时间</w:t>
      </w:r>
      <w:r>
        <w:rPr>
          <w:rFonts w:hint="eastAsia" w:ascii="宋体" w:hAnsi="宋体" w:eastAsia="宋体" w:cs="宋体"/>
          <w:color w:val="333333"/>
          <w:sz w:val="24"/>
          <w:szCs w:val="24"/>
          <w:highlight w:val="none"/>
          <w:shd w:val="clear" w:fill="FFFFFF"/>
        </w:rPr>
        <w:t>）为2024年</w:t>
      </w:r>
      <w:r>
        <w:rPr>
          <w:rFonts w:hint="eastAsia" w:cs="宋体"/>
          <w:color w:val="333333"/>
          <w:sz w:val="24"/>
          <w:szCs w:val="24"/>
          <w:highlight w:val="none"/>
          <w:shd w:val="clear" w:fill="FFFFFF"/>
          <w:lang w:val="en-US" w:eastAsia="zh-CN"/>
        </w:rPr>
        <w:t>05</w:t>
      </w:r>
      <w:r>
        <w:rPr>
          <w:rFonts w:hint="eastAsia" w:ascii="宋体" w:hAnsi="宋体" w:eastAsia="宋体" w:cs="宋体"/>
          <w:color w:val="333333"/>
          <w:sz w:val="24"/>
          <w:szCs w:val="24"/>
          <w:highlight w:val="none"/>
          <w:shd w:val="clear" w:fill="FFFFFF"/>
        </w:rPr>
        <w:t>月</w:t>
      </w:r>
      <w:r>
        <w:rPr>
          <w:rFonts w:hint="eastAsia" w:cs="宋体"/>
          <w:color w:val="333333"/>
          <w:sz w:val="24"/>
          <w:szCs w:val="24"/>
          <w:highlight w:val="none"/>
          <w:shd w:val="clear" w:fill="FFFFFF"/>
          <w:lang w:val="en-US" w:eastAsia="zh-CN"/>
        </w:rPr>
        <w:t>16</w:t>
      </w:r>
      <w:r>
        <w:rPr>
          <w:rFonts w:hint="eastAsia" w:ascii="宋体" w:hAnsi="宋体" w:eastAsia="宋体" w:cs="宋体"/>
          <w:color w:val="333333"/>
          <w:sz w:val="24"/>
          <w:szCs w:val="24"/>
          <w:highlight w:val="none"/>
          <w:shd w:val="clear" w:fill="FFFFFF"/>
        </w:rPr>
        <w:t>日</w:t>
      </w:r>
      <w:r>
        <w:rPr>
          <w:rFonts w:hint="eastAsia" w:cs="宋体"/>
          <w:color w:val="333333"/>
          <w:sz w:val="24"/>
          <w:szCs w:val="24"/>
          <w:highlight w:val="none"/>
          <w:shd w:val="clear" w:fill="FFFFFF"/>
          <w:lang w:val="en-US" w:eastAsia="zh-CN"/>
        </w:rPr>
        <w:t>09</w:t>
      </w:r>
      <w:r>
        <w:rPr>
          <w:rFonts w:hint="eastAsia" w:ascii="宋体" w:hAnsi="宋体" w:eastAsia="宋体" w:cs="宋体"/>
          <w:color w:val="333333"/>
          <w:sz w:val="24"/>
          <w:szCs w:val="24"/>
          <w:highlight w:val="none"/>
          <w:shd w:val="clear" w:fill="FFFFFF"/>
        </w:rPr>
        <w:t>时</w:t>
      </w:r>
      <w:r>
        <w:rPr>
          <w:rFonts w:hint="eastAsia" w:cs="宋体"/>
          <w:color w:val="333333"/>
          <w:sz w:val="24"/>
          <w:szCs w:val="24"/>
          <w:highlight w:val="none"/>
          <w:shd w:val="clear" w:fill="FFFFFF"/>
          <w:lang w:val="en-US" w:eastAsia="zh-CN"/>
        </w:rPr>
        <w:t>30</w:t>
      </w:r>
      <w:r>
        <w:rPr>
          <w:rFonts w:hint="eastAsia" w:ascii="宋体" w:hAnsi="宋体" w:eastAsia="宋体" w:cs="宋体"/>
          <w:color w:val="333333"/>
          <w:sz w:val="24"/>
          <w:szCs w:val="24"/>
          <w:highlight w:val="none"/>
          <w:shd w:val="clear" w:fill="FFFFFF"/>
        </w:rPr>
        <w:t>分(北</w:t>
      </w:r>
      <w:r>
        <w:rPr>
          <w:rFonts w:hint="eastAsia" w:ascii="宋体" w:hAnsi="宋体" w:eastAsia="宋体" w:cs="宋体"/>
          <w:color w:val="333333"/>
          <w:sz w:val="24"/>
          <w:szCs w:val="24"/>
          <w:shd w:val="clear" w:fill="FFFFFF"/>
        </w:rPr>
        <w:t>京时间)。</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rPr>
      </w:pPr>
      <w:r>
        <w:rPr>
          <w:rFonts w:hint="eastAsia" w:ascii="宋体" w:hAnsi="宋体" w:eastAsia="宋体" w:cs="宋体"/>
          <w:color w:val="333333"/>
          <w:sz w:val="24"/>
          <w:szCs w:val="24"/>
          <w:shd w:val="clear" w:fill="FFFFFF"/>
        </w:rPr>
        <w:t>2、投标文件接收地点及开标地点为</w:t>
      </w:r>
      <w:r>
        <w:rPr>
          <w:rFonts w:hint="eastAsia" w:ascii="宋体" w:hAnsi="宋体" w:eastAsia="宋体" w:cs="宋体"/>
          <w:color w:val="333333"/>
          <w:sz w:val="24"/>
          <w:szCs w:val="24"/>
          <w:shd w:val="clear" w:fill="FFFFFF"/>
          <w:lang w:val="en-US" w:eastAsia="zh-CN"/>
        </w:rPr>
        <w:t>伊川县</w:t>
      </w:r>
      <w:r>
        <w:rPr>
          <w:rFonts w:hint="eastAsia" w:ascii="宋体" w:hAnsi="宋体" w:eastAsia="宋体" w:cs="宋体"/>
          <w:color w:val="333333"/>
          <w:sz w:val="24"/>
          <w:szCs w:val="24"/>
          <w:shd w:val="clear" w:fill="FFFFFF"/>
        </w:rPr>
        <w:t>公共资源交易中</w:t>
      </w:r>
      <w:r>
        <w:rPr>
          <w:rFonts w:hint="eastAsia" w:ascii="宋体" w:hAnsi="宋体" w:eastAsia="宋体" w:cs="宋体"/>
          <w:color w:val="333333"/>
          <w:sz w:val="24"/>
          <w:szCs w:val="24"/>
          <w:highlight w:val="none"/>
          <w:shd w:val="clear" w:fill="FFFFFF"/>
        </w:rPr>
        <w:t>心开标</w:t>
      </w:r>
      <w:r>
        <w:rPr>
          <w:rFonts w:hint="eastAsia" w:cs="宋体"/>
          <w:color w:val="333333"/>
          <w:sz w:val="24"/>
          <w:szCs w:val="24"/>
          <w:highlight w:val="none"/>
          <w:shd w:val="clear" w:fill="FFFFFF"/>
          <w:lang w:val="en-US" w:eastAsia="zh-CN"/>
        </w:rPr>
        <w:t>一</w:t>
      </w:r>
      <w:r>
        <w:rPr>
          <w:rFonts w:hint="eastAsia" w:ascii="宋体" w:hAnsi="宋体" w:eastAsia="宋体" w:cs="宋体"/>
          <w:color w:val="333333"/>
          <w:sz w:val="24"/>
          <w:szCs w:val="24"/>
          <w:highlight w:val="none"/>
          <w:shd w:val="clear" w:fill="FFFFFF"/>
        </w:rPr>
        <w:t>室</w:t>
      </w:r>
      <w:r>
        <w:rPr>
          <w:rFonts w:hint="eastAsia" w:cs="宋体"/>
          <w:color w:val="333333"/>
          <w:sz w:val="24"/>
          <w:szCs w:val="24"/>
          <w:highlight w:val="none"/>
          <w:shd w:val="clear" w:fill="FFFFFF"/>
          <w:lang w:eastAsia="zh-CN"/>
        </w:rPr>
        <w:t>（</w:t>
      </w:r>
      <w:r>
        <w:rPr>
          <w:rFonts w:hint="eastAsia" w:cs="宋体"/>
          <w:color w:val="333333"/>
          <w:sz w:val="24"/>
          <w:szCs w:val="24"/>
          <w:highlight w:val="none"/>
          <w:shd w:val="clear" w:fill="FFFFFF"/>
          <w:lang w:val="en-US" w:eastAsia="zh-CN"/>
        </w:rPr>
        <w:t>伊川县</w:t>
      </w:r>
      <w:r>
        <w:rPr>
          <w:rFonts w:hint="eastAsia" w:cs="宋体"/>
          <w:color w:val="333333"/>
          <w:sz w:val="24"/>
          <w:szCs w:val="24"/>
          <w:highlight w:val="none"/>
          <w:shd w:val="clear" w:fill="FFFFFF"/>
          <w:lang w:eastAsia="zh-CN"/>
        </w:rPr>
        <w:t>）</w:t>
      </w:r>
      <w:r>
        <w:rPr>
          <w:rFonts w:hint="eastAsia" w:ascii="宋体" w:hAnsi="宋体" w:eastAsia="宋体" w:cs="宋体"/>
          <w:color w:val="333333"/>
          <w:sz w:val="24"/>
          <w:szCs w:val="24"/>
          <w:shd w:val="clear" w:fill="FFFFFF"/>
        </w:rPr>
        <w:t>。</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color w:val="333333"/>
          <w:sz w:val="24"/>
          <w:szCs w:val="24"/>
          <w:shd w:val="clear" w:fill="FFFFFF"/>
        </w:rPr>
        <w:t>3、投标人应在投标截止时间前，通过互联网使用CA数字证书登录洛阳市公共资源交易中心网站，将加密的投标文件上传至“洛阳市电子招投标交易平台”指定位置，上传成功后将得到上传成功的确认。投标人应充分考虑上传文件时的不可预见因素，未在投标截止时间前完成上传的，视为逾期送达，洛阳市电子招投标交易平台将拒绝接收。</w:t>
      </w:r>
    </w:p>
    <w:p>
      <w:pPr>
        <w:pStyle w:val="17"/>
        <w:keepNext w:val="0"/>
        <w:keepLines w:val="0"/>
        <w:pageBreakBefore w:val="0"/>
        <w:widowControl/>
        <w:suppressLineNumbers w:val="0"/>
        <w:kinsoku/>
        <w:wordWrap w:val="0"/>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rPr>
      </w:pPr>
      <w:r>
        <w:rPr>
          <w:rFonts w:hint="eastAsia" w:ascii="宋体" w:hAnsi="宋体" w:eastAsia="宋体" w:cs="宋体"/>
          <w:color w:val="333333"/>
          <w:sz w:val="24"/>
          <w:szCs w:val="24"/>
          <w:shd w:val="clear" w:fill="FFFFFF"/>
        </w:rPr>
        <w:t>4、本项目采用远程不见面交易的模式，开标当日，投标人无需到开标现场参加开标会议，投标人应当在投标截止时间前，登录到洛阳市电子招投标交易平台（http://61.168.99.35/TPBidder），点击右上方【不见面开标大厅】按钮进入，在线准时参加开标活动并进行投标文件解密等。因投标人原因未能解密、解密失败或解密超时的将被拒绝。请参照洛阳市公共资源交易中心首页-办事指南-下载中心-操作手册-《洛阳市公共资源交易中心不见面开标大厅操作手册（投标人）》。</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color w:val="333333"/>
          <w:sz w:val="24"/>
          <w:szCs w:val="24"/>
          <w:shd w:val="clear" w:fill="FFFFFF"/>
        </w:rPr>
        <w:t>5、除电子投标文件外，投标时不再接受任何纸质文件、资料等。逾期送达的或者未送达指定地点的投标文件，招标人不予受理。</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2" w:firstLineChars="200"/>
        <w:jc w:val="left"/>
        <w:textAlignment w:val="auto"/>
        <w:rPr>
          <w:rFonts w:hint="eastAsia" w:ascii="宋体" w:hAnsi="宋体" w:eastAsia="宋体" w:cs="宋体"/>
          <w:sz w:val="24"/>
          <w:szCs w:val="24"/>
        </w:rPr>
      </w:pPr>
      <w:r>
        <w:rPr>
          <w:rFonts w:hint="eastAsia" w:ascii="宋体" w:hAnsi="宋体" w:eastAsia="宋体" w:cs="宋体"/>
          <w:b/>
          <w:bCs/>
          <w:color w:val="333333"/>
          <w:sz w:val="24"/>
          <w:szCs w:val="24"/>
          <w:shd w:val="clear" w:fill="FFFFFF"/>
        </w:rPr>
        <w:t>六、提出异议的渠道和方式</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rPr>
      </w:pPr>
      <w:r>
        <w:rPr>
          <w:rFonts w:hint="eastAsia" w:ascii="宋体" w:hAnsi="宋体" w:eastAsia="宋体" w:cs="宋体"/>
          <w:color w:val="333333"/>
          <w:sz w:val="24"/>
          <w:szCs w:val="24"/>
          <w:shd w:val="clear" w:fill="FFFFFF"/>
        </w:rPr>
        <w:t>投标人或者其他利害关系人对招标文件有异议的，应当在投标截止时间10日前通过交易系统内向招标人或招标代理机构提交异议函(法定代表人签字并加盖单位公章)，委托他人提出异议的，需一并提交授权委托书和授权委托人身份证明，邮寄件、传真件不予受理。逾期未提交或未按照要求提交的异议函将不予受理。</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2" w:firstLineChars="200"/>
        <w:jc w:val="left"/>
        <w:textAlignment w:val="auto"/>
        <w:rPr>
          <w:rFonts w:hint="eastAsia" w:ascii="宋体" w:hAnsi="宋体" w:eastAsia="宋体" w:cs="宋体"/>
          <w:sz w:val="24"/>
          <w:szCs w:val="24"/>
        </w:rPr>
      </w:pPr>
      <w:r>
        <w:rPr>
          <w:rFonts w:hint="eastAsia" w:ascii="宋体" w:hAnsi="宋体" w:eastAsia="宋体" w:cs="宋体"/>
          <w:b/>
          <w:bCs/>
          <w:color w:val="333333"/>
          <w:sz w:val="24"/>
          <w:szCs w:val="24"/>
          <w:shd w:val="clear" w:fill="FFFFFF"/>
        </w:rPr>
        <w:t>七、发布公告的媒体</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rPr>
      </w:pPr>
      <w:r>
        <w:rPr>
          <w:rFonts w:hint="eastAsia" w:ascii="宋体" w:hAnsi="宋体" w:eastAsia="宋体" w:cs="宋体"/>
          <w:color w:val="333333"/>
          <w:sz w:val="24"/>
          <w:szCs w:val="24"/>
          <w:shd w:val="clear" w:fill="FFFFFF"/>
        </w:rPr>
        <w:t>1、本次招标公告同时在《中国招标投标公共服务平台》、《河南省政府采购网》、《河南省电子招标投标公共服务平台》及《全国公共资源交易平台（河南省·洛阳市）》上发布。</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rPr>
      </w:pPr>
      <w:r>
        <w:rPr>
          <w:rFonts w:hint="eastAsia" w:ascii="宋体" w:hAnsi="宋体" w:eastAsia="宋体" w:cs="宋体"/>
          <w:color w:val="333333"/>
          <w:sz w:val="24"/>
          <w:szCs w:val="24"/>
          <w:shd w:val="clear" w:fill="FFFFFF"/>
        </w:rPr>
        <w:t>2、投标人在参与本项目招标采购活动期间应及时关注本网站获取相关澄清或变更等信息。</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2" w:firstLineChars="200"/>
        <w:jc w:val="left"/>
        <w:textAlignment w:val="auto"/>
        <w:rPr>
          <w:rFonts w:hint="eastAsia" w:ascii="宋体" w:hAnsi="宋体" w:eastAsia="宋体" w:cs="宋体"/>
          <w:sz w:val="24"/>
          <w:szCs w:val="24"/>
        </w:rPr>
      </w:pPr>
      <w:r>
        <w:rPr>
          <w:rFonts w:hint="eastAsia" w:ascii="宋体" w:hAnsi="宋体" w:eastAsia="宋体" w:cs="宋体"/>
          <w:b/>
          <w:bCs/>
          <w:color w:val="333333"/>
          <w:sz w:val="24"/>
          <w:szCs w:val="24"/>
          <w:shd w:val="clear" w:fill="FFFFFF"/>
        </w:rPr>
        <w:t>八、联系方式</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color w:val="333333"/>
          <w:sz w:val="24"/>
          <w:szCs w:val="24"/>
          <w:shd w:val="clear" w:fill="FFFFFF"/>
        </w:rPr>
        <w:t>招标人：</w:t>
      </w:r>
      <w:r>
        <w:rPr>
          <w:rFonts w:hint="eastAsia" w:ascii="宋体" w:hAnsi="宋体" w:eastAsia="宋体" w:cs="宋体"/>
          <w:color w:val="333333"/>
          <w:sz w:val="24"/>
          <w:szCs w:val="24"/>
          <w:shd w:val="clear" w:fill="FFFFFF"/>
          <w:lang w:eastAsia="zh-CN"/>
        </w:rPr>
        <w:t>伊川县交通事业发展中心</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地址：伊川县立奇商务大厦A区8楼</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联系人：</w:t>
      </w:r>
      <w:r>
        <w:rPr>
          <w:rFonts w:hint="eastAsia" w:ascii="宋体" w:hAnsi="宋体" w:eastAsia="宋体" w:cs="宋体"/>
          <w:sz w:val="24"/>
          <w:szCs w:val="24"/>
          <w:lang w:val="en-US" w:eastAsia="zh-CN"/>
        </w:rPr>
        <w:t>白</w:t>
      </w:r>
      <w:r>
        <w:rPr>
          <w:rFonts w:hint="eastAsia" w:ascii="宋体" w:hAnsi="宋体" w:eastAsia="宋体" w:cs="宋体"/>
          <w:sz w:val="24"/>
          <w:szCs w:val="24"/>
        </w:rPr>
        <w:t>女士</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联系方式：0379-68354999</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rPr>
      </w:pPr>
      <w:r>
        <w:rPr>
          <w:rFonts w:hint="eastAsia" w:ascii="宋体" w:hAnsi="宋体" w:eastAsia="宋体" w:cs="宋体"/>
          <w:color w:val="333333"/>
          <w:sz w:val="24"/>
          <w:szCs w:val="24"/>
          <w:shd w:val="clear" w:fill="FFFFFF"/>
        </w:rPr>
        <w:t>代理机构：金泽工程管理服务有限公司</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rPr>
      </w:pPr>
      <w:r>
        <w:rPr>
          <w:rFonts w:hint="eastAsia" w:ascii="宋体" w:hAnsi="宋体" w:eastAsia="宋体" w:cs="宋体"/>
          <w:color w:val="333333"/>
          <w:sz w:val="24"/>
          <w:szCs w:val="24"/>
          <w:shd w:val="clear" w:fill="FFFFFF"/>
        </w:rPr>
        <w:t>地址：洛阳市洛龙区滨河南路159号功成校苑综合楼B2307室</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rPr>
      </w:pPr>
      <w:r>
        <w:rPr>
          <w:rFonts w:hint="eastAsia" w:ascii="宋体" w:hAnsi="宋体" w:eastAsia="宋体" w:cs="宋体"/>
          <w:color w:val="333333"/>
          <w:sz w:val="24"/>
          <w:szCs w:val="24"/>
          <w:shd w:val="clear" w:fill="FFFFFF"/>
        </w:rPr>
        <w:t>联系人：何先生</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rPr>
      </w:pPr>
      <w:r>
        <w:rPr>
          <w:rFonts w:hint="eastAsia" w:ascii="宋体" w:hAnsi="宋体" w:eastAsia="宋体" w:cs="宋体"/>
          <w:color w:val="333333"/>
          <w:sz w:val="24"/>
          <w:szCs w:val="24"/>
          <w:shd w:val="clear" w:fill="FFFFFF"/>
        </w:rPr>
        <w:t>电话：16637983216</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color w:val="333333"/>
          <w:sz w:val="24"/>
          <w:szCs w:val="24"/>
          <w:shd w:val="clear" w:fill="FFFFFF"/>
          <w:lang w:val="en-US" w:eastAsia="zh-CN"/>
        </w:rPr>
      </w:pPr>
      <w:r>
        <w:rPr>
          <w:rFonts w:hint="eastAsia" w:ascii="宋体" w:hAnsi="宋体" w:eastAsia="宋体" w:cs="宋体"/>
          <w:color w:val="333333"/>
          <w:sz w:val="24"/>
          <w:szCs w:val="24"/>
          <w:shd w:val="clear" w:fill="FFFFFF"/>
        </w:rPr>
        <w:t>监管部门：</w:t>
      </w:r>
      <w:r>
        <w:rPr>
          <w:rFonts w:hint="eastAsia" w:ascii="宋体" w:hAnsi="宋体" w:eastAsia="宋体" w:cs="宋体"/>
          <w:color w:val="333333"/>
          <w:sz w:val="24"/>
          <w:szCs w:val="24"/>
          <w:shd w:val="clear" w:fill="FFFFFF"/>
          <w:lang w:val="en-US" w:eastAsia="zh-CN"/>
        </w:rPr>
        <w:t>伊川县交通运输局</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color w:val="333333"/>
          <w:sz w:val="24"/>
          <w:szCs w:val="24"/>
          <w:shd w:val="clear" w:fill="FFFFFF"/>
          <w:lang w:val="en-US" w:eastAsia="zh-CN"/>
        </w:rPr>
      </w:pPr>
      <w:r>
        <w:rPr>
          <w:rFonts w:hint="eastAsia" w:ascii="宋体" w:hAnsi="宋体" w:eastAsia="宋体" w:cs="宋体"/>
          <w:color w:val="333333"/>
          <w:sz w:val="24"/>
          <w:szCs w:val="24"/>
          <w:shd w:val="clear" w:fill="FFFFFF"/>
          <w:lang w:val="en-US" w:eastAsia="zh-CN"/>
        </w:rPr>
        <w:t>监管部门联系人：许先生</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rPr>
      </w:pPr>
      <w:r>
        <w:rPr>
          <w:rFonts w:hint="eastAsia" w:ascii="宋体" w:hAnsi="宋体" w:eastAsia="宋体" w:cs="宋体"/>
          <w:color w:val="333333"/>
          <w:sz w:val="24"/>
          <w:szCs w:val="24"/>
          <w:shd w:val="clear" w:fill="FFFFFF"/>
          <w:lang w:val="en-US" w:eastAsia="zh-CN"/>
        </w:rPr>
        <w:t>监管部门联系方式：0379-69396939</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2" w:firstLineChars="200"/>
        <w:jc w:val="right"/>
        <w:textAlignment w:val="auto"/>
        <w:rPr>
          <w:rFonts w:hint="eastAsia" w:ascii="宋体" w:hAnsi="宋体" w:eastAsia="宋体" w:cs="宋体"/>
          <w:b/>
          <w:bCs/>
          <w:sz w:val="24"/>
          <w:szCs w:val="24"/>
        </w:rPr>
      </w:pPr>
      <w:r>
        <w:rPr>
          <w:rFonts w:hint="eastAsia" w:ascii="宋体" w:hAnsi="宋体" w:eastAsia="宋体" w:cs="宋体"/>
          <w:b/>
          <w:bCs/>
          <w:color w:val="333333"/>
          <w:sz w:val="24"/>
          <w:szCs w:val="24"/>
          <w:highlight w:val="none"/>
          <w:shd w:val="clear" w:fill="FFFFFF"/>
        </w:rPr>
        <w:t>2024年</w:t>
      </w:r>
      <w:r>
        <w:rPr>
          <w:rFonts w:hint="eastAsia" w:cs="宋体"/>
          <w:b/>
          <w:bCs/>
          <w:color w:val="333333"/>
          <w:sz w:val="24"/>
          <w:szCs w:val="24"/>
          <w:highlight w:val="none"/>
          <w:shd w:val="clear" w:fill="FFFFFF"/>
          <w:lang w:val="en-US" w:eastAsia="zh-CN"/>
        </w:rPr>
        <w:t>04</w:t>
      </w:r>
      <w:r>
        <w:rPr>
          <w:rFonts w:hint="eastAsia" w:ascii="宋体" w:hAnsi="宋体" w:eastAsia="宋体" w:cs="宋体"/>
          <w:b/>
          <w:bCs/>
          <w:color w:val="333333"/>
          <w:sz w:val="24"/>
          <w:szCs w:val="24"/>
          <w:highlight w:val="none"/>
          <w:shd w:val="clear" w:fill="FFFFFF"/>
        </w:rPr>
        <w:t>月</w:t>
      </w:r>
      <w:r>
        <w:rPr>
          <w:rFonts w:hint="eastAsia" w:cs="宋体"/>
          <w:b/>
          <w:bCs/>
          <w:color w:val="333333"/>
          <w:sz w:val="24"/>
          <w:szCs w:val="24"/>
          <w:highlight w:val="none"/>
          <w:shd w:val="clear" w:fill="FFFFFF"/>
          <w:lang w:val="en-US" w:eastAsia="zh-CN"/>
        </w:rPr>
        <w:t>25</w:t>
      </w:r>
      <w:r>
        <w:rPr>
          <w:rFonts w:hint="eastAsia" w:ascii="宋体" w:hAnsi="宋体" w:eastAsia="宋体" w:cs="宋体"/>
          <w:b/>
          <w:bCs/>
          <w:color w:val="333333"/>
          <w:sz w:val="24"/>
          <w:szCs w:val="24"/>
          <w:highlight w:val="none"/>
          <w:shd w:val="clear" w:fill="FFFFFF"/>
        </w:rPr>
        <w:t>日</w:t>
      </w:r>
    </w:p>
    <w:p>
      <w:pPr>
        <w:pStyle w:val="48"/>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窗体底端</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eastAsia" w:ascii="宋体" w:hAnsi="宋体" w:eastAsia="宋体" w:cs="宋体"/>
          <w:sz w:val="24"/>
          <w:szCs w:val="24"/>
        </w:rPr>
      </w:pPr>
    </w:p>
    <w:p>
      <w:pPr>
        <w:pStyle w:val="17"/>
        <w:pageBreakBefore w:val="0"/>
        <w:kinsoku/>
        <w:overflowPunct/>
        <w:bidi w:val="0"/>
        <w:spacing w:before="0" w:beforeLines="0" w:beforeAutospacing="0" w:after="0" w:afterLines="0" w:afterAutospacing="0" w:line="360" w:lineRule="auto"/>
        <w:ind w:left="0" w:leftChars="0" w:right="0" w:rightChars="0" w:firstLine="564"/>
        <w:jc w:val="right"/>
        <w:rPr>
          <w:rFonts w:hint="eastAsia" w:ascii="宋体" w:hAnsi="宋体" w:eastAsia="宋体" w:cs="宋体"/>
          <w:color w:val="auto"/>
          <w:sz w:val="24"/>
          <w:szCs w:val="24"/>
          <w:highlight w:val="none"/>
          <w:shd w:val="clear" w:color="auto" w:fill="FFFFFF"/>
        </w:rPr>
      </w:pPr>
    </w:p>
    <w:p>
      <w:pPr>
        <w:pStyle w:val="17"/>
        <w:pageBreakBefore w:val="0"/>
        <w:kinsoku/>
        <w:overflowPunct/>
        <w:bidi w:val="0"/>
        <w:spacing w:before="0" w:beforeLines="0" w:beforeAutospacing="0" w:after="0" w:afterLines="0" w:afterAutospacing="0" w:line="360" w:lineRule="auto"/>
        <w:ind w:left="0" w:leftChars="0" w:right="0" w:rightChars="0" w:firstLine="564"/>
        <w:jc w:val="right"/>
        <w:rPr>
          <w:rFonts w:hint="eastAsia" w:ascii="宋体" w:hAnsi="宋体" w:eastAsia="宋体" w:cs="宋体"/>
          <w:color w:val="auto"/>
          <w:sz w:val="24"/>
          <w:szCs w:val="24"/>
          <w:highlight w:val="none"/>
          <w:shd w:val="clear" w:color="auto" w:fill="FFFFFF"/>
        </w:rPr>
      </w:pPr>
    </w:p>
    <w:p>
      <w:pPr>
        <w:pStyle w:val="17"/>
        <w:pageBreakBefore w:val="0"/>
        <w:kinsoku/>
        <w:overflowPunct/>
        <w:bidi w:val="0"/>
        <w:spacing w:before="0" w:beforeLines="0" w:beforeAutospacing="0" w:after="0" w:afterLines="0" w:afterAutospacing="0" w:line="360" w:lineRule="auto"/>
        <w:ind w:left="0" w:leftChars="0" w:right="0" w:rightChars="0" w:firstLine="564"/>
        <w:jc w:val="right"/>
        <w:rPr>
          <w:rFonts w:hint="eastAsia" w:ascii="宋体" w:hAnsi="宋体" w:eastAsia="宋体" w:cs="宋体"/>
          <w:color w:val="auto"/>
          <w:sz w:val="24"/>
          <w:szCs w:val="24"/>
          <w:highlight w:val="none"/>
          <w:shd w:val="clear" w:color="auto" w:fill="FFFFFF"/>
        </w:rPr>
      </w:pPr>
    </w:p>
    <w:p>
      <w:pPr>
        <w:pStyle w:val="17"/>
        <w:pageBreakBefore w:val="0"/>
        <w:kinsoku/>
        <w:overflowPunct/>
        <w:bidi w:val="0"/>
        <w:spacing w:before="0" w:beforeLines="0" w:beforeAutospacing="0" w:after="0" w:afterLines="0" w:afterAutospacing="0" w:line="360" w:lineRule="auto"/>
        <w:ind w:left="0" w:leftChars="0" w:right="0" w:rightChars="0" w:firstLine="564"/>
        <w:jc w:val="right"/>
        <w:rPr>
          <w:rFonts w:hint="eastAsia" w:ascii="宋体" w:hAnsi="宋体" w:eastAsia="宋体" w:cs="宋体"/>
          <w:color w:val="auto"/>
          <w:sz w:val="24"/>
          <w:szCs w:val="24"/>
          <w:highlight w:val="none"/>
          <w:shd w:val="clear" w:color="auto" w:fill="FFFFFF"/>
        </w:rPr>
      </w:pPr>
    </w:p>
    <w:p>
      <w:pPr>
        <w:pStyle w:val="17"/>
        <w:pageBreakBefore w:val="0"/>
        <w:kinsoku/>
        <w:overflowPunct/>
        <w:bidi w:val="0"/>
        <w:spacing w:before="0" w:beforeLines="0" w:beforeAutospacing="0" w:after="0" w:afterLines="0" w:afterAutospacing="0" w:line="360" w:lineRule="auto"/>
        <w:ind w:left="0" w:leftChars="0" w:right="0" w:rightChars="0" w:firstLine="564"/>
        <w:jc w:val="right"/>
        <w:rPr>
          <w:rFonts w:hint="eastAsia" w:ascii="宋体" w:hAnsi="宋体" w:eastAsia="宋体" w:cs="宋体"/>
          <w:color w:val="auto"/>
          <w:sz w:val="24"/>
          <w:szCs w:val="24"/>
          <w:highlight w:val="none"/>
          <w:shd w:val="clear" w:color="auto" w:fill="FFFFFF"/>
        </w:rPr>
      </w:pPr>
    </w:p>
    <w:p>
      <w:pPr>
        <w:pStyle w:val="17"/>
        <w:pageBreakBefore w:val="0"/>
        <w:kinsoku/>
        <w:overflowPunct/>
        <w:bidi w:val="0"/>
        <w:spacing w:before="0" w:beforeLines="0" w:beforeAutospacing="0" w:after="0" w:afterLines="0" w:afterAutospacing="0" w:line="360" w:lineRule="auto"/>
        <w:ind w:left="0" w:leftChars="0" w:right="0" w:rightChars="0" w:firstLine="564"/>
        <w:jc w:val="right"/>
        <w:rPr>
          <w:rFonts w:hint="eastAsia" w:ascii="宋体" w:hAnsi="宋体" w:eastAsia="宋体" w:cs="宋体"/>
          <w:color w:val="auto"/>
          <w:sz w:val="24"/>
          <w:szCs w:val="24"/>
          <w:highlight w:val="none"/>
          <w:shd w:val="clear" w:color="auto" w:fill="FFFFFF"/>
        </w:rPr>
      </w:pPr>
    </w:p>
    <w:p>
      <w:pPr>
        <w:pStyle w:val="17"/>
        <w:pageBreakBefore w:val="0"/>
        <w:kinsoku/>
        <w:overflowPunct/>
        <w:bidi w:val="0"/>
        <w:spacing w:before="0" w:beforeLines="0" w:beforeAutospacing="0" w:after="0" w:afterLines="0" w:afterAutospacing="0" w:line="360" w:lineRule="auto"/>
        <w:ind w:left="0" w:leftChars="0" w:right="0" w:rightChars="0" w:firstLine="564"/>
        <w:jc w:val="right"/>
        <w:rPr>
          <w:rFonts w:hint="eastAsia" w:ascii="宋体" w:hAnsi="宋体" w:eastAsia="宋体" w:cs="宋体"/>
          <w:color w:val="auto"/>
          <w:sz w:val="24"/>
          <w:szCs w:val="24"/>
          <w:highlight w:val="none"/>
          <w:shd w:val="clear" w:color="auto" w:fill="FFFFFF"/>
        </w:rPr>
      </w:pPr>
    </w:p>
    <w:p>
      <w:pPr>
        <w:pStyle w:val="17"/>
        <w:pageBreakBefore w:val="0"/>
        <w:kinsoku/>
        <w:overflowPunct/>
        <w:bidi w:val="0"/>
        <w:spacing w:before="0" w:beforeLines="0" w:beforeAutospacing="0" w:after="0" w:afterLines="0" w:afterAutospacing="0" w:line="360" w:lineRule="auto"/>
        <w:ind w:left="0" w:leftChars="0" w:right="0" w:rightChars="0" w:firstLine="564"/>
        <w:jc w:val="right"/>
        <w:rPr>
          <w:rFonts w:hint="eastAsia" w:ascii="宋体" w:hAnsi="宋体" w:eastAsia="宋体" w:cs="宋体"/>
          <w:color w:val="auto"/>
          <w:sz w:val="24"/>
          <w:szCs w:val="24"/>
          <w:highlight w:val="none"/>
          <w:shd w:val="clear" w:color="auto" w:fill="FFFFFF"/>
        </w:rPr>
      </w:pPr>
    </w:p>
    <w:p>
      <w:pPr>
        <w:pStyle w:val="17"/>
        <w:pageBreakBefore w:val="0"/>
        <w:kinsoku/>
        <w:overflowPunct/>
        <w:bidi w:val="0"/>
        <w:spacing w:before="0" w:beforeLines="0" w:beforeAutospacing="0" w:after="0" w:afterLines="0" w:afterAutospacing="0" w:line="360" w:lineRule="auto"/>
        <w:ind w:left="0" w:leftChars="0" w:right="0" w:rightChars="0" w:firstLine="564"/>
        <w:jc w:val="right"/>
        <w:rPr>
          <w:rFonts w:hint="eastAsia" w:ascii="宋体" w:hAnsi="宋体" w:eastAsia="宋体" w:cs="宋体"/>
          <w:color w:val="auto"/>
          <w:sz w:val="24"/>
          <w:szCs w:val="24"/>
          <w:highlight w:val="none"/>
          <w:shd w:val="clear" w:color="auto" w:fill="FFFFFF"/>
        </w:rPr>
      </w:pPr>
    </w:p>
    <w:p>
      <w:pPr>
        <w:pStyle w:val="17"/>
        <w:pageBreakBefore w:val="0"/>
        <w:kinsoku/>
        <w:overflowPunct/>
        <w:bidi w:val="0"/>
        <w:spacing w:before="0" w:beforeLines="0" w:beforeAutospacing="0" w:after="0" w:afterLines="0" w:afterAutospacing="0" w:line="360" w:lineRule="auto"/>
        <w:ind w:left="0" w:leftChars="0" w:right="0" w:rightChars="0" w:firstLine="564"/>
        <w:jc w:val="right"/>
        <w:rPr>
          <w:rFonts w:hint="eastAsia" w:ascii="宋体" w:hAnsi="宋体" w:eastAsia="宋体" w:cs="宋体"/>
          <w:color w:val="auto"/>
          <w:sz w:val="24"/>
          <w:szCs w:val="24"/>
          <w:highlight w:val="none"/>
          <w:shd w:val="clear" w:color="auto" w:fill="FFFFFF"/>
        </w:rPr>
      </w:pPr>
    </w:p>
    <w:p>
      <w:pPr>
        <w:pStyle w:val="17"/>
        <w:pageBreakBefore w:val="0"/>
        <w:kinsoku/>
        <w:overflowPunct/>
        <w:bidi w:val="0"/>
        <w:spacing w:before="0" w:beforeLines="0" w:beforeAutospacing="0" w:after="0" w:afterLines="0" w:afterAutospacing="0" w:line="360" w:lineRule="auto"/>
        <w:ind w:left="0" w:leftChars="0" w:right="0" w:rightChars="0" w:firstLine="564"/>
        <w:jc w:val="right"/>
        <w:rPr>
          <w:rFonts w:hint="eastAsia" w:ascii="宋体" w:hAnsi="宋体" w:eastAsia="宋体" w:cs="宋体"/>
          <w:color w:val="auto"/>
          <w:sz w:val="24"/>
          <w:szCs w:val="24"/>
          <w:highlight w:val="none"/>
          <w:shd w:val="clear" w:color="auto" w:fill="FFFFFF"/>
        </w:rPr>
      </w:pPr>
    </w:p>
    <w:p>
      <w:pPr>
        <w:pStyle w:val="17"/>
        <w:pageBreakBefore w:val="0"/>
        <w:kinsoku/>
        <w:overflowPunct/>
        <w:bidi w:val="0"/>
        <w:spacing w:before="0" w:beforeLines="0" w:beforeAutospacing="0" w:after="0" w:afterLines="0" w:afterAutospacing="0" w:line="360" w:lineRule="auto"/>
        <w:ind w:left="0" w:leftChars="0" w:right="0" w:rightChars="0" w:firstLine="564"/>
        <w:jc w:val="right"/>
        <w:rPr>
          <w:rFonts w:hint="eastAsia" w:ascii="宋体" w:hAnsi="宋体" w:eastAsia="宋体" w:cs="宋体"/>
          <w:color w:val="auto"/>
          <w:sz w:val="24"/>
          <w:szCs w:val="24"/>
          <w:highlight w:val="none"/>
          <w:shd w:val="clear" w:color="auto" w:fill="FFFFFF"/>
        </w:rPr>
      </w:pPr>
    </w:p>
    <w:p>
      <w:pPr>
        <w:pStyle w:val="17"/>
        <w:pageBreakBefore w:val="0"/>
        <w:kinsoku/>
        <w:overflowPunct/>
        <w:bidi w:val="0"/>
        <w:spacing w:before="0" w:beforeLines="0" w:beforeAutospacing="0" w:after="0" w:afterLines="0" w:afterAutospacing="0" w:line="360" w:lineRule="auto"/>
        <w:ind w:left="0" w:leftChars="0" w:right="0" w:rightChars="0" w:firstLine="564"/>
        <w:jc w:val="right"/>
        <w:rPr>
          <w:rFonts w:hint="eastAsia" w:ascii="宋体" w:hAnsi="宋体" w:eastAsia="宋体" w:cs="宋体"/>
          <w:color w:val="auto"/>
          <w:sz w:val="24"/>
          <w:szCs w:val="24"/>
          <w:highlight w:val="none"/>
          <w:shd w:val="clear" w:color="auto" w:fill="FFFFFF"/>
        </w:rPr>
      </w:pPr>
    </w:p>
    <w:p>
      <w:pPr>
        <w:pStyle w:val="17"/>
        <w:pageBreakBefore w:val="0"/>
        <w:kinsoku/>
        <w:overflowPunct/>
        <w:bidi w:val="0"/>
        <w:spacing w:before="0" w:beforeLines="0" w:beforeAutospacing="0" w:after="0" w:afterLines="0" w:afterAutospacing="0" w:line="360" w:lineRule="auto"/>
        <w:ind w:left="0" w:leftChars="0" w:right="0" w:rightChars="0" w:firstLine="564"/>
        <w:jc w:val="right"/>
        <w:rPr>
          <w:rFonts w:hint="eastAsia" w:ascii="宋体" w:hAnsi="宋体" w:eastAsia="宋体" w:cs="宋体"/>
          <w:color w:val="auto"/>
          <w:sz w:val="24"/>
          <w:szCs w:val="24"/>
          <w:highlight w:val="none"/>
          <w:shd w:val="clear" w:color="auto" w:fill="FFFFFF"/>
        </w:rPr>
      </w:pPr>
    </w:p>
    <w:p>
      <w:pPr>
        <w:pStyle w:val="17"/>
        <w:pageBreakBefore w:val="0"/>
        <w:kinsoku/>
        <w:overflowPunct/>
        <w:bidi w:val="0"/>
        <w:spacing w:before="0" w:beforeLines="0" w:beforeAutospacing="0" w:after="0" w:afterLines="0" w:afterAutospacing="0" w:line="360" w:lineRule="auto"/>
        <w:ind w:left="0" w:leftChars="0" w:right="0" w:rightChars="0" w:firstLine="564"/>
        <w:jc w:val="right"/>
        <w:rPr>
          <w:rFonts w:hint="eastAsia" w:ascii="宋体" w:hAnsi="宋体" w:eastAsia="宋体" w:cs="宋体"/>
          <w:color w:val="auto"/>
          <w:sz w:val="24"/>
          <w:szCs w:val="24"/>
          <w:highlight w:val="none"/>
          <w:shd w:val="clear" w:color="auto" w:fill="FFFFFF"/>
        </w:rPr>
      </w:pPr>
    </w:p>
    <w:p>
      <w:pPr>
        <w:pStyle w:val="17"/>
        <w:pageBreakBefore w:val="0"/>
        <w:kinsoku/>
        <w:overflowPunct/>
        <w:bidi w:val="0"/>
        <w:spacing w:before="0" w:beforeLines="0" w:beforeAutospacing="0" w:after="0" w:afterLines="0" w:afterAutospacing="0" w:line="360" w:lineRule="auto"/>
        <w:ind w:left="0" w:leftChars="0" w:right="0" w:rightChars="0" w:firstLine="564"/>
        <w:jc w:val="right"/>
        <w:rPr>
          <w:rFonts w:hint="eastAsia" w:ascii="宋体" w:hAnsi="宋体" w:eastAsia="宋体" w:cs="宋体"/>
          <w:color w:val="auto"/>
          <w:sz w:val="24"/>
          <w:szCs w:val="24"/>
          <w:highlight w:val="none"/>
          <w:shd w:val="clear" w:color="auto" w:fill="FFFFFF"/>
        </w:rPr>
      </w:pPr>
    </w:p>
    <w:p>
      <w:pPr>
        <w:pStyle w:val="17"/>
        <w:pageBreakBefore w:val="0"/>
        <w:kinsoku/>
        <w:overflowPunct/>
        <w:bidi w:val="0"/>
        <w:spacing w:before="0" w:beforeLines="0" w:beforeAutospacing="0" w:after="0" w:afterLines="0" w:afterAutospacing="0" w:line="360" w:lineRule="auto"/>
        <w:ind w:left="0" w:leftChars="0" w:right="0" w:rightChars="0" w:firstLine="564"/>
        <w:jc w:val="right"/>
        <w:rPr>
          <w:rFonts w:hint="eastAsia" w:ascii="宋体" w:hAnsi="宋体" w:eastAsia="宋体" w:cs="宋体"/>
          <w:color w:val="auto"/>
          <w:sz w:val="24"/>
          <w:szCs w:val="24"/>
          <w:highlight w:val="none"/>
          <w:shd w:val="clear" w:color="auto" w:fill="FFFFFF"/>
        </w:rPr>
      </w:pPr>
    </w:p>
    <w:p>
      <w:pPr>
        <w:pStyle w:val="17"/>
        <w:pageBreakBefore w:val="0"/>
        <w:kinsoku/>
        <w:overflowPunct/>
        <w:bidi w:val="0"/>
        <w:spacing w:before="0" w:beforeLines="0" w:beforeAutospacing="0" w:after="0" w:afterLines="0" w:afterAutospacing="0" w:line="360" w:lineRule="auto"/>
        <w:ind w:left="0" w:leftChars="0" w:right="0" w:rightChars="0" w:firstLine="564"/>
        <w:jc w:val="right"/>
        <w:rPr>
          <w:rFonts w:hint="eastAsia" w:ascii="宋体" w:hAnsi="宋体" w:eastAsia="宋体" w:cs="宋体"/>
          <w:color w:val="auto"/>
          <w:sz w:val="24"/>
          <w:szCs w:val="24"/>
          <w:highlight w:val="none"/>
          <w:shd w:val="clear" w:color="auto" w:fill="FFFFFF"/>
        </w:rPr>
      </w:pPr>
    </w:p>
    <w:p>
      <w:pPr>
        <w:pStyle w:val="17"/>
        <w:pageBreakBefore w:val="0"/>
        <w:kinsoku/>
        <w:overflowPunct/>
        <w:bidi w:val="0"/>
        <w:spacing w:before="0" w:beforeLines="0" w:beforeAutospacing="0" w:after="0" w:afterLines="0" w:afterAutospacing="0" w:line="360" w:lineRule="auto"/>
        <w:ind w:left="0" w:leftChars="0" w:right="0" w:rightChars="0" w:firstLine="564"/>
        <w:jc w:val="right"/>
        <w:rPr>
          <w:rFonts w:hint="eastAsia" w:ascii="宋体" w:hAnsi="宋体" w:eastAsia="宋体" w:cs="宋体"/>
          <w:color w:val="auto"/>
          <w:sz w:val="24"/>
          <w:szCs w:val="24"/>
          <w:highlight w:val="none"/>
          <w:shd w:val="clear" w:color="auto" w:fill="FFFFFF"/>
        </w:rPr>
      </w:pPr>
    </w:p>
    <w:p>
      <w:pPr>
        <w:pStyle w:val="17"/>
        <w:pageBreakBefore w:val="0"/>
        <w:kinsoku/>
        <w:overflowPunct/>
        <w:bidi w:val="0"/>
        <w:spacing w:before="0" w:beforeLines="0" w:beforeAutospacing="0" w:after="0" w:afterLines="0" w:afterAutospacing="0" w:line="360" w:lineRule="auto"/>
        <w:ind w:left="0" w:leftChars="0" w:right="0" w:rightChars="0" w:firstLine="564"/>
        <w:jc w:val="right"/>
        <w:rPr>
          <w:rFonts w:hint="eastAsia" w:ascii="宋体" w:hAnsi="宋体" w:eastAsia="宋体" w:cs="宋体"/>
          <w:color w:val="auto"/>
          <w:sz w:val="24"/>
          <w:szCs w:val="24"/>
          <w:highlight w:val="none"/>
          <w:shd w:val="clear" w:color="auto" w:fill="FFFFFF"/>
        </w:rPr>
      </w:pPr>
    </w:p>
    <w:p>
      <w:pPr>
        <w:pStyle w:val="17"/>
        <w:pageBreakBefore w:val="0"/>
        <w:kinsoku/>
        <w:overflowPunct/>
        <w:bidi w:val="0"/>
        <w:spacing w:before="0" w:beforeLines="0" w:beforeAutospacing="0" w:after="0" w:afterLines="0" w:afterAutospacing="0" w:line="360" w:lineRule="auto"/>
        <w:ind w:left="0" w:leftChars="0" w:right="0" w:rightChars="0" w:firstLine="564"/>
        <w:jc w:val="right"/>
        <w:rPr>
          <w:rFonts w:hint="eastAsia" w:ascii="宋体" w:hAnsi="宋体" w:eastAsia="宋体" w:cs="宋体"/>
          <w:color w:val="auto"/>
          <w:sz w:val="24"/>
          <w:szCs w:val="24"/>
          <w:highlight w:val="none"/>
          <w:shd w:val="clear" w:color="auto" w:fill="FFFFFF"/>
        </w:rPr>
      </w:pPr>
    </w:p>
    <w:p>
      <w:pPr>
        <w:pStyle w:val="17"/>
        <w:pageBreakBefore w:val="0"/>
        <w:kinsoku/>
        <w:overflowPunct/>
        <w:bidi w:val="0"/>
        <w:spacing w:before="0" w:beforeLines="0" w:beforeAutospacing="0" w:after="0" w:afterLines="0" w:afterAutospacing="0" w:line="360" w:lineRule="auto"/>
        <w:ind w:right="0" w:rightChars="0"/>
        <w:jc w:val="both"/>
        <w:rPr>
          <w:rFonts w:hint="eastAsia" w:ascii="宋体" w:hAnsi="宋体" w:eastAsia="宋体" w:cs="宋体"/>
          <w:color w:val="auto"/>
          <w:sz w:val="24"/>
          <w:szCs w:val="24"/>
          <w:highlight w:val="none"/>
          <w:shd w:val="clear" w:color="auto" w:fill="FFFFFF"/>
        </w:rPr>
      </w:pPr>
    </w:p>
    <w:p>
      <w:pPr>
        <w:pStyle w:val="17"/>
        <w:pageBreakBefore w:val="0"/>
        <w:kinsoku/>
        <w:overflowPunct/>
        <w:bidi w:val="0"/>
        <w:spacing w:before="0" w:beforeLines="0" w:beforeAutospacing="0" w:after="0" w:afterLines="0" w:afterAutospacing="0" w:line="360" w:lineRule="auto"/>
        <w:ind w:left="0" w:leftChars="0" w:right="0" w:rightChars="0" w:firstLine="564"/>
        <w:jc w:val="right"/>
        <w:rPr>
          <w:rFonts w:hint="eastAsia" w:ascii="宋体" w:hAnsi="宋体" w:eastAsia="宋体" w:cs="宋体"/>
          <w:color w:val="auto"/>
          <w:sz w:val="24"/>
          <w:szCs w:val="24"/>
          <w:highlight w:val="none"/>
          <w:shd w:val="clear" w:color="auto" w:fill="FFFFFF"/>
        </w:rPr>
      </w:pPr>
    </w:p>
    <w:p>
      <w:pPr>
        <w:pageBreakBefore w:val="0"/>
        <w:numPr>
          <w:ilvl w:val="0"/>
          <w:numId w:val="0"/>
        </w:numPr>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lang w:val="en-US" w:eastAsia="zh-CN"/>
        </w:rPr>
      </w:pPr>
      <w:bookmarkStart w:id="15" w:name="_Toc30983"/>
      <w:bookmarkStart w:id="16" w:name="_Toc24661"/>
      <w:bookmarkStart w:id="17" w:name="_Toc19986"/>
      <w:bookmarkStart w:id="18" w:name="_Toc29936"/>
      <w:bookmarkStart w:id="19" w:name="_Toc24030"/>
      <w:bookmarkStart w:id="20" w:name="_Toc490748530"/>
    </w:p>
    <w:p>
      <w:pPr>
        <w:pageBreakBefore w:val="0"/>
        <w:numPr>
          <w:ilvl w:val="0"/>
          <w:numId w:val="0"/>
        </w:numPr>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lang w:val="en-US" w:eastAsia="zh-CN"/>
        </w:rPr>
      </w:pPr>
    </w:p>
    <w:p>
      <w:pPr>
        <w:pageBreakBefore w:val="0"/>
        <w:numPr>
          <w:ilvl w:val="0"/>
          <w:numId w:val="0"/>
        </w:numPr>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val="en-US" w:eastAsia="zh-CN"/>
        </w:rPr>
        <w:t>第二章、</w:t>
      </w:r>
      <w:r>
        <w:rPr>
          <w:rFonts w:hint="eastAsia" w:ascii="宋体" w:hAnsi="宋体" w:eastAsia="宋体" w:cs="宋体"/>
          <w:b/>
          <w:color w:val="auto"/>
          <w:sz w:val="28"/>
          <w:szCs w:val="28"/>
          <w:highlight w:val="none"/>
        </w:rPr>
        <w:t>投标人须知</w:t>
      </w:r>
      <w:bookmarkEnd w:id="11"/>
      <w:bookmarkEnd w:id="15"/>
      <w:bookmarkEnd w:id="16"/>
      <w:bookmarkEnd w:id="17"/>
      <w:bookmarkEnd w:id="18"/>
      <w:bookmarkEnd w:id="19"/>
      <w:bookmarkEnd w:id="20"/>
    </w:p>
    <w:p>
      <w:pPr>
        <w:pStyle w:val="8"/>
        <w:pageBreakBefore w:val="0"/>
        <w:kinsoku/>
        <w:overflowPunct/>
        <w:bidi w:val="0"/>
        <w:spacing w:beforeAutospacing="0" w:afterAutospacing="0" w:line="360" w:lineRule="auto"/>
        <w:ind w:left="0" w:leftChars="0" w:right="0" w:rightChars="0"/>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投标人须知前附表</w:t>
      </w:r>
    </w:p>
    <w:bookmarkEnd w:id="12"/>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2528"/>
        <w:gridCol w:w="5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条款名称</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招标人</w:t>
            </w:r>
          </w:p>
        </w:tc>
        <w:tc>
          <w:tcPr>
            <w:tcW w:w="5814" w:type="dxa"/>
            <w:noWrap w:val="0"/>
            <w:vAlign w:val="center"/>
          </w:tcPr>
          <w:p>
            <w:pPr>
              <w:pStyle w:val="17"/>
              <w:keepNext w:val="0"/>
              <w:keepLines w:val="0"/>
              <w:pageBreakBefore w:val="0"/>
              <w:suppressLineNumbers w:val="0"/>
              <w:kinsoku/>
              <w:overflowPunct/>
              <w:bidi w:val="0"/>
              <w:spacing w:before="0" w:beforeLines="0" w:beforeAutospacing="0" w:after="0" w:afterLines="0" w:afterAutospacing="0" w:line="360" w:lineRule="auto"/>
              <w:ind w:left="0" w:leftChars="0" w:right="0" w:rightChars="0"/>
              <w:jc w:val="left"/>
              <w:rPr>
                <w:rFonts w:hint="eastAsia" w:ascii="宋体" w:hAnsi="宋体" w:eastAsia="宋体" w:cs="宋体"/>
                <w:color w:val="auto"/>
                <w:sz w:val="24"/>
                <w:szCs w:val="24"/>
                <w:highlight w:val="none"/>
                <w:shd w:val="clear" w:color="auto" w:fill="FFFFFF"/>
                <w:lang w:eastAsia="zh-CN"/>
              </w:rPr>
            </w:pPr>
            <w:r>
              <w:rPr>
                <w:rFonts w:hint="eastAsia" w:cs="宋体"/>
                <w:color w:val="auto"/>
                <w:sz w:val="24"/>
                <w:szCs w:val="24"/>
                <w:highlight w:val="none"/>
                <w:shd w:val="clear" w:color="auto" w:fill="FFFFFF"/>
                <w:lang w:val="en-US" w:eastAsia="zh-CN"/>
              </w:rPr>
              <w:t>名称</w:t>
            </w:r>
            <w:r>
              <w:rPr>
                <w:rFonts w:hint="eastAsia" w:ascii="宋体" w:hAnsi="宋体" w:eastAsia="宋体" w:cs="宋体"/>
                <w:color w:val="auto"/>
                <w:sz w:val="24"/>
                <w:szCs w:val="24"/>
                <w:highlight w:val="none"/>
                <w:shd w:val="clear" w:color="auto" w:fill="FFFFFF"/>
              </w:rPr>
              <w:t>：</w:t>
            </w:r>
            <w:r>
              <w:rPr>
                <w:rFonts w:hint="eastAsia" w:ascii="宋体" w:hAnsi="宋体" w:eastAsia="宋体" w:cs="宋体"/>
                <w:color w:val="auto"/>
                <w:sz w:val="24"/>
                <w:szCs w:val="24"/>
                <w:highlight w:val="none"/>
                <w:shd w:val="clear" w:color="auto" w:fill="FFFFFF"/>
                <w:lang w:eastAsia="zh-CN"/>
              </w:rPr>
              <w:t>伊川县交通事业发展中心</w:t>
            </w:r>
          </w:p>
          <w:p>
            <w:pPr>
              <w:pStyle w:val="17"/>
              <w:keepNext w:val="0"/>
              <w:keepLines w:val="0"/>
              <w:pageBreakBefore w:val="0"/>
              <w:suppressLineNumbers w:val="0"/>
              <w:kinsoku/>
              <w:overflowPunct/>
              <w:bidi w:val="0"/>
              <w:spacing w:before="0" w:beforeLines="0" w:beforeAutospacing="0" w:after="0" w:afterLines="0" w:afterAutospacing="0" w:line="360" w:lineRule="auto"/>
              <w:ind w:left="0" w:leftChars="0" w:right="0" w:right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地址：伊川县立奇商务大厦A区8楼</w:t>
            </w:r>
          </w:p>
          <w:p>
            <w:pPr>
              <w:pStyle w:val="17"/>
              <w:keepNext w:val="0"/>
              <w:keepLines w:val="0"/>
              <w:pageBreakBefore w:val="0"/>
              <w:suppressLineNumbers w:val="0"/>
              <w:kinsoku/>
              <w:overflowPunct/>
              <w:bidi w:val="0"/>
              <w:spacing w:before="0" w:beforeLines="0" w:beforeAutospacing="0" w:after="0" w:afterLines="0" w:afterAutospacing="0" w:line="360" w:lineRule="auto"/>
              <w:ind w:left="0" w:leftChars="0" w:right="0" w:right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联系人：</w:t>
            </w:r>
            <w:r>
              <w:rPr>
                <w:rFonts w:hint="eastAsia" w:ascii="宋体" w:hAnsi="宋体" w:eastAsia="宋体" w:cs="宋体"/>
                <w:sz w:val="24"/>
                <w:szCs w:val="24"/>
                <w:lang w:val="en-US" w:eastAsia="zh-CN"/>
              </w:rPr>
              <w:t>白</w:t>
            </w:r>
            <w:r>
              <w:rPr>
                <w:rFonts w:hint="eastAsia" w:ascii="宋体" w:hAnsi="宋体" w:eastAsia="宋体" w:cs="宋体"/>
                <w:sz w:val="24"/>
                <w:szCs w:val="24"/>
              </w:rPr>
              <w:t>女士</w:t>
            </w:r>
          </w:p>
          <w:p>
            <w:pPr>
              <w:pStyle w:val="17"/>
              <w:keepNext w:val="0"/>
              <w:keepLines w:val="0"/>
              <w:pageBreakBefore w:val="0"/>
              <w:suppressLineNumbers w:val="0"/>
              <w:kinsoku/>
              <w:overflowPunct/>
              <w:bidi w:val="0"/>
              <w:spacing w:before="0" w:beforeLines="0" w:beforeAutospacing="0" w:after="0" w:afterLines="0" w:afterAutospacing="0" w:line="360" w:lineRule="auto"/>
              <w:ind w:left="0" w:leftChars="0" w:right="0" w:rightChars="0"/>
              <w:jc w:val="left"/>
              <w:rPr>
                <w:rFonts w:hint="eastAsia" w:ascii="宋体" w:hAnsi="宋体" w:eastAsia="宋体" w:cs="宋体"/>
                <w:color w:val="auto"/>
                <w:sz w:val="24"/>
                <w:szCs w:val="24"/>
                <w:highlight w:val="none"/>
                <w:lang w:eastAsia="zh-CN"/>
              </w:rPr>
            </w:pPr>
            <w:r>
              <w:rPr>
                <w:rFonts w:hint="eastAsia" w:cs="宋体"/>
                <w:color w:val="auto"/>
                <w:sz w:val="24"/>
                <w:szCs w:val="24"/>
                <w:highlight w:val="none"/>
                <w:lang w:val="en-US" w:eastAsia="zh-CN"/>
              </w:rPr>
              <w:t>电话</w:t>
            </w:r>
            <w:r>
              <w:rPr>
                <w:rFonts w:hint="eastAsia" w:ascii="宋体" w:hAnsi="宋体" w:eastAsia="宋体" w:cs="宋体"/>
                <w:color w:val="auto"/>
                <w:sz w:val="24"/>
                <w:szCs w:val="24"/>
                <w:highlight w:val="none"/>
                <w:lang w:eastAsia="zh-CN"/>
              </w:rPr>
              <w:t>：0379-68354999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1.1.3</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招标代理机构</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名称</w:t>
            </w:r>
            <w:r>
              <w:rPr>
                <w:rFonts w:hint="eastAsia" w:ascii="宋体" w:hAnsi="宋体" w:eastAsia="宋体" w:cs="宋体"/>
                <w:color w:val="auto"/>
                <w:sz w:val="24"/>
                <w:szCs w:val="24"/>
                <w:highlight w:val="none"/>
              </w:rPr>
              <w:t>：金泽工程管理服务有限公司</w:t>
            </w: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地址：洛阳市洛龙区滨河南路159号功成校苑综合楼B2307室</w:t>
            </w: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联系人：何先生</w:t>
            </w: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电话：16637983216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1.1.4</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招标</w:t>
            </w:r>
            <w:r>
              <w:rPr>
                <w:rFonts w:hint="eastAsia" w:ascii="宋体" w:hAnsi="宋体" w:eastAsia="宋体" w:cs="宋体"/>
                <w:color w:val="auto"/>
                <w:sz w:val="24"/>
                <w:szCs w:val="24"/>
                <w:highlight w:val="none"/>
              </w:rPr>
              <w:t>项目名称</w:t>
            </w:r>
          </w:p>
        </w:tc>
        <w:tc>
          <w:tcPr>
            <w:tcW w:w="5814" w:type="dxa"/>
            <w:noWrap w:val="0"/>
            <w:vAlign w:val="center"/>
          </w:tcPr>
          <w:p>
            <w:pPr>
              <w:pStyle w:val="28"/>
              <w:keepNext w:val="0"/>
              <w:keepLines w:val="0"/>
              <w:pageBreakBefore w:val="0"/>
              <w:widowControl w:val="0"/>
              <w:suppressLineNumbers w:val="0"/>
              <w:tabs>
                <w:tab w:val="left" w:pos="1998"/>
              </w:tabs>
              <w:kinsoku/>
              <w:wordWrap w:val="0"/>
              <w:overflowPunct/>
              <w:topLinePunct w:val="0"/>
              <w:autoSpaceDE/>
              <w:autoSpaceDN/>
              <w:bidi w:val="0"/>
              <w:adjustRightInd/>
              <w:snapToGrid/>
              <w:spacing w:before="0" w:beforeAutospacing="0" w:after="0" w:afterAutospacing="0" w:line="360" w:lineRule="auto"/>
              <w:ind w:left="0" w:leftChars="0" w:right="0" w:right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bidi="zh-CN"/>
              </w:rPr>
              <w:t>伊川县交通事业发展中心伊川县Y002半鲁线段庄至三岔口段改造工程项目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1.1.5</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项目</w:t>
            </w:r>
            <w:r>
              <w:rPr>
                <w:rFonts w:hint="eastAsia" w:ascii="宋体" w:hAnsi="宋体" w:eastAsia="宋体" w:cs="宋体"/>
                <w:color w:val="auto"/>
                <w:sz w:val="24"/>
                <w:szCs w:val="24"/>
                <w:highlight w:val="none"/>
              </w:rPr>
              <w:t>建设地点</w:t>
            </w:r>
          </w:p>
        </w:tc>
        <w:tc>
          <w:tcPr>
            <w:tcW w:w="5814" w:type="dxa"/>
            <w:noWrap w:val="0"/>
            <w:vAlign w:val="center"/>
          </w:tcPr>
          <w:p>
            <w:pPr>
              <w:pStyle w:val="28"/>
              <w:keepNext w:val="0"/>
              <w:keepLines w:val="0"/>
              <w:pageBreakBefore w:val="0"/>
              <w:suppressLineNumbers w:val="0"/>
              <w:tabs>
                <w:tab w:val="left" w:pos="1998"/>
              </w:tabs>
              <w:kinsoku/>
              <w:overflowPunct/>
              <w:bidi w:val="0"/>
              <w:spacing w:before="0" w:beforeAutospacing="0" w:after="0" w:afterAutospacing="0" w:line="360" w:lineRule="auto"/>
              <w:ind w:left="0" w:leftChars="0" w:right="0" w:right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3"/>
                <w:sz w:val="24"/>
                <w:szCs w:val="24"/>
                <w:highlight w:val="none"/>
                <w:lang w:eastAsia="zh-CN"/>
              </w:rPr>
              <w:t>洛阳市</w:t>
            </w:r>
            <w:r>
              <w:rPr>
                <w:rFonts w:hint="eastAsia" w:ascii="宋体" w:hAnsi="宋体" w:eastAsia="宋体" w:cs="宋体"/>
                <w:color w:val="auto"/>
                <w:spacing w:val="-3"/>
                <w:sz w:val="24"/>
                <w:szCs w:val="24"/>
                <w:highlight w:val="none"/>
                <w:lang w:val="en-US" w:eastAsia="zh-CN"/>
              </w:rPr>
              <w:t>伊川县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资金来源</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比例</w:t>
            </w:r>
          </w:p>
        </w:tc>
        <w:tc>
          <w:tcPr>
            <w:tcW w:w="5814" w:type="dxa"/>
            <w:noWrap w:val="0"/>
            <w:vAlign w:val="center"/>
          </w:tcPr>
          <w:p>
            <w:pPr>
              <w:pStyle w:val="28"/>
              <w:keepNext w:val="0"/>
              <w:keepLines w:val="0"/>
              <w:pageBreakBefore w:val="0"/>
              <w:suppressLineNumbers w:val="0"/>
              <w:tabs>
                <w:tab w:val="left" w:pos="1998"/>
              </w:tabs>
              <w:kinsoku/>
              <w:overflowPunct/>
              <w:bidi w:val="0"/>
              <w:spacing w:before="0" w:beforeAutospacing="0" w:after="0" w:afterAutospacing="0" w:line="360" w:lineRule="auto"/>
              <w:ind w:left="0" w:leftChars="0" w:right="0" w:right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3"/>
                <w:sz w:val="24"/>
                <w:szCs w:val="24"/>
                <w:highlight w:val="none"/>
              </w:rPr>
              <w:t>财政资金</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资金落实情况</w:t>
            </w:r>
          </w:p>
        </w:tc>
        <w:tc>
          <w:tcPr>
            <w:tcW w:w="5814" w:type="dxa"/>
            <w:noWrap w:val="0"/>
            <w:vAlign w:val="center"/>
          </w:tcPr>
          <w:p>
            <w:pPr>
              <w:pStyle w:val="28"/>
              <w:keepNext w:val="0"/>
              <w:keepLines w:val="0"/>
              <w:pageBreakBefore w:val="0"/>
              <w:suppressLineNumbers w:val="0"/>
              <w:tabs>
                <w:tab w:val="left" w:pos="1998"/>
              </w:tabs>
              <w:kinsoku/>
              <w:overflowPunct/>
              <w:bidi w:val="0"/>
              <w:spacing w:before="0" w:beforeAutospacing="0" w:after="0" w:afterAutospacing="0" w:line="360" w:lineRule="auto"/>
              <w:ind w:left="0" w:leftChars="0" w:right="0" w:rightChars="0"/>
              <w:jc w:val="left"/>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招标范围</w:t>
            </w:r>
          </w:p>
        </w:tc>
        <w:tc>
          <w:tcPr>
            <w:tcW w:w="5814" w:type="dxa"/>
            <w:noWrap w:val="0"/>
            <w:vAlign w:val="center"/>
          </w:tcPr>
          <w:p>
            <w:pPr>
              <w:pStyle w:val="28"/>
              <w:keepNext w:val="0"/>
              <w:keepLines w:val="0"/>
              <w:pageBreakBefore w:val="0"/>
              <w:suppressLineNumbers w:val="0"/>
              <w:tabs>
                <w:tab w:val="left" w:pos="1998"/>
              </w:tabs>
              <w:kinsoku/>
              <w:overflowPunct/>
              <w:bidi w:val="0"/>
              <w:spacing w:before="0" w:beforeAutospacing="0" w:after="0" w:afterAutospacing="0" w:line="360" w:lineRule="auto"/>
              <w:ind w:left="0" w:leftChars="0" w:right="0" w:right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本项目招标文件、工程量清单及施工图纸所包含的全部内容</w:t>
            </w:r>
          </w:p>
        </w:tc>
      </w:tr>
      <w:bookmarkEnd w:id="1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计划工期</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180日历天，缺陷责任期为2年（自实际交工日期起计算）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1.3.</w:t>
            </w:r>
            <w:r>
              <w:rPr>
                <w:rFonts w:hint="eastAsia" w:ascii="宋体" w:hAnsi="宋体" w:eastAsia="宋体" w:cs="宋体"/>
                <w:color w:val="auto"/>
                <w:sz w:val="24"/>
                <w:szCs w:val="24"/>
                <w:highlight w:val="none"/>
                <w:lang w:val="en-US" w:eastAsia="zh-CN"/>
              </w:rPr>
              <w:t>3</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eastAsia="zh-CN"/>
              </w:rPr>
              <w:t>质量目标</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交工验收的质量评定：合格；</w:t>
            </w: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竣工验收的质量评定：优良；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1.3.</w:t>
            </w:r>
            <w:r>
              <w:rPr>
                <w:rFonts w:hint="eastAsia" w:ascii="宋体" w:hAnsi="宋体" w:eastAsia="宋体" w:cs="宋体"/>
                <w:color w:val="auto"/>
                <w:sz w:val="24"/>
                <w:szCs w:val="24"/>
                <w:highlight w:val="none"/>
                <w:lang w:val="en-US" w:eastAsia="zh-CN"/>
              </w:rPr>
              <w:t>4</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安全目标</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安全生产零事故；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投标人资质条件、能力和信誉</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是否接受联合体投标</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☑不接受</w:t>
            </w: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□接受，应满足下列要求：</w:t>
            </w: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（1）联合体所有成员数量不得超过</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lang w:val="en-US" w:eastAsia="zh-CN"/>
              </w:rPr>
              <w:t>家；</w:t>
            </w: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（2）联合体牵头人应具有</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lang w:val="en-US" w:eastAsia="zh-CN"/>
              </w:rPr>
              <w:t>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pStyle w:val="28"/>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1.4.3</w:t>
            </w:r>
          </w:p>
        </w:tc>
        <w:tc>
          <w:tcPr>
            <w:tcW w:w="2528" w:type="dxa"/>
            <w:noWrap w:val="0"/>
            <w:vAlign w:val="center"/>
          </w:tcPr>
          <w:p>
            <w:pPr>
              <w:pStyle w:val="28"/>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投标人不得存在的其他关联情形</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详见总则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pStyle w:val="28"/>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1.4.4</w:t>
            </w:r>
          </w:p>
        </w:tc>
        <w:tc>
          <w:tcPr>
            <w:tcW w:w="2528" w:type="dxa"/>
            <w:noWrap w:val="0"/>
            <w:vAlign w:val="center"/>
          </w:tcPr>
          <w:p>
            <w:pPr>
              <w:pStyle w:val="28"/>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投标人不得存在的其他不良状况或不良信用记录</w:t>
            </w:r>
          </w:p>
        </w:tc>
        <w:tc>
          <w:tcPr>
            <w:tcW w:w="5814" w:type="dxa"/>
            <w:noWrap w:val="0"/>
            <w:vAlign w:val="center"/>
          </w:tcPr>
          <w:p>
            <w:pPr>
              <w:pStyle w:val="28"/>
              <w:keepNext w:val="0"/>
              <w:keepLines w:val="0"/>
              <w:pageBreakBefore w:val="0"/>
              <w:suppressLineNumbers w:val="0"/>
              <w:kinsoku/>
              <w:overflowPunct/>
              <w:bidi w:val="0"/>
              <w:spacing w:before="0" w:beforeAutospacing="0" w:after="0" w:afterAutospacing="0" w:line="360" w:lineRule="auto"/>
              <w:ind w:left="0" w:leftChars="0" w:right="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详见总则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vMerge w:val="restart"/>
            <w:noWrap w:val="0"/>
            <w:vAlign w:val="center"/>
          </w:tcPr>
          <w:p>
            <w:pPr>
              <w:pStyle w:val="72"/>
              <w:keepNext w:val="0"/>
              <w:keepLines w:val="0"/>
              <w:suppressLineNumbers w:val="0"/>
              <w:spacing w:before="69" w:beforeAutospacing="0" w:after="0" w:afterAutospacing="0" w:line="183" w:lineRule="auto"/>
              <w:ind w:left="0" w:right="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1.10.2</w:t>
            </w:r>
          </w:p>
        </w:tc>
        <w:tc>
          <w:tcPr>
            <w:tcW w:w="2528" w:type="dxa"/>
            <w:vMerge w:val="restart"/>
            <w:noWrap w:val="0"/>
            <w:vAlign w:val="center"/>
          </w:tcPr>
          <w:p>
            <w:pPr>
              <w:pStyle w:val="72"/>
              <w:keepNext w:val="0"/>
              <w:keepLines w:val="0"/>
              <w:suppressLineNumbers w:val="0"/>
              <w:spacing w:before="249" w:beforeAutospacing="0" w:after="0" w:afterAutospacing="0" w:line="401" w:lineRule="exact"/>
              <w:ind w:left="0" w:right="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投标人在投标预备会前提出问题</w:t>
            </w:r>
          </w:p>
        </w:tc>
        <w:tc>
          <w:tcPr>
            <w:tcW w:w="5814" w:type="dxa"/>
            <w:noWrap w:val="0"/>
            <w:vAlign w:val="center"/>
          </w:tcPr>
          <w:p>
            <w:pPr>
              <w:pStyle w:val="72"/>
              <w:keepNext w:val="0"/>
              <w:keepLines w:val="0"/>
              <w:suppressLineNumbers w:val="0"/>
              <w:spacing w:before="124" w:beforeAutospacing="0" w:after="0" w:afterAutospacing="0" w:line="223" w:lineRule="auto"/>
              <w:ind w:left="0" w:right="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时间：</w:t>
            </w:r>
            <w:r>
              <w:rPr>
                <w:rFonts w:hint="eastAsia" w:ascii="宋体" w:hAnsi="宋体" w:eastAsia="宋体" w:cs="宋体"/>
                <w:color w:val="auto"/>
                <w:kern w:val="2"/>
                <w:sz w:val="24"/>
                <w:szCs w:val="24"/>
                <w:highlight w:val="none"/>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vMerge w:val="continue"/>
            <w:noWrap w:val="0"/>
            <w:vAlign w:val="center"/>
          </w:tcPr>
          <w:p>
            <w:pPr>
              <w:pStyle w:val="72"/>
              <w:keepNext w:val="0"/>
              <w:keepLines w:val="0"/>
              <w:suppressLineNumbers w:val="0"/>
              <w:spacing w:before="124" w:beforeAutospacing="0" w:after="0" w:afterAutospacing="0" w:line="223" w:lineRule="auto"/>
              <w:ind w:left="0" w:right="0"/>
              <w:jc w:val="left"/>
              <w:rPr>
                <w:rFonts w:hint="eastAsia" w:ascii="宋体" w:hAnsi="宋体" w:eastAsia="宋体" w:cs="宋体"/>
                <w:color w:val="auto"/>
                <w:kern w:val="2"/>
                <w:sz w:val="24"/>
                <w:szCs w:val="24"/>
                <w:highlight w:val="none"/>
                <w:lang w:val="en-US" w:eastAsia="zh-CN" w:bidi="ar-SA"/>
              </w:rPr>
            </w:pPr>
          </w:p>
        </w:tc>
        <w:tc>
          <w:tcPr>
            <w:tcW w:w="2528" w:type="dxa"/>
            <w:vMerge w:val="continue"/>
            <w:noWrap w:val="0"/>
            <w:vAlign w:val="center"/>
          </w:tcPr>
          <w:p>
            <w:pPr>
              <w:pStyle w:val="72"/>
              <w:keepNext w:val="0"/>
              <w:keepLines w:val="0"/>
              <w:suppressLineNumbers w:val="0"/>
              <w:spacing w:before="124" w:beforeAutospacing="0" w:after="0" w:afterAutospacing="0" w:line="223" w:lineRule="auto"/>
              <w:ind w:left="0" w:right="0"/>
              <w:jc w:val="left"/>
              <w:rPr>
                <w:rFonts w:hint="eastAsia" w:ascii="宋体" w:hAnsi="宋体" w:eastAsia="宋体" w:cs="宋体"/>
                <w:color w:val="auto"/>
                <w:kern w:val="2"/>
                <w:sz w:val="24"/>
                <w:szCs w:val="24"/>
                <w:highlight w:val="none"/>
                <w:lang w:val="en-US" w:eastAsia="zh-CN" w:bidi="ar-SA"/>
              </w:rPr>
            </w:pPr>
          </w:p>
        </w:tc>
        <w:tc>
          <w:tcPr>
            <w:tcW w:w="5814" w:type="dxa"/>
            <w:noWrap w:val="0"/>
            <w:vAlign w:val="center"/>
          </w:tcPr>
          <w:p>
            <w:pPr>
              <w:pStyle w:val="72"/>
              <w:keepNext w:val="0"/>
              <w:keepLines w:val="0"/>
              <w:suppressLineNumbers w:val="0"/>
              <w:spacing w:before="124" w:beforeAutospacing="0" w:after="0" w:afterAutospacing="0" w:line="223" w:lineRule="auto"/>
              <w:ind w:left="0" w:right="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形式：</w:t>
            </w:r>
            <w:r>
              <w:rPr>
                <w:rFonts w:hint="eastAsia" w:ascii="宋体" w:hAnsi="宋体" w:eastAsia="宋体" w:cs="宋体"/>
                <w:color w:val="auto"/>
                <w:kern w:val="2"/>
                <w:sz w:val="24"/>
                <w:szCs w:val="24"/>
                <w:highlight w:val="none"/>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1.11.1</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分包</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drawing>
                <wp:inline distT="0" distB="0" distL="0" distR="0">
                  <wp:extent cx="114935" cy="146050"/>
                  <wp:effectExtent l="0" t="0" r="3810" b="5080"/>
                  <wp:docPr id="2" name="IM 4"/>
                  <wp:cNvGraphicFramePr/>
                  <a:graphic xmlns:a="http://schemas.openxmlformats.org/drawingml/2006/main">
                    <a:graphicData uri="http://schemas.openxmlformats.org/drawingml/2006/picture">
                      <pic:pic xmlns:pic="http://schemas.openxmlformats.org/drawingml/2006/picture">
                        <pic:nvPicPr>
                          <pic:cNvPr id="2" name="IM 4"/>
                          <pic:cNvPicPr/>
                        </pic:nvPicPr>
                        <pic:blipFill>
                          <a:blip r:embed="rId57"/>
                          <a:stretch>
                            <a:fillRect/>
                          </a:stretch>
                        </pic:blipFill>
                        <pic:spPr>
                          <a:xfrm>
                            <a:off x="0" y="0"/>
                            <a:ext cx="115202" cy="146303"/>
                          </a:xfrm>
                          <a:prstGeom prst="rect">
                            <a:avLst/>
                          </a:prstGeom>
                        </pic:spPr>
                      </pic:pic>
                    </a:graphicData>
                  </a:graphic>
                </wp:inline>
              </w:drawing>
            </w:r>
            <w:r>
              <w:rPr>
                <w:rFonts w:hint="eastAsia" w:ascii="宋体" w:hAnsi="宋体" w:eastAsia="宋体" w:cs="宋体"/>
                <w:color w:val="auto"/>
                <w:kern w:val="2"/>
                <w:sz w:val="24"/>
                <w:szCs w:val="24"/>
                <w:highlight w:val="none"/>
                <w:lang w:val="en-US" w:eastAsia="zh-CN" w:bidi="ar-SA"/>
              </w:rPr>
              <w:t>不允许</w:t>
            </w: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u w:val="single"/>
                <w:lang w:val="en-US" w:eastAsia="zh-CN" w:bidi="ar-SA"/>
              </w:rPr>
            </w:pPr>
            <w:r>
              <w:rPr>
                <w:rFonts w:hint="eastAsia" w:ascii="宋体" w:hAnsi="宋体" w:eastAsia="宋体" w:cs="宋体"/>
                <w:color w:val="auto"/>
                <w:kern w:val="2"/>
                <w:sz w:val="24"/>
                <w:szCs w:val="24"/>
                <w:highlight w:val="none"/>
                <w:lang w:val="en-US" w:eastAsia="zh-CN" w:bidi="ar-SA"/>
              </w:rPr>
              <w:t>□允许，允许分包的专项工程：</w:t>
            </w:r>
            <w:r>
              <w:rPr>
                <w:rFonts w:hint="eastAsia" w:ascii="宋体" w:hAnsi="宋体" w:eastAsia="宋体" w:cs="宋体"/>
                <w:color w:val="auto"/>
                <w:kern w:val="2"/>
                <w:sz w:val="24"/>
                <w:szCs w:val="24"/>
                <w:highlight w:val="none"/>
                <w:u w:val="single"/>
                <w:lang w:val="en-US" w:eastAsia="zh-CN" w:bidi="ar-SA"/>
              </w:rPr>
              <w:t>/</w:t>
            </w: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对分包人的资格要求：</w:t>
            </w:r>
            <w:r>
              <w:rPr>
                <w:rFonts w:hint="eastAsia" w:ascii="宋体" w:hAnsi="宋体" w:eastAsia="宋体" w:cs="宋体"/>
                <w:color w:val="auto"/>
                <w:kern w:val="2"/>
                <w:sz w:val="24"/>
                <w:szCs w:val="24"/>
                <w:highlight w:val="none"/>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构成招标文件的其他资料</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1.招标人发布的最高投标限价、招标补遗书、澄清、修改等招标文件的补充文件（如有）；</w:t>
            </w: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2.其他相关规范、要求等。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vMerge w:val="restart"/>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2.2.1</w:t>
            </w:r>
          </w:p>
        </w:tc>
        <w:tc>
          <w:tcPr>
            <w:tcW w:w="2528" w:type="dxa"/>
            <w:vMerge w:val="restart"/>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投标人要求澄清招标文件</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时间：递交投标文件的截止之日10日前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vMerge w:val="continue"/>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p>
        </w:tc>
        <w:tc>
          <w:tcPr>
            <w:tcW w:w="2528" w:type="dxa"/>
            <w:vMerge w:val="continue"/>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形式：如有异议，使用CA数字证书登录“电子交易平台”，在清招标文件“投标答疑”菜单以书面形式要求招标人对招标文件予以澄清。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pStyle w:val="28"/>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2.2.2</w:t>
            </w:r>
          </w:p>
        </w:tc>
        <w:tc>
          <w:tcPr>
            <w:tcW w:w="2528" w:type="dxa"/>
            <w:noWrap w:val="0"/>
            <w:vAlign w:val="center"/>
          </w:tcPr>
          <w:p>
            <w:pPr>
              <w:pStyle w:val="28"/>
              <w:keepNext w:val="0"/>
              <w:keepLines w:val="0"/>
              <w:pageBreakBefore w:val="0"/>
              <w:suppressLineNumbers w:val="0"/>
              <w:kinsoku/>
              <w:overflowPunct/>
              <w:bidi w:val="0"/>
              <w:spacing w:before="0" w:beforeAutospacing="0" w:after="0" w:afterAutospacing="0" w:line="360" w:lineRule="auto"/>
              <w:ind w:left="0" w:leftChars="0" w:right="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招标文件澄清发出的形式</w:t>
            </w:r>
          </w:p>
        </w:tc>
        <w:tc>
          <w:tcPr>
            <w:tcW w:w="5814" w:type="dxa"/>
            <w:noWrap w:val="0"/>
            <w:vAlign w:val="center"/>
          </w:tcPr>
          <w:p>
            <w:pPr>
              <w:pStyle w:val="28"/>
              <w:keepNext w:val="0"/>
              <w:keepLines w:val="0"/>
              <w:pageBreakBefore w:val="0"/>
              <w:suppressLineNumbers w:val="0"/>
              <w:kinsoku/>
              <w:overflowPunct/>
              <w:bidi w:val="0"/>
              <w:spacing w:before="0" w:beforeAutospacing="0" w:after="0" w:afterAutospacing="0" w:line="360" w:lineRule="auto"/>
              <w:ind w:left="0" w:leftChars="0" w:right="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招标文件的澄清、修改将在《河南省政府采购网》、《中国招标投标公共服务平台》、《河南省电子招标投标公共服务平台》及《全国公共资源交易平台（河南省·洛阳市）》上发布“变更公告”，如需修改招标文件，则同时在洛阳市电子招投标交易平台发布“答疑文件”（答疑文件指修改后最新的招标文件）。对于各项目中已经成功报名并下载招标文件的投标人，将通过第三方短信群发方式提醒投标人进行查询。各投标人须重新下载最新的“答疑文件”，并以此编制投标文件。如不以最新发布的“答疑文件”编制投标文件，造成投标无效的后果由投标人自己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vMerge w:val="restart"/>
            <w:noWrap w:val="0"/>
            <w:vAlign w:val="center"/>
          </w:tcPr>
          <w:p>
            <w:pPr>
              <w:pStyle w:val="28"/>
              <w:keepNext w:val="0"/>
              <w:keepLines w:val="0"/>
              <w:pageBreakBefore w:val="0"/>
              <w:suppressLineNumbers w:val="0"/>
              <w:kinsoku/>
              <w:overflowPunct/>
              <w:bidi w:val="0"/>
              <w:spacing w:before="0" w:beforeAutospacing="0" w:after="0" w:afterAutospacing="0" w:line="360" w:lineRule="auto"/>
              <w:ind w:left="0" w:leftChars="0" w:right="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2.2.3</w:t>
            </w:r>
          </w:p>
        </w:tc>
        <w:tc>
          <w:tcPr>
            <w:tcW w:w="2528" w:type="dxa"/>
            <w:vMerge w:val="restart"/>
            <w:noWrap w:val="0"/>
            <w:vAlign w:val="center"/>
          </w:tcPr>
          <w:p>
            <w:pPr>
              <w:pStyle w:val="28"/>
              <w:keepNext w:val="0"/>
              <w:keepLines w:val="0"/>
              <w:pageBreakBefore w:val="0"/>
              <w:suppressLineNumbers w:val="0"/>
              <w:kinsoku/>
              <w:overflowPunct/>
              <w:bidi w:val="0"/>
              <w:spacing w:before="0" w:beforeAutospacing="0" w:after="0" w:afterAutospacing="0" w:line="360" w:lineRule="auto"/>
              <w:ind w:left="0" w:leftChars="0" w:right="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投标人确认收到招标文件澄清</w:t>
            </w:r>
          </w:p>
        </w:tc>
        <w:tc>
          <w:tcPr>
            <w:tcW w:w="5814" w:type="dxa"/>
            <w:noWrap w:val="0"/>
            <w:vAlign w:val="center"/>
          </w:tcPr>
          <w:p>
            <w:pPr>
              <w:pStyle w:val="28"/>
              <w:keepNext w:val="0"/>
              <w:keepLines w:val="0"/>
              <w:pageBreakBefore w:val="0"/>
              <w:suppressLineNumbers w:val="0"/>
              <w:tabs>
                <w:tab w:val="left" w:pos="2209"/>
              </w:tabs>
              <w:kinsoku/>
              <w:overflowPunct/>
              <w:bidi w:val="0"/>
              <w:spacing w:before="0" w:beforeAutospacing="0" w:after="0" w:afterAutospacing="0" w:line="360" w:lineRule="auto"/>
              <w:ind w:left="0" w:leftChars="0" w:right="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时间：收到澄清后24小时内（以发出时间为准）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vMerge w:val="continue"/>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p>
        </w:tc>
        <w:tc>
          <w:tcPr>
            <w:tcW w:w="2528" w:type="dxa"/>
            <w:vMerge w:val="continue"/>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形式：洛阳市电子招投标交易平台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pStyle w:val="28"/>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2.3.1</w:t>
            </w:r>
          </w:p>
        </w:tc>
        <w:tc>
          <w:tcPr>
            <w:tcW w:w="2528" w:type="dxa"/>
            <w:noWrap w:val="0"/>
            <w:vAlign w:val="center"/>
          </w:tcPr>
          <w:p>
            <w:pPr>
              <w:pStyle w:val="28"/>
              <w:keepNext w:val="0"/>
              <w:keepLines w:val="0"/>
              <w:pageBreakBefore w:val="0"/>
              <w:suppressLineNumbers w:val="0"/>
              <w:kinsoku/>
              <w:overflowPunct/>
              <w:bidi w:val="0"/>
              <w:spacing w:before="0" w:beforeAutospacing="0" w:after="0" w:afterAutospacing="0" w:line="360" w:lineRule="auto"/>
              <w:ind w:left="0" w:leftChars="0" w:right="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招标文件修改发出的形式</w:t>
            </w:r>
          </w:p>
        </w:tc>
        <w:tc>
          <w:tcPr>
            <w:tcW w:w="5814"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招标文件的澄清、修改将在《河南省政府采购网》、《中国招标投标公共服务平台》、《河南省电子招标投标公共服务平台》及《全国公共资源交易平台（河南省·洛阳市）》上发布“变更公告”，如需修改招标文件，则同时在洛阳市电子招投标交易平台发布“答疑文件”（答疑文件指修改后最新的招标文件）。对于各项目中已经成功报名并下载招标文件的投标人，将通过第三方短信群发方式提醒投标人进行查询。各投标人须重新下载最新的“答疑文件”，并以此编制投标文件。如不以最新发布的“答疑文件”编制投标文件，造成投标无效的后果由投标人自己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vMerge w:val="restart"/>
            <w:noWrap w:val="0"/>
            <w:vAlign w:val="center"/>
          </w:tcPr>
          <w:p>
            <w:pPr>
              <w:pStyle w:val="28"/>
              <w:keepNext w:val="0"/>
              <w:keepLines w:val="0"/>
              <w:pageBreakBefore w:val="0"/>
              <w:suppressLineNumbers w:val="0"/>
              <w:kinsoku/>
              <w:overflowPunct/>
              <w:bidi w:val="0"/>
              <w:spacing w:before="0" w:beforeAutospacing="0" w:after="0" w:afterAutospacing="0" w:line="360" w:lineRule="auto"/>
              <w:ind w:left="0" w:leftChars="0" w:right="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2.3.2</w:t>
            </w:r>
          </w:p>
        </w:tc>
        <w:tc>
          <w:tcPr>
            <w:tcW w:w="2528" w:type="dxa"/>
            <w:vMerge w:val="restart"/>
            <w:noWrap w:val="0"/>
            <w:vAlign w:val="center"/>
          </w:tcPr>
          <w:p>
            <w:pPr>
              <w:pStyle w:val="28"/>
              <w:keepNext w:val="0"/>
              <w:keepLines w:val="0"/>
              <w:pageBreakBefore w:val="0"/>
              <w:suppressLineNumbers w:val="0"/>
              <w:kinsoku/>
              <w:overflowPunct/>
              <w:bidi w:val="0"/>
              <w:spacing w:before="0" w:beforeAutospacing="0" w:after="0" w:afterAutospacing="0" w:line="360" w:lineRule="auto"/>
              <w:ind w:left="0" w:leftChars="0" w:right="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投标人确认收到招标文件修改</w:t>
            </w:r>
          </w:p>
        </w:tc>
        <w:tc>
          <w:tcPr>
            <w:tcW w:w="5814" w:type="dxa"/>
            <w:noWrap w:val="0"/>
            <w:vAlign w:val="center"/>
          </w:tcPr>
          <w:p>
            <w:pPr>
              <w:pStyle w:val="28"/>
              <w:keepNext w:val="0"/>
              <w:keepLines w:val="0"/>
              <w:pageBreakBefore w:val="0"/>
              <w:suppressLineNumbers w:val="0"/>
              <w:tabs>
                <w:tab w:val="left" w:pos="2209"/>
              </w:tabs>
              <w:kinsoku/>
              <w:overflowPunct/>
              <w:bidi w:val="0"/>
              <w:spacing w:before="0" w:beforeAutospacing="0" w:after="0" w:afterAutospacing="0" w:line="360" w:lineRule="auto"/>
              <w:ind w:left="0" w:leftChars="0" w:right="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时间：收到修改后24小时内（以发出时间为准）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vMerge w:val="continue"/>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p>
        </w:tc>
        <w:tc>
          <w:tcPr>
            <w:tcW w:w="2528" w:type="dxa"/>
            <w:vMerge w:val="continue"/>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形式：洛阳市电子招投标交易平台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3.1.1</w:t>
            </w:r>
          </w:p>
        </w:tc>
        <w:tc>
          <w:tcPr>
            <w:tcW w:w="2528" w:type="dxa"/>
            <w:noWrap w:val="0"/>
            <w:vAlign w:val="center"/>
          </w:tcPr>
          <w:p>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投标文件密封形式</w:t>
            </w:r>
          </w:p>
        </w:tc>
        <w:tc>
          <w:tcPr>
            <w:tcW w:w="5814" w:type="dxa"/>
            <w:noWrap w:val="0"/>
            <w:vAlign w:val="center"/>
          </w:tcPr>
          <w:p>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☑双信封</w:t>
            </w:r>
          </w:p>
          <w:p>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单信封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3.1.1</w:t>
            </w:r>
          </w:p>
        </w:tc>
        <w:tc>
          <w:tcPr>
            <w:tcW w:w="252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构成投标文件的其他材料</w:t>
            </w:r>
          </w:p>
        </w:tc>
        <w:tc>
          <w:tcPr>
            <w:tcW w:w="58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1、本项目所发出的补遗书及通知；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2、投标人认为需要提供的其他资料；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3.2.1</w:t>
            </w:r>
          </w:p>
        </w:tc>
        <w:tc>
          <w:tcPr>
            <w:tcW w:w="2528" w:type="dxa"/>
            <w:noWrap w:val="0"/>
            <w:vAlign w:val="center"/>
          </w:tcPr>
          <w:p>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增值税税金的计算方法</w:t>
            </w:r>
          </w:p>
        </w:tc>
        <w:tc>
          <w:tcPr>
            <w:tcW w:w="5814" w:type="dxa"/>
            <w:noWrap w:val="0"/>
            <w:vAlign w:val="center"/>
          </w:tcPr>
          <w:p>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按照国家相关规定执行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3.2.1</w:t>
            </w:r>
          </w:p>
        </w:tc>
        <w:tc>
          <w:tcPr>
            <w:tcW w:w="2528" w:type="dxa"/>
            <w:noWrap w:val="0"/>
            <w:vAlign w:val="center"/>
          </w:tcPr>
          <w:p>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工程量清单的填写方式</w:t>
            </w:r>
          </w:p>
        </w:tc>
        <w:tc>
          <w:tcPr>
            <w:tcW w:w="5814" w:type="dxa"/>
            <w:noWrap w:val="0"/>
            <w:vAlign w:val="center"/>
          </w:tcPr>
          <w:p>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☑投标人按照招标人提供的工程量固化清单电子文件填写工程量清单，下载网站：洛阳市电子招投标交易平台。</w:t>
            </w:r>
          </w:p>
          <w:p>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投标人按照招标人提供的书面工程量清单填写工程量清单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3.2.3</w:t>
            </w:r>
          </w:p>
        </w:tc>
        <w:tc>
          <w:tcPr>
            <w:tcW w:w="252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报价方式</w:t>
            </w:r>
          </w:p>
        </w:tc>
        <w:tc>
          <w:tcPr>
            <w:tcW w:w="58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□单价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3.2.6</w:t>
            </w:r>
          </w:p>
        </w:tc>
        <w:tc>
          <w:tcPr>
            <w:tcW w:w="2528" w:type="dxa"/>
            <w:noWrap w:val="0"/>
            <w:vAlign w:val="center"/>
          </w:tcPr>
          <w:p>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是否接受调价函</w:t>
            </w:r>
          </w:p>
        </w:tc>
        <w:tc>
          <w:tcPr>
            <w:tcW w:w="5814" w:type="dxa"/>
            <w:noWrap w:val="0"/>
            <w:vAlign w:val="center"/>
          </w:tcPr>
          <w:p>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□是</w:t>
            </w:r>
          </w:p>
          <w:p>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3.2.8</w:t>
            </w:r>
          </w:p>
        </w:tc>
        <w:tc>
          <w:tcPr>
            <w:tcW w:w="252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最高投标限价</w:t>
            </w:r>
          </w:p>
        </w:tc>
        <w:tc>
          <w:tcPr>
            <w:tcW w:w="58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☑有，最高投标限价：12529486.42元（其中暂列金额0元）。凡投标报价超过最高投标限价的，其投标无效。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3.2.9</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投标报价的其他要求</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en-US" w:eastAsia="zh-CN" w:bidi="ar-SA"/>
              </w:rPr>
              <w:t>.计价依据:交通部【2018】86号公告发布的《公路工程预算定额》(JTG/T 3832-2018);交通部【2018】86号公告发布的《公路工程机械台班费用定额》(JTG/T3833-2018)及其他相关补充定额;</w:t>
            </w: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en-US" w:eastAsia="zh-CN" w:bidi="ar-SA"/>
              </w:rPr>
              <w:t>.交通部【2018】86号公告发布的《公路工程建设项目概算预算编制办法》(JTG 3830-2018);</w:t>
            </w: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.清单依据:《公路工程标准施工招标文件》(2018版),公路工程标准招标文件范本(2018版);</w:t>
            </w: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4</w:t>
            </w:r>
            <w:r>
              <w:rPr>
                <w:rFonts w:hint="eastAsia" w:ascii="宋体" w:hAnsi="宋体" w:eastAsia="宋体" w:cs="宋体"/>
                <w:color w:val="auto"/>
                <w:kern w:val="2"/>
                <w:sz w:val="24"/>
                <w:szCs w:val="24"/>
                <w:highlight w:val="none"/>
                <w:lang w:val="en-US" w:eastAsia="zh-CN" w:bidi="ar-SA"/>
              </w:rPr>
              <w:t>.材料价格参照报送及《洛阳市建设工程造价信息》2023年第6期价格调整，不全者参同期及市场价计入;</w:t>
            </w: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5</w:t>
            </w:r>
            <w:r>
              <w:rPr>
                <w:rFonts w:hint="eastAsia" w:ascii="宋体" w:hAnsi="宋体" w:eastAsia="宋体" w:cs="宋体"/>
                <w:color w:val="auto"/>
                <w:kern w:val="2"/>
                <w:sz w:val="24"/>
                <w:szCs w:val="24"/>
                <w:highlight w:val="none"/>
                <w:lang w:val="en-US" w:eastAsia="zh-CN" w:bidi="ar-SA"/>
              </w:rPr>
              <w:t>.人工费、规费、养老保险、医疗保险、失业保险、工伤保险、住房公积金按河南省交通运输厅“关于发布河南省公路工程建设项目估算概算预算编制办法补充规定的通知”豫交文[2019]274号文;</w:t>
            </w: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6</w:t>
            </w:r>
            <w:r>
              <w:rPr>
                <w:rFonts w:hint="eastAsia" w:ascii="宋体" w:hAnsi="宋体" w:eastAsia="宋体" w:cs="宋体"/>
                <w:color w:val="auto"/>
                <w:kern w:val="2"/>
                <w:sz w:val="24"/>
                <w:szCs w:val="24"/>
                <w:highlight w:val="none"/>
                <w:lang w:val="en-US" w:eastAsia="zh-CN" w:bidi="ar-SA"/>
              </w:rPr>
              <w:t>.税率依据建办标函[2019]193号文，按9%计取。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3.3.1</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投标有效期</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自投标人提交投标文件截止之日起计算</w:t>
            </w:r>
            <w:r>
              <w:rPr>
                <w:rFonts w:hint="eastAsia" w:ascii="宋体" w:hAnsi="宋体" w:eastAsia="宋体" w:cs="宋体"/>
                <w:color w:val="auto"/>
                <w:kern w:val="2"/>
                <w:sz w:val="24"/>
                <w:szCs w:val="24"/>
                <w:highlight w:val="none"/>
                <w:u w:val="single"/>
                <w:lang w:val="en-US" w:eastAsia="zh-CN" w:bidi="ar-SA"/>
              </w:rPr>
              <w:t>90</w:t>
            </w:r>
            <w:r>
              <w:rPr>
                <w:rFonts w:hint="eastAsia" w:ascii="宋体" w:hAnsi="宋体" w:eastAsia="宋体" w:cs="宋体"/>
                <w:color w:val="auto"/>
                <w:kern w:val="2"/>
                <w:sz w:val="24"/>
                <w:szCs w:val="24"/>
                <w:highlight w:val="none"/>
                <w:lang w:val="en-US" w:eastAsia="zh-CN" w:bidi="ar-SA"/>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3.4.1</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投标保证金</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sym w:font="Wingdings" w:char="00FE"/>
            </w:r>
            <w:r>
              <w:rPr>
                <w:rFonts w:hint="eastAsia" w:ascii="宋体" w:hAnsi="宋体" w:eastAsia="宋体" w:cs="宋体"/>
                <w:color w:val="auto"/>
                <w:kern w:val="2"/>
                <w:sz w:val="24"/>
                <w:szCs w:val="24"/>
                <w:highlight w:val="none"/>
                <w:lang w:val="en-US" w:eastAsia="zh-CN" w:bidi="ar-SA"/>
              </w:rPr>
              <w:t>否，按照《洛阳市公共资源交易管理委员会办公室关于对公共资源交易政府投资工程建设项目投标保证金试行企业信用承诺函的通知》洛公管办[2023]6号文件要求，本次招标不再向投标人收取投标保证金。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3.4.3</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投标保证金利息计算原则</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3.4.4</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其他可以不予退还投标保证金的情形</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3.5</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资格审查资料的特殊要求</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☑无</w:t>
            </w: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pStyle w:val="72"/>
              <w:keepNext w:val="0"/>
              <w:keepLines w:val="0"/>
              <w:suppressLineNumbers w:val="0"/>
              <w:spacing w:before="241" w:beforeAutospacing="0" w:after="0" w:afterAutospacing="0" w:line="182" w:lineRule="auto"/>
              <w:ind w:left="0" w:right="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3.5.2</w:t>
            </w:r>
          </w:p>
        </w:tc>
        <w:tc>
          <w:tcPr>
            <w:tcW w:w="2528" w:type="dxa"/>
            <w:noWrap w:val="0"/>
            <w:vAlign w:val="center"/>
          </w:tcPr>
          <w:p>
            <w:pPr>
              <w:pStyle w:val="72"/>
              <w:keepNext w:val="0"/>
              <w:keepLines w:val="0"/>
              <w:suppressLineNumbers w:val="0"/>
              <w:spacing w:before="205" w:beforeAutospacing="0" w:after="0" w:afterAutospacing="0" w:line="221" w:lineRule="auto"/>
              <w:ind w:left="0" w:right="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近年财务状况的年份要求</w:t>
            </w:r>
          </w:p>
        </w:tc>
        <w:tc>
          <w:tcPr>
            <w:tcW w:w="5814" w:type="dxa"/>
            <w:noWrap w:val="0"/>
            <w:vAlign w:val="center"/>
          </w:tcPr>
          <w:p>
            <w:pPr>
              <w:pStyle w:val="72"/>
              <w:keepNext w:val="0"/>
              <w:keepLines w:val="0"/>
              <w:suppressLineNumbers w:val="0"/>
              <w:spacing w:before="205" w:beforeAutospacing="0" w:after="0" w:afterAutospacing="0" w:line="221" w:lineRule="auto"/>
              <w:ind w:left="0" w:right="0"/>
              <w:jc w:val="left"/>
              <w:rPr>
                <w:rFonts w:hint="default"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3.5.3</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近年完成的类似项目情况的时间要求</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2021年01月01日至投标截止时间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3.6</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是否允许递交备选投标方案</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☑不允许</w:t>
            </w: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3.7.4</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投标文件份数及其他要求</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电子投标文件加密版1份（*.lytf格式）。在投标截止时间前通过全国公共资源交易平台（河南省·洛阳市）系统中在线完成上传加密的电子投标文件。（本项目实行全流程电子化交易，不接受纸质投标文件。）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3.7.5</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装订的其他要求</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pStyle w:val="72"/>
              <w:keepNext w:val="0"/>
              <w:keepLines w:val="0"/>
              <w:suppressLineNumbers w:val="0"/>
              <w:spacing w:before="298" w:beforeAutospacing="0" w:after="0" w:afterAutospacing="0" w:line="174" w:lineRule="auto"/>
              <w:ind w:left="0" w:right="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4.1.2</w:t>
            </w:r>
          </w:p>
        </w:tc>
        <w:tc>
          <w:tcPr>
            <w:tcW w:w="2528" w:type="dxa"/>
            <w:noWrap w:val="0"/>
            <w:vAlign w:val="center"/>
          </w:tcPr>
          <w:p>
            <w:pPr>
              <w:pStyle w:val="72"/>
              <w:keepNext w:val="0"/>
              <w:keepLines w:val="0"/>
              <w:suppressLineNumbers w:val="0"/>
              <w:spacing w:before="147" w:beforeAutospacing="0" w:after="0" w:afterAutospacing="0" w:line="221" w:lineRule="auto"/>
              <w:ind w:left="0" w:right="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封套上应载明的信息</w:t>
            </w:r>
          </w:p>
        </w:tc>
        <w:tc>
          <w:tcPr>
            <w:tcW w:w="5814" w:type="dxa"/>
            <w:noWrap w:val="0"/>
            <w:vAlign w:val="center"/>
          </w:tcPr>
          <w:p>
            <w:pPr>
              <w:pStyle w:val="72"/>
              <w:keepNext w:val="0"/>
              <w:keepLines w:val="0"/>
              <w:suppressLineNumbers w:val="0"/>
              <w:spacing w:before="147" w:beforeAutospacing="0" w:after="0" w:afterAutospacing="0" w:line="222" w:lineRule="auto"/>
              <w:ind w:left="0" w:right="0"/>
              <w:jc w:val="left"/>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4.2.2</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递交投标文件地点</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本项目采用远程不见面交易的模式，开标当日，投标人无需到开标现场参加开标会议，投标人应当在投标截止时间前，登录到洛阳市电子招投标交易平台（http://61.168.99.35/TPBidder/），点击右上方【不见面开标大厅】按钮进入，在线准时参加开标活动并进行投标文件解密等。因投标人原因未能解密、解密失败或解密超时的将被拒绝。具体请参照洛阳市公共资源交易中心首页-办事指南-下载中心-操作手册-《洛阳市公共资源交易中心不见面开标大厅操作手册（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4.2.3</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是否退还投标文件</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☑否</w:t>
            </w: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□是，退还时间：</w:t>
            </w:r>
            <w:r>
              <w:rPr>
                <w:rFonts w:hint="eastAsia" w:ascii="宋体" w:hAnsi="宋体" w:eastAsia="宋体" w:cs="宋体"/>
                <w:color w:val="auto"/>
                <w:kern w:val="2"/>
                <w:sz w:val="24"/>
                <w:szCs w:val="24"/>
                <w:highlight w:val="none"/>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5.1</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开标时间和地点</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投标文件第一个信封（商务及技术文件）开标时间：同投标截止时间。</w:t>
            </w: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投标文件第一个信封（商务及技术文件）开标地点：登录远程开标大厅在线参加开标活动。</w:t>
            </w: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投标文件第二个信封（报价文件）开标时间：投标文件第一信封（商务及技术文件）评审结束后，以交易中心系统推送为准。</w:t>
            </w: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投标文件第二个信封（报价文件）开标地点：登录远程开标大厅在线参加开标活动。</w:t>
            </w: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提醒：投标人应考虑投标数据传输耗时以及意外情况的影响，适当提前上传。因投标人自身原因而导致投标文件无法导入“洛阳市电子招投标交易平台”电子开标、评标系统，该投标视为无效投标，投标人自行承担由此导致的全部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5.2.1</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开标程序</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开标方式：本项目采用远程不见面交易的模式，开标当日，投标人无需到开标现场参加开标会议，投标人应当在投标截止时间前，登录到洛阳市电子招投标交易平台（http://</w:t>
            </w: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"61.168.99.35"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61.168.99.35</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TPBidder），点击右上方【不见面开标大厅】按钮进入，在线准时参加开标活动并进行投标文件解密等。因投标人原因未能解密、解密失败或解密超时的将被拒绝。请参照洛阳市公共资源交易中心首页-办事指南-下载中心-操作手册-《洛阳市公共资源交易中心不见面开标大厅操作手册（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6.1.1</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评标委员会的组建</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评标委员会构成：5人，从河南省综合评标专家库随机抽取经济、技术专家5人；</w:t>
            </w: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评标专家确定方式：依法从河南省综合评标专家库中随机抽取。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6.3.2</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评标委员会推荐中标候选人的人数</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推荐的中标候选人数为1-3名。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7.1</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中标候选人公示媒介及期限</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公示媒介：同招标公告发布媒介；</w:t>
            </w: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公示期限：不少于3日。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7.4</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是否授权评标委员会确定中标人</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□是</w:t>
            </w: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pStyle w:val="72"/>
              <w:keepNext w:val="0"/>
              <w:keepLines w:val="0"/>
              <w:suppressLineNumbers w:val="0"/>
              <w:spacing w:before="68" w:beforeAutospacing="0" w:after="0" w:afterAutospacing="0" w:line="182" w:lineRule="auto"/>
              <w:ind w:left="0" w:right="0"/>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7.5</w:t>
            </w:r>
          </w:p>
        </w:tc>
        <w:tc>
          <w:tcPr>
            <w:tcW w:w="2528" w:type="dxa"/>
            <w:noWrap w:val="0"/>
            <w:vAlign w:val="center"/>
          </w:tcPr>
          <w:p>
            <w:pPr>
              <w:pStyle w:val="72"/>
              <w:keepNext w:val="0"/>
              <w:keepLines w:val="0"/>
              <w:suppressLineNumbers w:val="0"/>
              <w:spacing w:before="35" w:beforeAutospacing="0" w:after="0" w:afterAutospacing="0" w:line="359" w:lineRule="auto"/>
              <w:ind w:left="0" w:right="46"/>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中标通知书和中标结果发出的形式</w:t>
            </w:r>
          </w:p>
        </w:tc>
        <w:tc>
          <w:tcPr>
            <w:tcW w:w="5814" w:type="dxa"/>
            <w:noWrap w:val="0"/>
            <w:vAlign w:val="center"/>
          </w:tcPr>
          <w:p>
            <w:pPr>
              <w:pStyle w:val="72"/>
              <w:keepNext w:val="0"/>
              <w:keepLines w:val="0"/>
              <w:suppressLineNumbers w:val="0"/>
              <w:spacing w:before="35" w:beforeAutospacing="0" w:after="0" w:afterAutospacing="0" w:line="359" w:lineRule="auto"/>
              <w:ind w:left="0" w:right="46"/>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洛阳市电子招投标交易平台（http://</w:t>
            </w: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"61.168.99.35"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61.168.99.35</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/TPBidder）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pStyle w:val="72"/>
              <w:keepNext w:val="0"/>
              <w:keepLines w:val="0"/>
              <w:suppressLineNumbers w:val="0"/>
              <w:spacing w:before="271" w:beforeAutospacing="0" w:after="0" w:afterAutospacing="0" w:line="182" w:lineRule="auto"/>
              <w:ind w:left="0" w:right="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7.6</w:t>
            </w:r>
          </w:p>
        </w:tc>
        <w:tc>
          <w:tcPr>
            <w:tcW w:w="2528" w:type="dxa"/>
            <w:noWrap w:val="0"/>
            <w:vAlign w:val="center"/>
          </w:tcPr>
          <w:p>
            <w:pPr>
              <w:pStyle w:val="72"/>
              <w:keepNext w:val="0"/>
              <w:keepLines w:val="0"/>
              <w:suppressLineNumbers w:val="0"/>
              <w:spacing w:before="35" w:beforeAutospacing="0" w:after="0" w:afterAutospacing="0" w:line="359" w:lineRule="auto"/>
              <w:ind w:left="0" w:right="46"/>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中标结果公告媒介及期限</w:t>
            </w:r>
          </w:p>
        </w:tc>
        <w:tc>
          <w:tcPr>
            <w:tcW w:w="5814" w:type="dxa"/>
            <w:noWrap w:val="0"/>
            <w:vAlign w:val="center"/>
          </w:tcPr>
          <w:p>
            <w:pPr>
              <w:pStyle w:val="72"/>
              <w:keepNext w:val="0"/>
              <w:keepLines w:val="0"/>
              <w:suppressLineNumbers w:val="0"/>
              <w:spacing w:before="35" w:beforeAutospacing="0" w:after="0" w:afterAutospacing="0" w:line="359" w:lineRule="auto"/>
              <w:ind w:left="0" w:right="46"/>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公告媒介：同招标公告发布媒介；</w:t>
            </w:r>
          </w:p>
          <w:p>
            <w:pPr>
              <w:pStyle w:val="72"/>
              <w:keepNext w:val="0"/>
              <w:keepLines w:val="0"/>
              <w:suppressLineNumbers w:val="0"/>
              <w:spacing w:before="35" w:beforeAutospacing="0" w:after="0" w:afterAutospacing="0" w:line="359" w:lineRule="auto"/>
              <w:ind w:left="0" w:right="46"/>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公示期限：不少于3日。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7.7.1</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履约保证金</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□要求，履约保证金的形式：以银行转账的形式汇入招标人指定账户或采用银行保函；</w:t>
            </w: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履约保证金的金额：中标合同金额的5%，采用转账或银行保函时，由中标单位基本户的开户行出具。采用银行转账时，由中标单位基本户转出。</w:t>
            </w: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☑不要求。本项目不适用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8.5.1</w:t>
            </w:r>
          </w:p>
        </w:tc>
        <w:tc>
          <w:tcPr>
            <w:tcW w:w="2528"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监督部门</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监管部门：伊川县交通运输局</w:t>
            </w: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监管部门联系人：许先生</w:t>
            </w: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监管部门联系方式：0379-69396939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pStyle w:val="72"/>
              <w:keepNext w:val="0"/>
              <w:keepLines w:val="0"/>
              <w:suppressLineNumbers w:val="0"/>
              <w:spacing w:before="283" w:beforeAutospacing="0" w:after="0" w:afterAutospacing="0" w:line="182" w:lineRule="auto"/>
              <w:ind w:left="0" w:right="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w:t>
            </w:r>
          </w:p>
        </w:tc>
        <w:tc>
          <w:tcPr>
            <w:tcW w:w="2528" w:type="dxa"/>
            <w:noWrap w:val="0"/>
            <w:vAlign w:val="center"/>
          </w:tcPr>
          <w:p>
            <w:pPr>
              <w:pStyle w:val="72"/>
              <w:keepNext w:val="0"/>
              <w:keepLines w:val="0"/>
              <w:suppressLineNumbers w:val="0"/>
              <w:spacing w:before="247" w:beforeAutospacing="0" w:after="0" w:afterAutospacing="0" w:line="220" w:lineRule="auto"/>
              <w:ind w:left="0" w:right="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是否采用电子招标投标</w:t>
            </w:r>
          </w:p>
        </w:tc>
        <w:tc>
          <w:tcPr>
            <w:tcW w:w="5814" w:type="dxa"/>
            <w:noWrap w:val="0"/>
            <w:vAlign w:val="center"/>
          </w:tcPr>
          <w:p>
            <w:pPr>
              <w:pStyle w:val="72"/>
              <w:keepNext w:val="0"/>
              <w:keepLines w:val="0"/>
              <w:suppressLineNumbers w:val="0"/>
              <w:spacing w:before="36" w:beforeAutospacing="0" w:after="0" w:afterAutospacing="0" w:line="376" w:lineRule="auto"/>
              <w:ind w:left="0" w:right="0"/>
              <w:jc w:val="left"/>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是，具体要求：</w:t>
            </w:r>
          </w:p>
          <w:p>
            <w:pPr>
              <w:pStyle w:val="72"/>
              <w:keepNext w:val="0"/>
              <w:keepLines w:val="0"/>
              <w:suppressLineNumbers w:val="0"/>
              <w:spacing w:before="0" w:beforeAutospacing="0" w:after="0" w:afterAutospacing="0" w:line="221" w:lineRule="auto"/>
              <w:ind w:left="0" w:right="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6" w:type="dxa"/>
            <w:noWrap w:val="0"/>
            <w:vAlign w:val="center"/>
          </w:tcPr>
          <w:p>
            <w:pPr>
              <w:pStyle w:val="72"/>
              <w:keepNext w:val="0"/>
              <w:keepLines w:val="0"/>
              <w:suppressLineNumbers w:val="0"/>
              <w:spacing w:before="247" w:beforeAutospacing="0" w:after="0" w:afterAutospacing="0" w:line="220" w:lineRule="auto"/>
              <w:ind w:left="0" w:right="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10</w:t>
            </w:r>
          </w:p>
        </w:tc>
        <w:tc>
          <w:tcPr>
            <w:tcW w:w="8342" w:type="dxa"/>
            <w:gridSpan w:val="2"/>
            <w:noWrap w:val="0"/>
            <w:vAlign w:val="center"/>
          </w:tcPr>
          <w:p>
            <w:pPr>
              <w:pStyle w:val="72"/>
              <w:keepNext w:val="0"/>
              <w:keepLines w:val="0"/>
              <w:suppressLineNumbers w:val="0"/>
              <w:spacing w:before="247" w:beforeAutospacing="0" w:after="0" w:afterAutospacing="0" w:line="220" w:lineRule="auto"/>
              <w:ind w:left="0" w:right="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4" w:type="dxa"/>
            <w:gridSpan w:val="2"/>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10.2</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落实政府采购政策：</w:t>
            </w:r>
          </w:p>
          <w:p>
            <w:pPr>
              <w:keepNext w:val="0"/>
              <w:keepLines w:val="0"/>
              <w:pageBreakBefore w:val="0"/>
              <w:numPr>
                <w:ilvl w:val="0"/>
                <w:numId w:val="0"/>
              </w:numPr>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0"/>
                <w:sz w:val="24"/>
                <w:szCs w:val="24"/>
                <w:highlight w:val="none"/>
                <w:shd w:val="clear" w:color="auto" w:fill="FFFFFF"/>
                <w:lang w:val="en-US" w:eastAsia="zh-CN" w:bidi="ar-SA"/>
              </w:rPr>
            </w:pPr>
            <w:r>
              <w:rPr>
                <w:rFonts w:hint="eastAsia" w:ascii="宋体" w:hAnsi="宋体" w:eastAsia="宋体" w:cs="宋体"/>
                <w:color w:val="auto"/>
                <w:kern w:val="0"/>
                <w:sz w:val="24"/>
                <w:szCs w:val="24"/>
                <w:highlight w:val="none"/>
                <w:shd w:val="clear" w:color="auto" w:fill="FFFFFF"/>
                <w:lang w:val="en-US" w:eastAsia="zh-CN" w:bidi="ar-SA"/>
              </w:rPr>
              <w:t>根据《政府采购促进中小企业发展管理办法》财库〔2020〕46号和洛财购【2022】5号的规定，本项目支持中小微（监狱、残疾人福利性单位）企业，监狱企业、残疾人福利性单位视同小型、微型企业，所属行业</w:t>
            </w:r>
            <w:r>
              <w:rPr>
                <w:rFonts w:hint="eastAsia" w:ascii="宋体" w:hAnsi="宋体" w:cs="宋体"/>
                <w:color w:val="auto"/>
                <w:kern w:val="0"/>
                <w:sz w:val="24"/>
                <w:szCs w:val="24"/>
                <w:highlight w:val="none"/>
                <w:shd w:val="clear" w:color="auto" w:fill="FFFFFF"/>
                <w:lang w:val="en-US" w:eastAsia="zh-CN" w:bidi="ar-SA"/>
              </w:rPr>
              <w:t>为</w:t>
            </w:r>
            <w:r>
              <w:rPr>
                <w:rFonts w:hint="eastAsia" w:ascii="宋体" w:hAnsi="宋体" w:eastAsia="宋体" w:cs="宋体"/>
                <w:color w:val="auto"/>
                <w:kern w:val="0"/>
                <w:sz w:val="24"/>
                <w:szCs w:val="24"/>
                <w:highlight w:val="none"/>
                <w:shd w:val="clear" w:color="auto" w:fill="FFFFFF"/>
                <w:lang w:val="en-US" w:eastAsia="zh-CN" w:bidi="ar-SA"/>
              </w:rPr>
              <w:t>建筑业。</w:t>
            </w:r>
          </w:p>
          <w:p>
            <w:pPr>
              <w:keepNext w:val="0"/>
              <w:keepLines w:val="0"/>
              <w:pageBreakBefore w:val="0"/>
              <w:widowControl w:val="0"/>
              <w:suppressLineNumbers w:val="0"/>
              <w:kinsoku/>
              <w:wordWrap/>
              <w:overflowPunct/>
              <w:bidi w:val="0"/>
              <w:spacing w:before="0" w:beforeAutospacing="0" w:after="0" w:afterAutospacing="0" w:line="360" w:lineRule="auto"/>
              <w:ind w:left="0" w:leftChars="0" w:right="0" w:rightChars="0"/>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对于经主管预算单位统筹后未预留份额专门面向中小企业采购的采购项目，以及预留份额项目中的非预留部分采购包，采购人、采购代理机构应当对符合本办法规定的小微企业报价给予5%的扣除，用扣除后的价格参加评审。</w:t>
            </w:r>
          </w:p>
          <w:p>
            <w:pPr>
              <w:keepNext w:val="0"/>
              <w:keepLines w:val="0"/>
              <w:pageBreakBefore w:val="0"/>
              <w:numPr>
                <w:ilvl w:val="0"/>
                <w:numId w:val="3"/>
              </w:numPr>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招标的中小微企业，应当按照《政府采购促进中小企业发展管理办法》（财库〔2020〕46号）的规定提供《中小企业声明函》（中小企业划型标准详见《关于印发中小企业划型标准规定的通知》工信部联企业〔2011〕300号）</w:t>
            </w:r>
            <w:r>
              <w:rPr>
                <w:rFonts w:hint="eastAsia" w:ascii="宋体" w:hAnsi="宋体" w:eastAsia="宋体" w:cs="宋体"/>
                <w:color w:val="auto"/>
                <w:sz w:val="24"/>
                <w:szCs w:val="24"/>
                <w:highlight w:val="none"/>
                <w:lang w:eastAsia="zh-CN"/>
              </w:rPr>
              <w:t>。</w:t>
            </w:r>
          </w:p>
          <w:p>
            <w:pPr>
              <w:keepNext w:val="0"/>
              <w:keepLines w:val="0"/>
              <w:pageBreakBefore w:val="0"/>
              <w:numPr>
                <w:ilvl w:val="0"/>
                <w:numId w:val="0"/>
              </w:numPr>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根据财政部司法部《关于政府采购支持监狱企业发展有关问题的通知》（财库〔2014〕68号）规定，监狱企业参加招标活动时，应当提供由省级以上监狱管理局、戒毒管理局(含新疆生产建设兵团)出具的属于监狱企业的证明文件。</w:t>
            </w: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根据财政部民政部中国残疾人联合会《关于促进残疾人就业政府采购政策的通知》（财库〔2017〕141号）规定，残疾人福利性单位参加招标活动时，应当提供《残疾人福利性单位声明函》。</w:t>
            </w:r>
          </w:p>
          <w:p>
            <w:pPr>
              <w:keepNext w:val="0"/>
              <w:keepLines w:val="0"/>
              <w:pageBreakBefore w:val="0"/>
              <w:widowControl w:val="0"/>
              <w:suppressLineNumbers w:val="0"/>
              <w:kinsoku/>
              <w:wordWrap/>
              <w:overflowPunct/>
              <w:bidi w:val="0"/>
              <w:spacing w:before="0" w:beforeAutospacing="0" w:after="0" w:afterAutospacing="0" w:line="360" w:lineRule="auto"/>
              <w:ind w:left="0" w:leftChars="0" w:right="0" w:right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SA"/>
              </w:rPr>
              <w:t>（4）提供声明函内容不实的，属于弄虚作假骗取中标，依照《中华人民共和国招标投标法》等国家有关规定追究相应责任</w:t>
            </w:r>
            <w:r>
              <w:rPr>
                <w:rFonts w:hint="eastAsia" w:ascii="宋体" w:hAnsi="宋体" w:cs="宋体"/>
                <w:color w:val="auto"/>
                <w:kern w:val="0"/>
                <w:sz w:val="24"/>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4" w:type="dxa"/>
            <w:gridSpan w:val="2"/>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10.3</w:t>
            </w:r>
          </w:p>
        </w:tc>
        <w:tc>
          <w:tcPr>
            <w:tcW w:w="5814" w:type="dxa"/>
            <w:noWrap w:val="0"/>
            <w:vAlign w:val="center"/>
          </w:tcPr>
          <w:p>
            <w:pPr>
              <w:pStyle w:val="3"/>
              <w:keepLines w:val="0"/>
              <w:pageBreakBefore w:val="0"/>
              <w:numPr>
                <w:ilvl w:val="1"/>
                <w:numId w:val="0"/>
              </w:numPr>
              <w:suppressLineNumbers w:val="0"/>
              <w:kinsoku/>
              <w:overflowPunct/>
              <w:bidi w:val="0"/>
              <w:spacing w:before="0" w:beforeAutospacing="0" w:after="0" w:afterAutospacing="0" w:line="360" w:lineRule="auto"/>
              <w:ind w:left="0" w:leftChars="0" w:right="0"/>
              <w:jc w:val="left"/>
              <w:rPr>
                <w:rFonts w:hint="eastAsia" w:ascii="宋体" w:hAnsi="宋体" w:eastAsia="宋体" w:cs="宋体"/>
                <w:color w:val="auto"/>
                <w:kern w:val="2"/>
                <w:sz w:val="24"/>
                <w:szCs w:val="24"/>
                <w:highlight w:val="none"/>
                <w:lang w:val="en-US" w:eastAsia="zh-CN" w:bidi="ar-SA"/>
              </w:rPr>
            </w:pPr>
            <w:bookmarkStart w:id="21" w:name="_Toc3538"/>
            <w:r>
              <w:rPr>
                <w:rFonts w:hint="eastAsia" w:ascii="宋体" w:hAnsi="宋体" w:eastAsia="宋体" w:cs="宋体"/>
                <w:color w:val="auto"/>
                <w:kern w:val="2"/>
                <w:sz w:val="24"/>
                <w:szCs w:val="24"/>
                <w:highlight w:val="none"/>
                <w:lang w:val="en-US" w:eastAsia="zh-CN" w:bidi="ar-SA"/>
              </w:rPr>
              <w:t>付款方式：按工程进度计量支付，工程完工后支付至合同价的80%，工程交工验收合格后，支付至评审结算价的97%，工程竣工验收通过后支付至结算价的100%。</w:t>
            </w:r>
            <w:bookmarkEnd w:id="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4" w:type="dxa"/>
            <w:gridSpan w:val="2"/>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10.4</w:t>
            </w:r>
          </w:p>
        </w:tc>
        <w:tc>
          <w:tcPr>
            <w:tcW w:w="5814" w:type="dxa"/>
            <w:noWrap w:val="0"/>
            <w:vAlign w:val="center"/>
          </w:tcPr>
          <w:p>
            <w:pPr>
              <w:pStyle w:val="3"/>
              <w:keepLines w:val="0"/>
              <w:pageBreakBefore w:val="0"/>
              <w:numPr>
                <w:ilvl w:val="1"/>
                <w:numId w:val="0"/>
              </w:numPr>
              <w:suppressLineNumbers w:val="0"/>
              <w:kinsoku/>
              <w:overflowPunct/>
              <w:bidi w:val="0"/>
              <w:spacing w:before="0" w:beforeAutospacing="0" w:after="0" w:afterAutospacing="0" w:line="360" w:lineRule="auto"/>
              <w:ind w:left="0" w:leftChars="0" w:right="0"/>
              <w:jc w:val="left"/>
              <w:rPr>
                <w:rFonts w:hint="eastAsia" w:ascii="宋体" w:hAnsi="宋体" w:eastAsia="宋体" w:cs="宋体"/>
                <w:color w:val="auto"/>
                <w:kern w:val="2"/>
                <w:sz w:val="24"/>
                <w:szCs w:val="24"/>
                <w:highlight w:val="none"/>
                <w:lang w:val="en-US" w:eastAsia="zh-CN" w:bidi="ar-SA"/>
              </w:rPr>
            </w:pPr>
            <w:bookmarkStart w:id="22" w:name="_Toc31911"/>
            <w:bookmarkStart w:id="23" w:name="_Toc12687"/>
            <w:bookmarkStart w:id="24" w:name="_Toc14169"/>
            <w:r>
              <w:rPr>
                <w:rFonts w:hint="eastAsia" w:ascii="宋体" w:hAnsi="宋体" w:eastAsia="宋体" w:cs="宋体"/>
                <w:color w:val="auto"/>
                <w:kern w:val="2"/>
                <w:sz w:val="24"/>
                <w:szCs w:val="24"/>
                <w:highlight w:val="none"/>
                <w:lang w:val="en-US" w:eastAsia="zh-CN" w:bidi="ar-SA"/>
              </w:rPr>
              <w:t>代理服务费：参照原“国家计委关于印发《招标代理服务收费管理暂行办法》的通知”[计价格[2002]1980号]文件规定及原“发改办价格(2003)857号”文规定,下浮30%向中标人收取代理服务费，请投标人编制投标报价时充分考虑这一因素。</w:t>
            </w:r>
            <w:bookmarkEnd w:id="22"/>
            <w:bookmarkEnd w:id="23"/>
            <w:bookmarkEnd w:id="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4" w:type="dxa"/>
            <w:gridSpan w:val="2"/>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10.5</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解释权：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4" w:type="dxa"/>
            <w:gridSpan w:val="2"/>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default" w:ascii="宋体" w:hAnsi="宋体" w:eastAsia="宋体" w:cs="宋体"/>
                <w:color w:val="auto"/>
                <w:kern w:val="2"/>
                <w:sz w:val="24"/>
                <w:szCs w:val="24"/>
                <w:highlight w:val="none"/>
                <w:lang w:val="en-US" w:eastAsia="zh-CN" w:bidi="ar-SA"/>
              </w:rPr>
            </w:pPr>
            <w:bookmarkStart w:id="25" w:name="_Toc333915757"/>
            <w:bookmarkStart w:id="26" w:name="_Hlt125377922"/>
            <w:bookmarkStart w:id="27" w:name="_Toc132601551"/>
            <w:bookmarkStart w:id="28" w:name="_Hlt111980141"/>
            <w:r>
              <w:rPr>
                <w:rFonts w:hint="eastAsia" w:ascii="宋体" w:hAnsi="宋体" w:eastAsia="宋体" w:cs="宋体"/>
                <w:color w:val="auto"/>
                <w:kern w:val="2"/>
                <w:sz w:val="24"/>
                <w:szCs w:val="24"/>
                <w:highlight w:val="none"/>
                <w:lang w:val="en-US" w:eastAsia="zh-CN" w:bidi="ar-SA"/>
              </w:rPr>
              <w:t>10.6</w:t>
            </w:r>
          </w:p>
        </w:tc>
        <w:tc>
          <w:tcPr>
            <w:tcW w:w="5814" w:type="dxa"/>
            <w:noWrap w:val="0"/>
            <w:vAlign w:val="center"/>
          </w:tcPr>
          <w:p>
            <w:pPr>
              <w:pStyle w:val="72"/>
              <w:keepNext w:val="0"/>
              <w:keepLines w:val="0"/>
              <w:suppressLineNumbers w:val="0"/>
              <w:spacing w:before="68" w:beforeAutospacing="0" w:after="0" w:afterAutospacing="0" w:line="222" w:lineRule="auto"/>
              <w:ind w:left="0" w:right="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合同融资：根据洛财购〔2021〕4号文件要求，参加政府采购项目的中小微企业供应商，持中标(成交)</w:t>
            </w:r>
          </w:p>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通知书可向金融机构申请合同融资。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4" w:type="dxa"/>
            <w:gridSpan w:val="2"/>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10.7</w:t>
            </w:r>
          </w:p>
        </w:tc>
        <w:tc>
          <w:tcPr>
            <w:tcW w:w="5814"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招标控制价：本项目设有招标控制价，招标控制价为12529486.42元。</w:t>
            </w:r>
          </w:p>
          <w:p>
            <w:pPr>
              <w:pStyle w:val="3"/>
              <w:keepLines w:val="0"/>
              <w:pageBreakBefore w:val="0"/>
              <w:numPr>
                <w:ilvl w:val="1"/>
                <w:numId w:val="0"/>
              </w:numPr>
              <w:suppressLineNumbers w:val="0"/>
              <w:kinsoku/>
              <w:overflowPunct/>
              <w:bidi w:val="0"/>
              <w:spacing w:before="0" w:beforeAutospacing="0" w:after="0" w:afterAutospacing="0" w:line="360" w:lineRule="auto"/>
              <w:ind w:left="0" w:leftChars="0" w:right="0"/>
              <w:jc w:val="left"/>
              <w:rPr>
                <w:rFonts w:hint="eastAsia" w:ascii="宋体" w:hAnsi="宋体" w:eastAsia="宋体" w:cs="宋体"/>
                <w:color w:val="auto"/>
                <w:kern w:val="2"/>
                <w:sz w:val="24"/>
                <w:szCs w:val="24"/>
                <w:highlight w:val="none"/>
                <w:lang w:val="en-US" w:eastAsia="zh-CN" w:bidi="ar-SA"/>
              </w:rPr>
            </w:pPr>
            <w:bookmarkStart w:id="29" w:name="_Toc27054"/>
            <w:r>
              <w:rPr>
                <w:rFonts w:hint="eastAsia" w:ascii="宋体" w:hAnsi="宋体" w:eastAsia="宋体" w:cs="宋体"/>
                <w:color w:val="auto"/>
                <w:kern w:val="2"/>
                <w:sz w:val="24"/>
                <w:szCs w:val="24"/>
                <w:highlight w:val="none"/>
                <w:lang w:val="en-US" w:eastAsia="zh-CN" w:bidi="ar-SA"/>
              </w:rPr>
              <w:t>本项目按总价报价，超过招标控制价的予以废标；</w:t>
            </w:r>
            <w:bookmarkEnd w:id="29"/>
          </w:p>
          <w:p>
            <w:pPr>
              <w:pStyle w:val="3"/>
              <w:keepLines w:val="0"/>
              <w:pageBreakBefore w:val="0"/>
              <w:numPr>
                <w:ilvl w:val="1"/>
                <w:numId w:val="0"/>
              </w:numPr>
              <w:suppressLineNumbers w:val="0"/>
              <w:kinsoku/>
              <w:overflowPunct/>
              <w:bidi w:val="0"/>
              <w:spacing w:before="0" w:beforeAutospacing="0" w:after="0" w:afterAutospacing="0" w:line="360" w:lineRule="auto"/>
              <w:ind w:left="0" w:leftChars="0" w:right="0" w:rightChars="0" w:firstLine="0" w:firstLineChars="0"/>
              <w:jc w:val="left"/>
              <w:rPr>
                <w:rFonts w:hint="eastAsia" w:ascii="宋体" w:hAnsi="宋体" w:eastAsia="宋体" w:cs="宋体"/>
                <w:color w:val="auto"/>
                <w:kern w:val="2"/>
                <w:sz w:val="24"/>
                <w:szCs w:val="24"/>
                <w:highlight w:val="none"/>
                <w:lang w:val="en-US" w:eastAsia="zh-CN" w:bidi="ar-SA"/>
              </w:rPr>
            </w:pPr>
            <w:bookmarkStart w:id="30" w:name="_Toc25500"/>
            <w:r>
              <w:rPr>
                <w:rFonts w:hint="eastAsia" w:ascii="宋体" w:hAnsi="宋体" w:eastAsia="宋体" w:cs="宋体"/>
                <w:color w:val="auto"/>
                <w:kern w:val="2"/>
                <w:sz w:val="24"/>
                <w:szCs w:val="24"/>
                <w:highlight w:val="none"/>
                <w:lang w:val="en-US" w:eastAsia="zh-CN" w:bidi="ar-SA"/>
              </w:rPr>
              <w:t>投标报价应包含为完成本项目所需要的全部费用（包含且不限于所投服务、税费、交付后约定期限内免费后续服务等工作所发生的一切应有费用及加班费、物品损耗、图册资料、差旅交通、办公通讯费费等全部费用）；投标人应充分了解该项目的总体情况以及影响投标报价的其他要素，任何因对项目的情况了解不足或考虑不周，而导致的工期和费用增加，由投标人自行承担。</w:t>
            </w:r>
            <w:bookmarkEnd w:id="3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4" w:type="dxa"/>
            <w:gridSpan w:val="2"/>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10.8</w:t>
            </w:r>
          </w:p>
        </w:tc>
        <w:tc>
          <w:tcPr>
            <w:tcW w:w="5814" w:type="dxa"/>
            <w:noWrap w:val="0"/>
            <w:vAlign w:val="center"/>
          </w:tcPr>
          <w:p>
            <w:pPr>
              <w:keepNext w:val="0"/>
              <w:keepLines w:val="0"/>
              <w:pageBreakBefore w:val="0"/>
              <w:widowControl/>
              <w:suppressLineNumbers w:val="0"/>
              <w:kinsoku/>
              <w:wordWrap/>
              <w:overflowPunct/>
              <w:bidi w:val="0"/>
              <w:spacing w:before="0" w:beforeAutospacing="0" w:after="0" w:afterAutospacing="0" w:line="360" w:lineRule="auto"/>
              <w:ind w:left="0" w:leftChars="0" w:right="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三、开标注意事项</w:t>
            </w:r>
          </w:p>
          <w:p>
            <w:pPr>
              <w:keepNext w:val="0"/>
              <w:keepLines w:val="0"/>
              <w:pageBreakBefore w:val="0"/>
              <w:widowControl w:val="0"/>
              <w:suppressLineNumbers w:val="0"/>
              <w:kinsoku/>
              <w:wordWrap/>
              <w:overflowPunct/>
              <w:bidi w:val="0"/>
              <w:spacing w:before="0" w:beforeAutospacing="0" w:after="0" w:afterAutospacing="0" w:line="36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本项目采用电子开评标，投标人开标前必须通过企业UK上传完整的投标文件。因投标人自身原因而导致投标文件无法导入“洛阳市电子招投标交易平台”电子开标、评标系统，该投标视为无效投标，投标人自行承担由此导致的全部责任。</w:t>
            </w:r>
          </w:p>
          <w:p>
            <w:pPr>
              <w:keepNext w:val="0"/>
              <w:keepLines w:val="0"/>
              <w:pageBreakBefore w:val="0"/>
              <w:widowControl w:val="0"/>
              <w:suppressLineNumbers w:val="0"/>
              <w:kinsoku/>
              <w:wordWrap/>
              <w:overflowPunct/>
              <w:bidi w:val="0"/>
              <w:spacing w:before="0" w:beforeAutospacing="0" w:after="0" w:afterAutospacing="0" w:line="36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2、投标人无需递交纸质版投标文件。</w:t>
            </w:r>
          </w:p>
          <w:p>
            <w:pPr>
              <w:keepNext w:val="0"/>
              <w:keepLines w:val="0"/>
              <w:pageBreakBefore w:val="0"/>
              <w:widowControl w:val="0"/>
              <w:suppressLineNumbers w:val="0"/>
              <w:kinsoku/>
              <w:wordWrap/>
              <w:overflowPunct/>
              <w:bidi w:val="0"/>
              <w:spacing w:before="0" w:beforeAutospacing="0" w:after="0" w:afterAutospacing="0" w:line="36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3、投标文件的制作</w:t>
            </w:r>
          </w:p>
          <w:p>
            <w:pPr>
              <w:keepNext w:val="0"/>
              <w:keepLines w:val="0"/>
              <w:pageBreakBefore w:val="0"/>
              <w:widowControl w:val="0"/>
              <w:suppressLineNumbers w:val="0"/>
              <w:kinsoku/>
              <w:wordWrap/>
              <w:overflowPunct/>
              <w:bidi w:val="0"/>
              <w:spacing w:before="0" w:beforeAutospacing="0" w:after="0" w:afterAutospacing="0" w:line="36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（1）投标文件由投标人使用洛阳市公共资源交易中心网站提供的最新版的投标文件制作工具制作生成。</w:t>
            </w:r>
          </w:p>
          <w:p>
            <w:pPr>
              <w:keepNext w:val="0"/>
              <w:keepLines w:val="0"/>
              <w:pageBreakBefore w:val="0"/>
              <w:widowControl w:val="0"/>
              <w:suppressLineNumbers w:val="0"/>
              <w:kinsoku/>
              <w:wordWrap/>
              <w:overflowPunct/>
              <w:bidi w:val="0"/>
              <w:spacing w:before="0" w:beforeAutospacing="0" w:after="0" w:afterAutospacing="0" w:line="36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（2）投标人在编制投标文件时应建立分级目录，并按照标签提示导入相关内容。</w:t>
            </w:r>
          </w:p>
          <w:p>
            <w:pPr>
              <w:keepNext w:val="0"/>
              <w:keepLines w:val="0"/>
              <w:pageBreakBefore w:val="0"/>
              <w:widowControl w:val="0"/>
              <w:suppressLineNumbers w:val="0"/>
              <w:kinsoku/>
              <w:wordWrap/>
              <w:overflowPunct/>
              <w:bidi w:val="0"/>
              <w:spacing w:before="0" w:beforeAutospacing="0" w:after="0" w:afterAutospacing="0" w:line="36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投标文件所附证明材料均为原件的扫描件、复印件或照片，尺寸和清晰度应该能够在电脑上被阅读、识别和判断；若投标人未按要求提供证明材料或提供不清晰的扫描件的，评标委员会有权认定其投标文件未对招标文件有关要求进行响应，各投标单位对原件扫描件的真实性、合法性、有效性负责。</w:t>
            </w:r>
          </w:p>
          <w:p>
            <w:pPr>
              <w:keepNext w:val="0"/>
              <w:keepLines w:val="0"/>
              <w:pageBreakBefore w:val="0"/>
              <w:widowControl w:val="0"/>
              <w:suppressLineNumbers w:val="0"/>
              <w:kinsoku/>
              <w:wordWrap/>
              <w:overflowPunct/>
              <w:bidi w:val="0"/>
              <w:spacing w:before="0" w:beforeAutospacing="0" w:after="0" w:afterAutospacing="0" w:line="36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投标文件中要盖单位（公）章的地方，投标人均应使用CA数字证书加盖投标人的单位电子签章。签字可以是手签后上传的，也可以是电子手写签名或法定代表人的个人电子签章。联合体投标的，投标文件由联合体牵头人按上述规定加盖联合体牵头人单位电子签章和（或）法定代表人手签后上传的，也可以是电子手写签名或法定代表人的个人电子签章。</w:t>
            </w:r>
          </w:p>
          <w:p>
            <w:pPr>
              <w:keepNext w:val="0"/>
              <w:keepLines w:val="0"/>
              <w:pageBreakBefore w:val="0"/>
              <w:widowControl w:val="0"/>
              <w:suppressLineNumbers w:val="0"/>
              <w:kinsoku/>
              <w:wordWrap/>
              <w:overflowPunct/>
              <w:bidi w:val="0"/>
              <w:spacing w:before="0" w:beforeAutospacing="0" w:after="0" w:afterAutospacing="0" w:line="36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（5）投标文件制作完成后，最后一步生成电子投标文件和对投标文件进行加密时，投标人应使用投标人单位CA数字证书.</w:t>
            </w:r>
          </w:p>
          <w:p>
            <w:pPr>
              <w:keepNext w:val="0"/>
              <w:keepLines w:val="0"/>
              <w:pageBreakBefore w:val="0"/>
              <w:widowControl w:val="0"/>
              <w:suppressLineNumbers w:val="0"/>
              <w:kinsoku/>
              <w:wordWrap/>
              <w:overflowPunct/>
              <w:bidi w:val="0"/>
              <w:spacing w:before="0" w:beforeAutospacing="0" w:after="0" w:afterAutospacing="0" w:line="36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（6）投标文件制作的具体方法详见投标文件制作工具操作手册及投标文件制作工具中的帮助文档。</w:t>
            </w:r>
          </w:p>
          <w:p>
            <w:pPr>
              <w:keepNext w:val="0"/>
              <w:keepLines w:val="0"/>
              <w:pageBreakBefore w:val="0"/>
              <w:widowControl w:val="0"/>
              <w:suppressLineNumbers w:val="0"/>
              <w:kinsoku/>
              <w:wordWrap/>
              <w:overflowPunct/>
              <w:bidi w:val="0"/>
              <w:spacing w:before="0" w:beforeAutospacing="0" w:after="0" w:afterAutospacing="0" w:line="36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SA"/>
              </w:rPr>
            </w:pPr>
          </w:p>
        </w:tc>
      </w:tr>
    </w:tbl>
    <w:p>
      <w:pPr>
        <w:pageBreakBefore w:val="0"/>
        <w:kinsoku/>
        <w:overflowPunct/>
        <w:bidi w:val="0"/>
        <w:spacing w:beforeAutospacing="0" w:afterAutospacing="0" w:line="360" w:lineRule="auto"/>
        <w:ind w:left="0" w:leftChars="0" w:right="0" w:rightChars="0"/>
        <w:jc w:val="center"/>
        <w:outlineLvl w:val="1"/>
        <w:rPr>
          <w:rFonts w:hint="eastAsia" w:ascii="宋体" w:hAnsi="宋体" w:eastAsia="宋体" w:cs="宋体"/>
          <w:color w:val="auto"/>
          <w:sz w:val="24"/>
          <w:szCs w:val="24"/>
          <w:highlight w:val="none"/>
        </w:rPr>
      </w:pPr>
    </w:p>
    <w:p>
      <w:pPr>
        <w:pageBreakBefore w:val="0"/>
        <w:kinsoku/>
        <w:overflowPunct/>
        <w:bidi w:val="0"/>
        <w:spacing w:beforeAutospacing="0" w:afterAutospacing="0" w:line="360" w:lineRule="auto"/>
        <w:ind w:left="0" w:leftChars="0" w:right="0" w:rightChars="0"/>
        <w:jc w:val="center"/>
        <w:outlineLvl w:val="1"/>
        <w:rPr>
          <w:rFonts w:hint="eastAsia" w:ascii="宋体" w:hAnsi="宋体" w:eastAsia="宋体" w:cs="宋体"/>
          <w:color w:val="auto"/>
          <w:sz w:val="24"/>
          <w:szCs w:val="24"/>
          <w:highlight w:val="none"/>
        </w:rPr>
      </w:pPr>
    </w:p>
    <w:p>
      <w:pPr>
        <w:pageBreakBefore w:val="0"/>
        <w:kinsoku/>
        <w:overflowPunct/>
        <w:bidi w:val="0"/>
        <w:spacing w:beforeAutospacing="0" w:afterAutospacing="0" w:line="360" w:lineRule="auto"/>
        <w:ind w:left="0" w:leftChars="0" w:right="0" w:rightChars="0"/>
        <w:jc w:val="center"/>
        <w:outlineLvl w:val="1"/>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br w:type="page"/>
      </w:r>
      <w:bookmarkStart w:id="31" w:name="_Toc10747"/>
      <w:bookmarkStart w:id="32" w:name="_Toc7840"/>
      <w:bookmarkStart w:id="33" w:name="_Toc27404"/>
      <w:bookmarkStart w:id="34" w:name="_Toc7427"/>
      <w:bookmarkStart w:id="35" w:name="_Toc490748531"/>
      <w:bookmarkStart w:id="36" w:name="_Toc2433"/>
      <w:bookmarkStart w:id="37" w:name="_Toc28521"/>
      <w:bookmarkStart w:id="38" w:name="_Toc9201"/>
      <w:r>
        <w:rPr>
          <w:rFonts w:hint="eastAsia" w:ascii="宋体" w:hAnsi="宋体" w:eastAsia="宋体" w:cs="宋体"/>
          <w:b/>
          <w:color w:val="auto"/>
          <w:sz w:val="24"/>
          <w:szCs w:val="24"/>
          <w:highlight w:val="none"/>
        </w:rPr>
        <w:t>附录1、资格审查条件（资质最低</w:t>
      </w:r>
      <w:r>
        <w:rPr>
          <w:rFonts w:hint="eastAsia" w:ascii="宋体" w:hAnsi="宋体" w:cs="宋体"/>
          <w:b/>
          <w:color w:val="auto"/>
          <w:sz w:val="24"/>
          <w:szCs w:val="24"/>
          <w:highlight w:val="none"/>
          <w:lang w:val="en-US" w:eastAsia="zh-CN"/>
        </w:rPr>
        <w:t>要求</w:t>
      </w:r>
      <w:r>
        <w:rPr>
          <w:rFonts w:hint="eastAsia" w:ascii="宋体" w:hAnsi="宋体" w:eastAsia="宋体" w:cs="宋体"/>
          <w:b/>
          <w:color w:val="auto"/>
          <w:sz w:val="24"/>
          <w:szCs w:val="24"/>
          <w:highlight w:val="none"/>
        </w:rPr>
        <w:t>）</w:t>
      </w:r>
      <w:bookmarkEnd w:id="31"/>
      <w:bookmarkEnd w:id="32"/>
      <w:bookmarkEnd w:id="33"/>
      <w:bookmarkEnd w:id="34"/>
      <w:bookmarkEnd w:id="35"/>
      <w:bookmarkEnd w:id="36"/>
      <w:bookmarkEnd w:id="37"/>
      <w:bookmarkEnd w:id="38"/>
    </w:p>
    <w:p>
      <w:pPr>
        <w:pageBreakBefore w:val="0"/>
        <w:kinsoku/>
        <w:overflowPunct/>
        <w:bidi w:val="0"/>
        <w:spacing w:beforeAutospacing="0" w:afterAutospacing="0" w:line="360" w:lineRule="auto"/>
        <w:ind w:left="0" w:leftChars="0" w:right="0" w:rightChars="0"/>
        <w:jc w:val="center"/>
        <w:rPr>
          <w:rFonts w:hint="eastAsia" w:ascii="宋体" w:hAnsi="宋体" w:eastAsia="宋体" w:cs="宋体"/>
          <w:b/>
          <w:color w:val="auto"/>
          <w:sz w:val="24"/>
          <w:szCs w:val="24"/>
          <w:highlight w:val="none"/>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9122"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施工企业资质等级要求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8" w:hRule="atLeast"/>
          <w:jc w:val="center"/>
        </w:trPr>
        <w:tc>
          <w:tcPr>
            <w:tcW w:w="9122"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firstLine="480" w:firstLineChars="200"/>
              <w:jc w:val="left"/>
              <w:rPr>
                <w:rFonts w:hint="eastAsia" w:ascii="宋体" w:hAnsi="宋体" w:eastAsia="宋体" w:cs="宋体"/>
                <w:kern w:val="2"/>
                <w:sz w:val="24"/>
                <w:szCs w:val="24"/>
                <w:highlight w:val="none"/>
                <w:u w:val="none"/>
                <w:lang w:val="en-US" w:eastAsia="zh-CN" w:bidi="ar-SA"/>
              </w:rPr>
            </w:pPr>
            <w:r>
              <w:rPr>
                <w:rFonts w:hint="eastAsia" w:ascii="宋体" w:hAnsi="宋体" w:cs="宋体"/>
                <w:kern w:val="2"/>
                <w:sz w:val="24"/>
                <w:szCs w:val="24"/>
                <w:highlight w:val="none"/>
                <w:u w:val="none"/>
                <w:lang w:val="en-US" w:eastAsia="zh-CN" w:bidi="ar-SA"/>
              </w:rPr>
              <w:t>1、</w:t>
            </w:r>
            <w:r>
              <w:rPr>
                <w:rFonts w:hint="eastAsia" w:ascii="宋体" w:hAnsi="宋体" w:eastAsia="宋体" w:cs="宋体"/>
                <w:sz w:val="24"/>
                <w:szCs w:val="24"/>
                <w:highlight w:val="none"/>
                <w:lang w:val="en-US" w:eastAsia="zh-CN"/>
              </w:rPr>
              <w:t>投标人须</w:t>
            </w:r>
            <w:r>
              <w:rPr>
                <w:rFonts w:hint="eastAsia" w:cs="宋体"/>
                <w:sz w:val="24"/>
                <w:szCs w:val="24"/>
                <w:highlight w:val="none"/>
                <w:lang w:val="en-US" w:eastAsia="zh-CN"/>
              </w:rPr>
              <w:t>具备</w:t>
            </w:r>
            <w:r>
              <w:rPr>
                <w:rFonts w:hint="eastAsia" w:ascii="宋体" w:hAnsi="宋体" w:eastAsia="宋体" w:cs="宋体"/>
                <w:sz w:val="24"/>
                <w:szCs w:val="24"/>
                <w:highlight w:val="none"/>
                <w:lang w:val="en-US" w:eastAsia="zh-CN"/>
              </w:rPr>
              <w:t>独立承担民事责任能力</w:t>
            </w:r>
            <w:r>
              <w:rPr>
                <w:rFonts w:hint="eastAsia" w:ascii="宋体" w:hAnsi="宋体" w:eastAsia="宋体" w:cs="宋体"/>
                <w:kern w:val="2"/>
                <w:sz w:val="24"/>
                <w:szCs w:val="24"/>
                <w:highlight w:val="none"/>
                <w:u w:val="none"/>
                <w:lang w:val="en-US" w:eastAsia="zh-CN" w:bidi="ar-SA"/>
              </w:rPr>
              <w:t>，具有有效的营业执照（须在投标文件中附营业执照原件扫描件并加盖企业电子章）；</w:t>
            </w:r>
          </w:p>
          <w:p>
            <w:pPr>
              <w:keepNext w:val="0"/>
              <w:keepLines w:val="0"/>
              <w:pageBreakBefore w:val="0"/>
              <w:suppressLineNumbers w:val="0"/>
              <w:kinsoku/>
              <w:overflowPunct/>
              <w:bidi w:val="0"/>
              <w:spacing w:before="0" w:beforeAutospacing="0" w:after="0" w:afterAutospacing="0" w:line="360" w:lineRule="auto"/>
              <w:ind w:left="0" w:leftChars="0" w:right="0" w:rightChars="0" w:firstLine="480" w:firstLineChars="200"/>
              <w:jc w:val="left"/>
              <w:rPr>
                <w:rFonts w:hint="eastAsia" w:ascii="宋体" w:hAnsi="宋体" w:eastAsia="宋体" w:cs="宋体"/>
                <w:b/>
                <w:color w:val="auto"/>
                <w:sz w:val="24"/>
                <w:szCs w:val="24"/>
                <w:highlight w:val="none"/>
              </w:rPr>
            </w:pPr>
            <w:r>
              <w:rPr>
                <w:rFonts w:hint="eastAsia" w:ascii="宋体" w:hAnsi="宋体" w:cs="宋体"/>
                <w:kern w:val="2"/>
                <w:sz w:val="24"/>
                <w:szCs w:val="24"/>
                <w:highlight w:val="none"/>
                <w:u w:val="none"/>
                <w:lang w:val="en-US" w:eastAsia="zh-CN" w:bidi="ar-SA"/>
              </w:rPr>
              <w:t>2、</w:t>
            </w:r>
            <w:r>
              <w:rPr>
                <w:rFonts w:hint="eastAsia" w:ascii="宋体" w:hAnsi="宋体" w:eastAsia="宋体" w:cs="宋体"/>
                <w:kern w:val="2"/>
                <w:sz w:val="24"/>
                <w:szCs w:val="24"/>
                <w:highlight w:val="none"/>
                <w:u w:val="none"/>
                <w:lang w:val="en-US" w:eastAsia="zh-CN" w:bidi="ar-SA"/>
              </w:rPr>
              <w:t>投标人须具备建设行政主管部门颁发的公路工程施工总承包叁级及以上资质（含叁级）并具备有效的安全生产许可证。（须在投标文件中附资质证书、安全生产许可证原件扫描件并加盖企业电子章）；投标人应进入交通运输部“全国公路建设市场监督管理系统（https://hwdms.mot.gov.cn/BMWebSite/）”中的施工企业名录，且投标人名称和资质与该名录中的相应企业名称和资质完全一致。（须提供网站查询页面截图并加盖企业电子章）；</w:t>
            </w:r>
          </w:p>
        </w:tc>
      </w:tr>
    </w:tbl>
    <w:p>
      <w:pPr>
        <w:pageBreakBefore w:val="0"/>
        <w:kinsoku/>
        <w:overflowPunct/>
        <w:bidi w:val="0"/>
        <w:spacing w:beforeAutospacing="0" w:afterAutospacing="0" w:line="360" w:lineRule="auto"/>
        <w:ind w:left="0" w:leftChars="0" w:right="0" w:rightChars="0" w:firstLine="241" w:firstLineChars="100"/>
        <w:jc w:val="cente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bookmarkStart w:id="39" w:name="_Toc18996"/>
      <w:bookmarkStart w:id="40" w:name="_Toc18418"/>
      <w:bookmarkStart w:id="41" w:name="_Toc2565"/>
      <w:bookmarkStart w:id="42" w:name="_Toc30007"/>
      <w:bookmarkStart w:id="43" w:name="_Toc20863"/>
      <w:bookmarkStart w:id="44" w:name="_Toc17811"/>
      <w:bookmarkStart w:id="45" w:name="_Toc30709"/>
      <w:bookmarkStart w:id="46" w:name="_Toc490748534"/>
      <w:r>
        <w:rPr>
          <w:rFonts w:hint="eastAsia" w:ascii="宋体" w:hAnsi="宋体" w:eastAsia="宋体" w:cs="宋体"/>
          <w:b/>
          <w:color w:val="auto"/>
          <w:sz w:val="24"/>
          <w:szCs w:val="24"/>
          <w:highlight w:val="none"/>
        </w:rPr>
        <w:t>附录2、资格审查条件（</w:t>
      </w:r>
      <w:r>
        <w:rPr>
          <w:rFonts w:hint="eastAsia" w:ascii="宋体" w:hAnsi="宋体" w:cs="宋体"/>
          <w:b/>
          <w:color w:val="auto"/>
          <w:sz w:val="24"/>
          <w:szCs w:val="24"/>
          <w:highlight w:val="none"/>
          <w:lang w:val="en-US" w:eastAsia="zh-CN"/>
        </w:rPr>
        <w:t>财务</w:t>
      </w:r>
      <w:r>
        <w:rPr>
          <w:rFonts w:hint="eastAsia" w:ascii="宋体" w:hAnsi="宋体" w:eastAsia="宋体" w:cs="宋体"/>
          <w:b/>
          <w:color w:val="auto"/>
          <w:sz w:val="24"/>
          <w:szCs w:val="24"/>
          <w:highlight w:val="none"/>
        </w:rPr>
        <w:t>最低要求）</w:t>
      </w:r>
      <w:bookmarkEnd w:id="39"/>
      <w:bookmarkEnd w:id="40"/>
      <w:bookmarkEnd w:id="41"/>
      <w:bookmarkEnd w:id="42"/>
      <w:bookmarkEnd w:id="43"/>
      <w:bookmarkEnd w:id="44"/>
      <w:bookmarkEnd w:id="45"/>
      <w:bookmarkEnd w:id="46"/>
    </w:p>
    <w:p>
      <w:pPr>
        <w:pageBreakBefore w:val="0"/>
        <w:kinsoku/>
        <w:overflowPunct/>
        <w:bidi w:val="0"/>
        <w:spacing w:beforeAutospacing="0" w:afterAutospacing="0" w:line="360" w:lineRule="auto"/>
        <w:ind w:left="0" w:leftChars="0" w:right="0" w:rightChars="0"/>
        <w:jc w:val="center"/>
        <w:rPr>
          <w:rFonts w:hint="eastAsia" w:ascii="宋体" w:hAnsi="宋体" w:eastAsia="宋体" w:cs="宋体"/>
          <w:b/>
          <w:color w:val="auto"/>
          <w:sz w:val="24"/>
          <w:szCs w:val="24"/>
          <w:highlight w:val="none"/>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9360"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center"/>
              <w:rPr>
                <w:rFonts w:hint="eastAsia" w:ascii="宋体" w:hAnsi="宋体" w:eastAsia="宋体" w:cs="宋体"/>
                <w:b/>
                <w:color w:val="auto"/>
                <w:sz w:val="24"/>
                <w:szCs w:val="24"/>
                <w:highlight w:val="none"/>
              </w:rPr>
            </w:pPr>
            <w:r>
              <w:rPr>
                <w:rFonts w:hint="eastAsia" w:ascii="宋体" w:hAnsi="宋体" w:cs="宋体"/>
                <w:b/>
                <w:color w:val="auto"/>
                <w:sz w:val="24"/>
                <w:szCs w:val="24"/>
                <w:highlight w:val="none"/>
                <w:lang w:val="en-US" w:eastAsia="zh-CN"/>
              </w:rPr>
              <w:t>财务</w:t>
            </w:r>
            <w:r>
              <w:rPr>
                <w:rFonts w:hint="eastAsia" w:ascii="宋体" w:hAnsi="宋体" w:eastAsia="宋体" w:cs="宋体"/>
                <w:b/>
                <w:color w:val="auto"/>
                <w:sz w:val="24"/>
                <w:szCs w:val="24"/>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4" w:hRule="atLeast"/>
        </w:trPr>
        <w:tc>
          <w:tcPr>
            <w:tcW w:w="9360" w:type="dxa"/>
            <w:noWrap w:val="0"/>
            <w:vAlign w:val="center"/>
          </w:tcPr>
          <w:p>
            <w:pPr>
              <w:keepNext w:val="0"/>
              <w:keepLines w:val="0"/>
              <w:pageBreakBefore w:val="0"/>
              <w:suppressLineNumbers w:val="0"/>
              <w:kinsoku/>
              <w:overflowPunct/>
              <w:bidi w:val="0"/>
              <w:spacing w:before="0" w:beforeAutospacing="0" w:after="0" w:afterAutospacing="0" w:line="360" w:lineRule="auto"/>
              <w:ind w:left="0" w:right="0" w:right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32"/>
                <w:szCs w:val="32"/>
                <w:highlight w:val="none"/>
                <w:lang w:val="en-US" w:eastAsia="zh-CN"/>
              </w:rPr>
              <w:t>/</w:t>
            </w:r>
          </w:p>
        </w:tc>
      </w:tr>
    </w:tbl>
    <w:p>
      <w:pPr>
        <w:pageBreakBefore w:val="0"/>
        <w:kinsoku/>
        <w:overflowPunct/>
        <w:bidi w:val="0"/>
        <w:spacing w:beforeAutospacing="0" w:afterAutospacing="0" w:line="360" w:lineRule="auto"/>
        <w:ind w:left="0" w:leftChars="0" w:right="0" w:rightChars="0"/>
        <w:rPr>
          <w:rFonts w:hint="eastAsia" w:ascii="宋体" w:hAnsi="宋体" w:eastAsia="宋体" w:cs="宋体"/>
          <w:b/>
          <w:color w:val="auto"/>
          <w:sz w:val="24"/>
          <w:szCs w:val="24"/>
          <w:highlight w:val="none"/>
        </w:rPr>
      </w:pPr>
    </w:p>
    <w:p>
      <w:pPr>
        <w:pageBreakBefore w:val="0"/>
        <w:kinsoku/>
        <w:overflowPunct/>
        <w:bidi w:val="0"/>
        <w:spacing w:beforeAutospacing="0" w:afterAutospacing="0" w:line="360" w:lineRule="auto"/>
        <w:ind w:left="0" w:leftChars="0" w:right="0" w:rightChars="0"/>
        <w:jc w:val="cente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bookmarkStart w:id="47" w:name="_Toc5991"/>
      <w:bookmarkStart w:id="48" w:name="_Toc3450"/>
      <w:bookmarkStart w:id="49" w:name="_Toc10828"/>
      <w:bookmarkStart w:id="50" w:name="_Toc3666"/>
      <w:bookmarkStart w:id="51" w:name="_Toc30242"/>
      <w:bookmarkStart w:id="52" w:name="_Toc8897"/>
      <w:bookmarkStart w:id="53" w:name="_Toc490748535"/>
      <w:bookmarkStart w:id="54" w:name="_Toc17694"/>
      <w:r>
        <w:rPr>
          <w:rFonts w:hint="eastAsia" w:ascii="宋体" w:hAnsi="宋体" w:eastAsia="宋体" w:cs="宋体"/>
          <w:b/>
          <w:color w:val="auto"/>
          <w:sz w:val="24"/>
          <w:szCs w:val="24"/>
          <w:highlight w:val="none"/>
        </w:rPr>
        <w:t>附录3、资格审查条件（</w:t>
      </w:r>
      <w:r>
        <w:rPr>
          <w:rFonts w:hint="eastAsia" w:ascii="宋体" w:hAnsi="宋体" w:cs="宋体"/>
          <w:b/>
          <w:color w:val="auto"/>
          <w:sz w:val="24"/>
          <w:szCs w:val="24"/>
          <w:highlight w:val="none"/>
          <w:lang w:val="en-US" w:eastAsia="zh-CN"/>
        </w:rPr>
        <w:t>业绩最低要求</w:t>
      </w:r>
      <w:r>
        <w:rPr>
          <w:rFonts w:hint="eastAsia" w:ascii="宋体" w:hAnsi="宋体" w:eastAsia="宋体" w:cs="宋体"/>
          <w:b/>
          <w:color w:val="auto"/>
          <w:sz w:val="24"/>
          <w:szCs w:val="24"/>
          <w:highlight w:val="none"/>
        </w:rPr>
        <w:t>）</w:t>
      </w:r>
      <w:bookmarkEnd w:id="47"/>
      <w:bookmarkEnd w:id="48"/>
      <w:bookmarkEnd w:id="49"/>
      <w:bookmarkEnd w:id="50"/>
      <w:bookmarkEnd w:id="51"/>
      <w:bookmarkEnd w:id="52"/>
      <w:bookmarkEnd w:id="53"/>
      <w:bookmarkEnd w:id="54"/>
    </w:p>
    <w:p>
      <w:pPr>
        <w:pageBreakBefore w:val="0"/>
        <w:kinsoku/>
        <w:overflowPunct/>
        <w:bidi w:val="0"/>
        <w:spacing w:beforeAutospacing="0" w:afterAutospacing="0" w:line="360" w:lineRule="auto"/>
        <w:ind w:left="0" w:leftChars="0" w:right="0" w:rightChars="0"/>
        <w:jc w:val="center"/>
        <w:rPr>
          <w:rFonts w:hint="eastAsia" w:ascii="宋体" w:hAnsi="宋体" w:eastAsia="宋体" w:cs="宋体"/>
          <w:b/>
          <w:color w:val="auto"/>
          <w:sz w:val="24"/>
          <w:szCs w:val="24"/>
          <w:highlight w:val="none"/>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9061"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center"/>
              <w:rPr>
                <w:rFonts w:hint="eastAsia" w:ascii="宋体" w:hAnsi="宋体" w:eastAsia="宋体" w:cs="宋体"/>
                <w:b/>
                <w:color w:val="auto"/>
                <w:sz w:val="24"/>
                <w:szCs w:val="24"/>
                <w:highlight w:val="none"/>
              </w:rPr>
            </w:pPr>
            <w:r>
              <w:rPr>
                <w:rFonts w:hint="eastAsia" w:ascii="宋体" w:hAnsi="宋体" w:cs="宋体"/>
                <w:b/>
                <w:color w:val="auto"/>
                <w:sz w:val="24"/>
                <w:szCs w:val="24"/>
                <w:highlight w:val="none"/>
                <w:lang w:val="en-US" w:eastAsia="zh-CN"/>
              </w:rPr>
              <w:t>业绩</w:t>
            </w:r>
            <w:r>
              <w:rPr>
                <w:rFonts w:hint="eastAsia" w:ascii="宋体" w:hAnsi="宋体" w:eastAsia="宋体" w:cs="宋体"/>
                <w:b/>
                <w:color w:val="auto"/>
                <w:sz w:val="24"/>
                <w:szCs w:val="24"/>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69" w:hRule="atLeast"/>
          <w:jc w:val="center"/>
        </w:trPr>
        <w:tc>
          <w:tcPr>
            <w:tcW w:w="9061" w:type="dxa"/>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投标人须提供</w:t>
            </w:r>
            <w:r>
              <w:rPr>
                <w:rFonts w:hint="eastAsia" w:ascii="宋体" w:hAnsi="宋体" w:eastAsia="宋体" w:cs="宋体"/>
                <w:sz w:val="24"/>
                <w:szCs w:val="24"/>
                <w:highlight w:val="none"/>
                <w:lang w:val="en-US" w:eastAsia="zh-CN"/>
              </w:rPr>
              <w:t>2021年1月1日以来至</w:t>
            </w:r>
            <w:r>
              <w:rPr>
                <w:rFonts w:hint="eastAsia" w:ascii="宋体" w:hAnsi="宋体" w:eastAsia="宋体" w:cs="宋体"/>
                <w:sz w:val="24"/>
                <w:szCs w:val="24"/>
                <w:lang w:val="en-US" w:eastAsia="zh-CN"/>
              </w:rPr>
              <w:t>投标截止时间</w:t>
            </w:r>
            <w:r>
              <w:rPr>
                <w:rFonts w:hint="eastAsia" w:cs="宋体"/>
                <w:sz w:val="24"/>
                <w:szCs w:val="24"/>
                <w:lang w:val="en-US" w:eastAsia="zh-CN"/>
              </w:rPr>
              <w:t>（</w:t>
            </w:r>
            <w:r>
              <w:rPr>
                <w:rFonts w:hint="eastAsia" w:ascii="宋体" w:hAnsi="宋体" w:eastAsia="宋体" w:cs="宋体"/>
                <w:sz w:val="24"/>
                <w:szCs w:val="24"/>
                <w:lang w:val="en-US" w:eastAsia="zh-CN"/>
              </w:rPr>
              <w:t>以交（竣）工日期为准），至少完成过1项不少于4公里</w:t>
            </w:r>
            <w:r>
              <w:rPr>
                <w:rFonts w:hint="eastAsia" w:cs="宋体"/>
                <w:sz w:val="24"/>
                <w:szCs w:val="24"/>
                <w:lang w:val="en-US" w:eastAsia="zh-CN"/>
              </w:rPr>
              <w:t>的三级公路</w:t>
            </w:r>
            <w:r>
              <w:rPr>
                <w:rFonts w:hint="eastAsia" w:ascii="宋体" w:hAnsi="宋体" w:eastAsia="宋体" w:cs="宋体"/>
                <w:sz w:val="24"/>
                <w:szCs w:val="24"/>
                <w:lang w:val="en-US" w:eastAsia="zh-CN"/>
              </w:rPr>
              <w:t>（含）及以上公路新建（</w:t>
            </w:r>
            <w:r>
              <w:rPr>
                <w:rFonts w:hint="eastAsia" w:cs="宋体"/>
                <w:sz w:val="24"/>
                <w:szCs w:val="24"/>
                <w:lang w:val="en-US" w:eastAsia="zh-CN"/>
              </w:rPr>
              <w:t>或</w:t>
            </w:r>
            <w:r>
              <w:rPr>
                <w:rFonts w:hint="eastAsia" w:ascii="宋体" w:hAnsi="宋体" w:eastAsia="宋体" w:cs="宋体"/>
                <w:sz w:val="24"/>
                <w:szCs w:val="24"/>
                <w:lang w:val="en-US" w:eastAsia="zh-CN"/>
              </w:rPr>
              <w:t>改建、扩</w:t>
            </w:r>
            <w:r>
              <w:rPr>
                <w:rFonts w:hint="eastAsia" w:cs="宋体"/>
                <w:sz w:val="24"/>
                <w:szCs w:val="24"/>
                <w:lang w:val="en-US" w:eastAsia="zh-CN"/>
              </w:rPr>
              <w:t>建</w:t>
            </w:r>
            <w:r>
              <w:rPr>
                <w:rFonts w:hint="eastAsia" w:ascii="宋体" w:hAnsi="宋体" w:eastAsia="宋体" w:cs="宋体"/>
                <w:sz w:val="24"/>
                <w:szCs w:val="24"/>
                <w:lang w:val="en-US" w:eastAsia="zh-CN"/>
              </w:rPr>
              <w:t>）</w:t>
            </w:r>
            <w:r>
              <w:rPr>
                <w:rFonts w:hint="eastAsia" w:cs="宋体"/>
                <w:sz w:val="24"/>
                <w:szCs w:val="24"/>
                <w:lang w:val="en-US" w:eastAsia="zh-CN"/>
              </w:rPr>
              <w:t>工程施工</w:t>
            </w:r>
            <w:r>
              <w:rPr>
                <w:rFonts w:hint="eastAsia" w:ascii="宋体" w:hAnsi="宋体" w:eastAsia="宋体" w:cs="宋体"/>
                <w:sz w:val="24"/>
                <w:szCs w:val="24"/>
                <w:lang w:val="en-US" w:eastAsia="zh-CN"/>
              </w:rPr>
              <w:t>业绩。（须在投标文件中提供中标通知书原件扫描件、合同原件扫描件、交（竣）工验收证书原件扫描件及中标公示或公告网页查询截图并加盖企业电子章）。</w:t>
            </w:r>
          </w:p>
          <w:p>
            <w:pPr>
              <w:pStyle w:val="17"/>
              <w:keepNext w:val="0"/>
              <w:keepLines w:val="0"/>
              <w:pageBreakBefore w:val="0"/>
              <w:suppressLineNumbers w:val="0"/>
              <w:kinsoku/>
              <w:overflowPunct/>
              <w:bidi w:val="0"/>
              <w:spacing w:before="0" w:beforeLines="0" w:beforeAutospacing="0" w:after="0" w:afterLines="0" w:afterAutospacing="0" w:line="360" w:lineRule="auto"/>
              <w:ind w:left="0" w:leftChars="0" w:right="0" w:rightChars="0" w:firstLine="564"/>
              <w:rPr>
                <w:rFonts w:hint="eastAsia" w:ascii="宋体" w:hAnsi="宋体" w:eastAsia="宋体" w:cs="宋体"/>
                <w:color w:val="auto"/>
                <w:sz w:val="24"/>
                <w:szCs w:val="24"/>
                <w:highlight w:val="none"/>
              </w:rPr>
            </w:pPr>
          </w:p>
        </w:tc>
      </w:tr>
    </w:tbl>
    <w:p>
      <w:pPr>
        <w:pStyle w:val="30"/>
        <w:pageBreakBefore w:val="0"/>
        <w:kinsoku/>
        <w:overflowPunct/>
        <w:bidi w:val="0"/>
        <w:spacing w:before="0" w:beforeLines="0" w:beforeAutospacing="0" w:afterAutospacing="0" w:line="360" w:lineRule="auto"/>
        <w:ind w:left="0" w:leftChars="0" w:right="0" w:rightChars="0"/>
        <w:jc w:val="both"/>
        <w:rPr>
          <w:rFonts w:hint="eastAsia" w:ascii="宋体" w:hAnsi="宋体" w:eastAsia="宋体" w:cs="宋体"/>
          <w:b/>
          <w:color w:val="auto"/>
          <w:sz w:val="24"/>
          <w:szCs w:val="24"/>
          <w:highlight w:val="none"/>
        </w:rPr>
      </w:pPr>
    </w:p>
    <w:p>
      <w:pPr>
        <w:pStyle w:val="30"/>
        <w:pageBreakBefore w:val="0"/>
        <w:kinsoku/>
        <w:overflowPunct/>
        <w:bidi w:val="0"/>
        <w:spacing w:before="0" w:beforeLines="0" w:beforeAutospacing="0" w:afterAutospacing="0" w:line="360" w:lineRule="auto"/>
        <w:ind w:left="0" w:leftChars="0" w:right="0" w:rightChars="0"/>
        <w:jc w:val="both"/>
        <w:rPr>
          <w:rFonts w:hint="eastAsia" w:ascii="宋体" w:hAnsi="宋体" w:eastAsia="宋体" w:cs="宋体"/>
          <w:b/>
          <w:color w:val="auto"/>
          <w:sz w:val="24"/>
          <w:szCs w:val="24"/>
          <w:highlight w:val="none"/>
        </w:rPr>
      </w:pPr>
    </w:p>
    <w:p>
      <w:pPr>
        <w:pageBreakBefore w:val="0"/>
        <w:kinsoku/>
        <w:overflowPunct/>
        <w:bidi w:val="0"/>
        <w:spacing w:beforeAutospacing="0" w:afterAutospacing="0" w:line="360" w:lineRule="auto"/>
        <w:ind w:left="0" w:leftChars="0" w:right="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0"/>
        <w:pageBreakBefore w:val="0"/>
        <w:kinsoku/>
        <w:overflowPunct/>
        <w:bidi w:val="0"/>
        <w:spacing w:before="0" w:beforeLines="0" w:beforeAutospacing="0" w:afterAutospacing="0" w:line="360" w:lineRule="auto"/>
        <w:ind w:left="0" w:leftChars="0" w:right="0" w:rightChars="0"/>
        <w:jc w:val="center"/>
        <w:rPr>
          <w:rFonts w:hint="eastAsia" w:ascii="宋体" w:hAnsi="宋体" w:eastAsia="宋体" w:cs="宋体"/>
          <w:color w:val="auto"/>
          <w:sz w:val="24"/>
          <w:szCs w:val="24"/>
          <w:highlight w:val="none"/>
        </w:rPr>
      </w:pPr>
      <w:bookmarkStart w:id="55" w:name="_Toc27771"/>
      <w:bookmarkStart w:id="56" w:name="_Toc14468"/>
      <w:bookmarkStart w:id="57" w:name="_Toc13370"/>
      <w:r>
        <w:rPr>
          <w:rFonts w:hint="eastAsia" w:ascii="宋体" w:hAnsi="宋体" w:eastAsia="宋体" w:cs="宋体"/>
          <w:b/>
          <w:color w:val="auto"/>
          <w:sz w:val="24"/>
          <w:szCs w:val="24"/>
          <w:highlight w:val="none"/>
        </w:rPr>
        <w:t>附录4、资格审查条件（</w:t>
      </w:r>
      <w:r>
        <w:rPr>
          <w:rFonts w:hint="eastAsia" w:ascii="宋体" w:hAnsi="宋体" w:eastAsia="宋体" w:cs="宋体"/>
          <w:b/>
          <w:color w:val="auto"/>
          <w:sz w:val="24"/>
          <w:szCs w:val="24"/>
          <w:highlight w:val="none"/>
          <w:lang w:val="en-US" w:eastAsia="zh-CN"/>
        </w:rPr>
        <w:t>信誉最低要求</w:t>
      </w:r>
      <w:r>
        <w:rPr>
          <w:rFonts w:hint="eastAsia" w:ascii="宋体" w:hAnsi="宋体" w:eastAsia="宋体" w:cs="宋体"/>
          <w:b/>
          <w:color w:val="auto"/>
          <w:sz w:val="24"/>
          <w:szCs w:val="24"/>
          <w:highlight w:val="none"/>
        </w:rPr>
        <w:t>）</w:t>
      </w:r>
      <w:bookmarkEnd w:id="55"/>
      <w:bookmarkEnd w:id="56"/>
      <w:bookmarkEnd w:id="57"/>
    </w:p>
    <w:p>
      <w:pPr>
        <w:pStyle w:val="30"/>
        <w:pageBreakBefore w:val="0"/>
        <w:kinsoku/>
        <w:overflowPunct/>
        <w:bidi w:val="0"/>
        <w:spacing w:before="0" w:beforeLines="0" w:beforeAutospacing="0" w:afterAutospacing="0" w:line="360" w:lineRule="auto"/>
        <w:ind w:left="0" w:leftChars="0" w:right="0" w:rightChars="0"/>
        <w:jc w:val="center"/>
        <w:rPr>
          <w:rFonts w:hint="eastAsia" w:ascii="宋体" w:hAnsi="宋体" w:eastAsia="宋体" w:cs="宋体"/>
          <w:b/>
          <w:color w:val="auto"/>
          <w:sz w:val="24"/>
          <w:szCs w:val="24"/>
          <w:highlight w:val="none"/>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9876" w:type="dxa"/>
            <w:noWrap w:val="0"/>
            <w:vAlign w:val="top"/>
          </w:tcPr>
          <w:p>
            <w:pPr>
              <w:pStyle w:val="25"/>
              <w:keepNext w:val="0"/>
              <w:keepLines w:val="0"/>
              <w:pageBreakBefore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color w:val="auto"/>
                <w:sz w:val="24"/>
                <w:szCs w:val="24"/>
                <w:highlight w:val="none"/>
                <w:lang w:eastAsia="zh-CN"/>
              </w:rPr>
            </w:pPr>
          </w:p>
          <w:p>
            <w:pPr>
              <w:pStyle w:val="25"/>
              <w:keepNext w:val="0"/>
              <w:keepLines w:val="0"/>
              <w:pageBreakBefore w:val="0"/>
              <w:suppressLineNumbers w:val="0"/>
              <w:kinsoku/>
              <w:overflowPunct/>
              <w:bidi w:val="0"/>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rPr>
            </w:pPr>
            <w:r>
              <w:rPr>
                <w:rFonts w:hint="eastAsia" w:hAnsi="宋体" w:cs="宋体"/>
                <w:b/>
                <w:color w:val="auto"/>
                <w:kern w:val="2"/>
                <w:sz w:val="24"/>
                <w:szCs w:val="24"/>
                <w:highlight w:val="none"/>
                <w:lang w:val="en-US" w:eastAsia="zh-CN"/>
              </w:rPr>
              <w:t>信誉</w:t>
            </w:r>
            <w:r>
              <w:rPr>
                <w:rFonts w:hint="eastAsia" w:ascii="宋体" w:hAnsi="宋体" w:eastAsia="宋体" w:cs="宋体"/>
                <w:b/>
                <w:color w:val="auto"/>
                <w:kern w:val="2"/>
                <w:sz w:val="24"/>
                <w:szCs w:val="24"/>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2" w:hRule="atLeast"/>
        </w:trPr>
        <w:tc>
          <w:tcPr>
            <w:tcW w:w="9876" w:type="dxa"/>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根据《河南省公路建设市场从业单位及人员信用管理办法》，被河南省交通运输厅2021年以来公路施工企业信用等级评价为D级（黑名单）的投标人的投标文件将不予接受（须提供网上查询结果截图并加盖企业电子章）；</w:t>
            </w:r>
          </w:p>
          <w:p>
            <w:pPr>
              <w:pStyle w:val="25"/>
              <w:keepNext w:val="0"/>
              <w:keepLines w:val="0"/>
              <w:pageBreakBefore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color w:val="auto"/>
                <w:sz w:val="24"/>
                <w:szCs w:val="24"/>
                <w:highlight w:val="none"/>
              </w:rPr>
            </w:pPr>
          </w:p>
        </w:tc>
      </w:tr>
    </w:tbl>
    <w:p>
      <w:pPr>
        <w:pStyle w:val="25"/>
        <w:pageBreakBefore w:val="0"/>
        <w:kinsoku/>
        <w:overflowPunct/>
        <w:bidi w:val="0"/>
        <w:spacing w:beforeAutospacing="0" w:afterAutospacing="0" w:line="360" w:lineRule="auto"/>
        <w:ind w:left="0" w:leftChars="0" w:right="0" w:rightChars="0"/>
        <w:rPr>
          <w:rFonts w:hint="eastAsia" w:ascii="宋体" w:hAnsi="宋体" w:eastAsia="宋体" w:cs="宋体"/>
          <w:color w:val="auto"/>
          <w:sz w:val="24"/>
          <w:szCs w:val="24"/>
          <w:highlight w:val="none"/>
        </w:rPr>
      </w:pPr>
    </w:p>
    <w:p>
      <w:pPr>
        <w:pStyle w:val="25"/>
        <w:pageBreakBefore w:val="0"/>
        <w:kinsoku/>
        <w:overflowPunct/>
        <w:bidi w:val="0"/>
        <w:spacing w:beforeAutospacing="0" w:afterAutospacing="0" w:line="360" w:lineRule="auto"/>
        <w:ind w:left="0" w:leftChars="0" w:right="0" w:rightChars="0"/>
        <w:rPr>
          <w:rFonts w:hint="eastAsia" w:ascii="宋体" w:hAnsi="宋体" w:eastAsia="宋体" w:cs="宋体"/>
          <w:color w:val="auto"/>
          <w:sz w:val="24"/>
          <w:szCs w:val="24"/>
          <w:highlight w:val="none"/>
        </w:rPr>
      </w:pPr>
    </w:p>
    <w:p>
      <w:pPr>
        <w:pStyle w:val="25"/>
        <w:pageBreakBefore w:val="0"/>
        <w:kinsoku/>
        <w:overflowPunct/>
        <w:bidi w:val="0"/>
        <w:spacing w:beforeAutospacing="0" w:afterAutospacing="0" w:line="360" w:lineRule="auto"/>
        <w:ind w:left="0" w:leftChars="0" w:right="0" w:rightChars="0"/>
        <w:rPr>
          <w:rFonts w:hint="eastAsia" w:ascii="宋体" w:hAnsi="宋体" w:eastAsia="宋体" w:cs="宋体"/>
          <w:color w:val="auto"/>
          <w:sz w:val="24"/>
          <w:szCs w:val="24"/>
          <w:highlight w:val="none"/>
        </w:rPr>
      </w:pPr>
    </w:p>
    <w:p>
      <w:pPr>
        <w:pStyle w:val="25"/>
        <w:pageBreakBefore w:val="0"/>
        <w:kinsoku/>
        <w:overflowPunct/>
        <w:bidi w:val="0"/>
        <w:spacing w:beforeAutospacing="0" w:afterAutospacing="0" w:line="360" w:lineRule="auto"/>
        <w:ind w:left="0" w:leftChars="0" w:right="0" w:rightChars="0"/>
        <w:rPr>
          <w:rFonts w:hint="eastAsia" w:ascii="宋体" w:hAnsi="宋体" w:eastAsia="宋体" w:cs="宋体"/>
          <w:color w:val="auto"/>
          <w:sz w:val="24"/>
          <w:szCs w:val="24"/>
          <w:highlight w:val="none"/>
        </w:rPr>
      </w:pPr>
    </w:p>
    <w:p>
      <w:pPr>
        <w:pStyle w:val="25"/>
        <w:pageBreakBefore w:val="0"/>
        <w:kinsoku/>
        <w:overflowPunct/>
        <w:bidi w:val="0"/>
        <w:spacing w:beforeAutospacing="0" w:afterAutospacing="0" w:line="360" w:lineRule="auto"/>
        <w:ind w:left="0" w:leftChars="0" w:right="0" w:rightChars="0"/>
        <w:rPr>
          <w:rFonts w:hint="eastAsia" w:ascii="宋体" w:hAnsi="宋体" w:eastAsia="宋体" w:cs="宋体"/>
          <w:color w:val="auto"/>
          <w:sz w:val="24"/>
          <w:szCs w:val="24"/>
          <w:highlight w:val="none"/>
        </w:rPr>
      </w:pPr>
    </w:p>
    <w:p>
      <w:pPr>
        <w:pStyle w:val="26"/>
        <w:rPr>
          <w:rFonts w:hint="eastAsia" w:ascii="宋体" w:hAnsi="宋体" w:eastAsia="宋体" w:cs="宋体"/>
          <w:color w:val="auto"/>
          <w:sz w:val="24"/>
          <w:szCs w:val="24"/>
          <w:highlight w:val="none"/>
        </w:rPr>
      </w:pPr>
    </w:p>
    <w:p>
      <w:pPr>
        <w:pStyle w:val="19"/>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2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2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2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2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2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2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24"/>
        <w:rPr>
          <w:rFonts w:hint="eastAsia"/>
        </w:rPr>
      </w:pPr>
    </w:p>
    <w:p>
      <w:pPr>
        <w:pStyle w:val="30"/>
        <w:pageBreakBefore w:val="0"/>
        <w:kinsoku/>
        <w:overflowPunct/>
        <w:bidi w:val="0"/>
        <w:spacing w:before="0" w:beforeLines="0" w:beforeAutospacing="0" w:afterAutospacing="0" w:line="360" w:lineRule="auto"/>
        <w:ind w:left="0" w:leftChars="0" w:right="0" w:rightChars="0"/>
        <w:jc w:val="center"/>
        <w:rPr>
          <w:rFonts w:hint="eastAsia" w:ascii="宋体" w:hAnsi="宋体" w:eastAsia="宋体" w:cs="宋体"/>
          <w:color w:val="auto"/>
          <w:sz w:val="24"/>
          <w:szCs w:val="24"/>
          <w:highlight w:val="none"/>
        </w:rPr>
      </w:pPr>
      <w:bookmarkStart w:id="58" w:name="_Toc12193"/>
      <w:r>
        <w:rPr>
          <w:rFonts w:hint="eastAsia" w:ascii="宋体" w:hAnsi="宋体" w:eastAsia="宋体" w:cs="宋体"/>
          <w:b/>
          <w:color w:val="auto"/>
          <w:sz w:val="24"/>
          <w:szCs w:val="24"/>
          <w:highlight w:val="none"/>
        </w:rPr>
        <w:t>附录</w:t>
      </w:r>
      <w:r>
        <w:rPr>
          <w:rFonts w:hint="eastAsia" w:ascii="宋体" w:hAnsi="宋体" w:eastAsia="宋体" w:cs="宋体"/>
          <w:b/>
          <w:color w:val="auto"/>
          <w:sz w:val="24"/>
          <w:szCs w:val="24"/>
          <w:highlight w:val="none"/>
          <w:lang w:val="en-US" w:eastAsia="zh-CN"/>
        </w:rPr>
        <w:t>5</w:t>
      </w:r>
      <w:r>
        <w:rPr>
          <w:rFonts w:hint="eastAsia" w:ascii="宋体" w:hAnsi="宋体" w:eastAsia="宋体" w:cs="宋体"/>
          <w:b/>
          <w:color w:val="auto"/>
          <w:sz w:val="24"/>
          <w:szCs w:val="24"/>
          <w:highlight w:val="none"/>
        </w:rPr>
        <w:t>、资格审查条件（</w:t>
      </w:r>
      <w:r>
        <w:rPr>
          <w:rFonts w:hint="eastAsia" w:ascii="宋体" w:hAnsi="宋体" w:eastAsia="宋体" w:cs="宋体"/>
          <w:b/>
          <w:color w:val="auto"/>
          <w:sz w:val="24"/>
          <w:szCs w:val="24"/>
          <w:highlight w:val="none"/>
          <w:lang w:val="en-US" w:eastAsia="zh-CN"/>
        </w:rPr>
        <w:t>项目经理和项目总工最低要求</w:t>
      </w:r>
      <w:r>
        <w:rPr>
          <w:rFonts w:hint="eastAsia" w:ascii="宋体" w:hAnsi="宋体" w:eastAsia="宋体" w:cs="宋体"/>
          <w:b/>
          <w:color w:val="auto"/>
          <w:sz w:val="24"/>
          <w:szCs w:val="24"/>
          <w:highlight w:val="none"/>
        </w:rPr>
        <w:t>）</w:t>
      </w:r>
      <w:bookmarkEnd w:id="58"/>
    </w:p>
    <w:tbl>
      <w:tblPr>
        <w:tblStyle w:val="68"/>
        <w:tblW w:w="996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0"/>
        <w:gridCol w:w="814"/>
        <w:gridCol w:w="5704"/>
        <w:gridCol w:w="19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1480" w:type="dxa"/>
            <w:tcBorders>
              <w:top w:val="single" w:color="000000" w:sz="10" w:space="0"/>
              <w:left w:val="single" w:color="000000" w:sz="10" w:space="0"/>
            </w:tcBorders>
            <w:vAlign w:val="top"/>
          </w:tcPr>
          <w:p>
            <w:pPr>
              <w:pStyle w:val="72"/>
              <w:keepNext w:val="0"/>
              <w:keepLines w:val="0"/>
              <w:suppressLineNumbers w:val="0"/>
              <w:spacing w:before="172" w:beforeAutospacing="0" w:after="0" w:afterAutospacing="0" w:line="360" w:lineRule="auto"/>
              <w:ind w:left="470" w:right="0"/>
              <w:rPr>
                <w:rFonts w:hint="default"/>
                <w:sz w:val="24"/>
                <w:szCs w:val="24"/>
              </w:rPr>
            </w:pPr>
            <w:r>
              <w:rPr>
                <w:rFonts w:hint="default"/>
                <w:spacing w:val="-5"/>
                <w:sz w:val="24"/>
                <w:szCs w:val="24"/>
              </w:rPr>
              <w:t>人员</w:t>
            </w:r>
          </w:p>
        </w:tc>
        <w:tc>
          <w:tcPr>
            <w:tcW w:w="814" w:type="dxa"/>
            <w:tcBorders>
              <w:top w:val="single" w:color="000000" w:sz="10" w:space="0"/>
            </w:tcBorders>
            <w:vAlign w:val="top"/>
          </w:tcPr>
          <w:p>
            <w:pPr>
              <w:pStyle w:val="72"/>
              <w:keepNext w:val="0"/>
              <w:keepLines w:val="0"/>
              <w:suppressLineNumbers w:val="0"/>
              <w:spacing w:before="172" w:beforeAutospacing="0" w:after="0" w:afterAutospacing="0" w:line="360" w:lineRule="auto"/>
              <w:ind w:left="192" w:right="0"/>
              <w:rPr>
                <w:rFonts w:hint="default"/>
                <w:sz w:val="24"/>
                <w:szCs w:val="24"/>
              </w:rPr>
            </w:pPr>
            <w:r>
              <w:rPr>
                <w:rFonts w:hint="default"/>
                <w:spacing w:val="-2"/>
                <w:sz w:val="24"/>
                <w:szCs w:val="24"/>
              </w:rPr>
              <w:t>数量</w:t>
            </w:r>
          </w:p>
        </w:tc>
        <w:tc>
          <w:tcPr>
            <w:tcW w:w="5704" w:type="dxa"/>
            <w:tcBorders>
              <w:top w:val="single" w:color="000000" w:sz="10" w:space="0"/>
            </w:tcBorders>
            <w:vAlign w:val="top"/>
          </w:tcPr>
          <w:p>
            <w:pPr>
              <w:pStyle w:val="72"/>
              <w:keepNext w:val="0"/>
              <w:keepLines w:val="0"/>
              <w:suppressLineNumbers w:val="0"/>
              <w:spacing w:before="172" w:beforeAutospacing="0" w:after="0" w:afterAutospacing="0" w:line="360" w:lineRule="auto"/>
              <w:ind w:left="2526" w:right="0"/>
              <w:rPr>
                <w:rFonts w:hint="default"/>
                <w:sz w:val="24"/>
                <w:szCs w:val="24"/>
              </w:rPr>
            </w:pPr>
            <w:r>
              <w:rPr>
                <w:rFonts w:hint="default"/>
                <w:spacing w:val="-8"/>
                <w:sz w:val="24"/>
                <w:szCs w:val="24"/>
              </w:rPr>
              <w:t>资格要求</w:t>
            </w:r>
          </w:p>
        </w:tc>
        <w:tc>
          <w:tcPr>
            <w:tcW w:w="1967" w:type="dxa"/>
            <w:tcBorders>
              <w:top w:val="single" w:color="000000" w:sz="10" w:space="0"/>
              <w:right w:val="single" w:color="000000" w:sz="10" w:space="0"/>
            </w:tcBorders>
            <w:vAlign w:val="top"/>
          </w:tcPr>
          <w:p>
            <w:pPr>
              <w:pStyle w:val="72"/>
              <w:keepNext w:val="0"/>
              <w:keepLines w:val="0"/>
              <w:suppressLineNumbers w:val="0"/>
              <w:spacing w:before="173" w:beforeAutospacing="0" w:after="0" w:afterAutospacing="0" w:line="360" w:lineRule="auto"/>
              <w:ind w:left="569" w:right="0"/>
              <w:rPr>
                <w:rFonts w:hint="default"/>
                <w:sz w:val="24"/>
                <w:szCs w:val="24"/>
              </w:rPr>
            </w:pPr>
            <w:r>
              <w:rPr>
                <w:rFonts w:hint="default"/>
                <w:spacing w:val="-1"/>
                <w:sz w:val="24"/>
                <w:szCs w:val="24"/>
              </w:rPr>
              <w:t>在岗要求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7" w:hRule="atLeast"/>
        </w:trPr>
        <w:tc>
          <w:tcPr>
            <w:tcW w:w="1480" w:type="dxa"/>
            <w:tcBorders>
              <w:left w:val="single" w:color="000000" w:sz="10" w:space="0"/>
            </w:tcBorders>
            <w:vAlign w:val="top"/>
          </w:tcPr>
          <w:p>
            <w:pPr>
              <w:keepNext w:val="0"/>
              <w:keepLines w:val="0"/>
              <w:suppressLineNumbers w:val="0"/>
              <w:spacing w:before="0" w:beforeAutospacing="0" w:after="0" w:afterAutospacing="0" w:line="360" w:lineRule="auto"/>
              <w:ind w:left="0" w:right="0"/>
              <w:rPr>
                <w:rFonts w:hint="default" w:ascii="Arial"/>
                <w:sz w:val="24"/>
                <w:szCs w:val="24"/>
              </w:rPr>
            </w:pPr>
          </w:p>
          <w:p>
            <w:pPr>
              <w:keepNext w:val="0"/>
              <w:keepLines w:val="0"/>
              <w:suppressLineNumbers w:val="0"/>
              <w:spacing w:before="0" w:beforeAutospacing="0" w:after="0" w:afterAutospacing="0" w:line="360" w:lineRule="auto"/>
              <w:ind w:left="0" w:right="0"/>
              <w:rPr>
                <w:rFonts w:hint="default" w:ascii="Arial"/>
                <w:sz w:val="24"/>
                <w:szCs w:val="24"/>
              </w:rPr>
            </w:pPr>
          </w:p>
          <w:p>
            <w:pPr>
              <w:keepNext w:val="0"/>
              <w:keepLines w:val="0"/>
              <w:suppressLineNumbers w:val="0"/>
              <w:spacing w:before="0" w:beforeAutospacing="0" w:after="0" w:afterAutospacing="0" w:line="360" w:lineRule="auto"/>
              <w:ind w:left="0" w:right="0"/>
              <w:rPr>
                <w:rFonts w:hint="default" w:ascii="Arial"/>
                <w:sz w:val="24"/>
                <w:szCs w:val="24"/>
              </w:rPr>
            </w:pPr>
          </w:p>
          <w:p>
            <w:pPr>
              <w:keepNext w:val="0"/>
              <w:keepLines w:val="0"/>
              <w:suppressLineNumbers w:val="0"/>
              <w:spacing w:before="0" w:beforeAutospacing="0" w:after="0" w:afterAutospacing="0" w:line="360" w:lineRule="auto"/>
              <w:ind w:left="0" w:right="0"/>
              <w:rPr>
                <w:rFonts w:hint="default" w:ascii="Arial"/>
                <w:sz w:val="24"/>
                <w:szCs w:val="24"/>
              </w:rPr>
            </w:pPr>
          </w:p>
          <w:p>
            <w:pPr>
              <w:pStyle w:val="72"/>
              <w:keepNext w:val="0"/>
              <w:keepLines w:val="0"/>
              <w:suppressLineNumbers w:val="0"/>
              <w:spacing w:before="68" w:beforeAutospacing="0" w:after="0" w:afterAutospacing="0" w:line="360" w:lineRule="auto"/>
              <w:ind w:left="315" w:right="0"/>
              <w:rPr>
                <w:rFonts w:hint="default"/>
                <w:sz w:val="24"/>
                <w:szCs w:val="24"/>
              </w:rPr>
            </w:pPr>
            <w:r>
              <w:rPr>
                <w:rFonts w:hint="default"/>
                <w:spacing w:val="-3"/>
                <w:sz w:val="24"/>
                <w:szCs w:val="24"/>
              </w:rPr>
              <w:t>项目经理</w:t>
            </w:r>
          </w:p>
        </w:tc>
        <w:tc>
          <w:tcPr>
            <w:tcW w:w="814" w:type="dxa"/>
            <w:vAlign w:val="top"/>
          </w:tcPr>
          <w:p>
            <w:pPr>
              <w:keepNext w:val="0"/>
              <w:keepLines w:val="0"/>
              <w:suppressLineNumbers w:val="0"/>
              <w:spacing w:before="0" w:beforeAutospacing="0" w:after="0" w:afterAutospacing="0" w:line="360" w:lineRule="auto"/>
              <w:ind w:left="0" w:right="0"/>
              <w:rPr>
                <w:rFonts w:hint="default" w:ascii="Arial"/>
                <w:sz w:val="24"/>
                <w:szCs w:val="24"/>
              </w:rPr>
            </w:pPr>
          </w:p>
          <w:p>
            <w:pPr>
              <w:keepNext w:val="0"/>
              <w:keepLines w:val="0"/>
              <w:suppressLineNumbers w:val="0"/>
              <w:spacing w:before="0" w:beforeAutospacing="0" w:after="0" w:afterAutospacing="0" w:line="360" w:lineRule="auto"/>
              <w:ind w:left="0" w:right="0"/>
              <w:rPr>
                <w:rFonts w:hint="default" w:ascii="Arial"/>
                <w:sz w:val="24"/>
                <w:szCs w:val="24"/>
              </w:rPr>
            </w:pPr>
          </w:p>
          <w:p>
            <w:pPr>
              <w:keepNext w:val="0"/>
              <w:keepLines w:val="0"/>
              <w:suppressLineNumbers w:val="0"/>
              <w:spacing w:before="0" w:beforeAutospacing="0" w:after="0" w:afterAutospacing="0" w:line="360" w:lineRule="auto"/>
              <w:ind w:left="0" w:right="0"/>
              <w:rPr>
                <w:rFonts w:hint="default" w:ascii="Arial"/>
                <w:sz w:val="24"/>
                <w:szCs w:val="24"/>
              </w:rPr>
            </w:pPr>
          </w:p>
          <w:p>
            <w:pPr>
              <w:keepNext w:val="0"/>
              <w:keepLines w:val="0"/>
              <w:suppressLineNumbers w:val="0"/>
              <w:spacing w:before="0" w:beforeAutospacing="0" w:after="0" w:afterAutospacing="0" w:line="360" w:lineRule="auto"/>
              <w:ind w:left="0" w:right="0"/>
              <w:rPr>
                <w:rFonts w:hint="default" w:ascii="Arial"/>
                <w:sz w:val="24"/>
                <w:szCs w:val="24"/>
              </w:rPr>
            </w:pPr>
          </w:p>
          <w:p>
            <w:pPr>
              <w:keepNext w:val="0"/>
              <w:keepLines w:val="0"/>
              <w:suppressLineNumbers w:val="0"/>
              <w:spacing w:before="0" w:beforeAutospacing="0" w:after="0" w:afterAutospacing="0" w:line="360" w:lineRule="auto"/>
              <w:ind w:left="0" w:right="0"/>
              <w:rPr>
                <w:rFonts w:hint="default" w:ascii="Arial"/>
                <w:sz w:val="24"/>
                <w:szCs w:val="24"/>
              </w:rPr>
            </w:pPr>
          </w:p>
          <w:p>
            <w:pPr>
              <w:pStyle w:val="72"/>
              <w:keepNext w:val="0"/>
              <w:keepLines w:val="0"/>
              <w:suppressLineNumbers w:val="0"/>
              <w:spacing w:before="69" w:beforeAutospacing="0" w:after="0" w:afterAutospacing="0" w:line="360" w:lineRule="auto"/>
              <w:ind w:left="365" w:right="0"/>
              <w:rPr>
                <w:rFonts w:hint="default"/>
                <w:sz w:val="24"/>
                <w:szCs w:val="24"/>
              </w:rPr>
            </w:pPr>
            <w:r>
              <w:rPr>
                <w:rFonts w:hint="default"/>
                <w:sz w:val="24"/>
                <w:szCs w:val="24"/>
              </w:rPr>
              <w:t>1</w:t>
            </w:r>
          </w:p>
        </w:tc>
        <w:tc>
          <w:tcPr>
            <w:tcW w:w="5704" w:type="dxa"/>
            <w:vAlign w:val="top"/>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default"/>
                <w:sz w:val="24"/>
                <w:szCs w:val="24"/>
              </w:rPr>
            </w:pPr>
            <w:r>
              <w:rPr>
                <w:rFonts w:hint="eastAsia" w:ascii="宋体" w:hAnsi="宋体" w:eastAsia="宋体" w:cs="宋体"/>
                <w:sz w:val="24"/>
                <w:szCs w:val="24"/>
                <w:highlight w:val="none"/>
                <w:lang w:val="en-US" w:eastAsia="zh-CN"/>
              </w:rPr>
              <w:t>拟派项目经理须具备公路工程专业贰级及以上（含贰级）注册建造师证书，并具有有效的安全生产考核合格证书（交安B证）；提供在本单位缴纳的2023年7月以来任意连续3个月的社保证明（至少包含养老保险证明，以社保系统网页下载或社保中心出具的社保查询证明为准），拟派的项目经理目前未在其他项目上任职，提供无在建承诺，或虽在其他项目上任职但本项目中标后能够从该项目撤离，提供承诺书。（投标文件中须附以上证件的原件扫描件及项目经理承诺书并加盖企业电子章）。</w:t>
            </w:r>
          </w:p>
        </w:tc>
        <w:tc>
          <w:tcPr>
            <w:tcW w:w="1967" w:type="dxa"/>
            <w:vMerge w:val="restart"/>
            <w:tcBorders>
              <w:bottom w:val="nil"/>
              <w:right w:val="single" w:color="000000" w:sz="10" w:space="0"/>
            </w:tcBorders>
            <w:vAlign w:val="top"/>
          </w:tcPr>
          <w:p>
            <w:pPr>
              <w:keepNext w:val="0"/>
              <w:keepLines w:val="0"/>
              <w:suppressLineNumbers w:val="0"/>
              <w:spacing w:before="0" w:beforeAutospacing="0" w:after="0" w:afterAutospacing="0" w:line="360" w:lineRule="auto"/>
              <w:ind w:left="0" w:right="0"/>
              <w:rPr>
                <w:rFonts w:hint="default" w:ascii="Arial"/>
                <w:sz w:val="24"/>
                <w:szCs w:val="24"/>
              </w:rPr>
            </w:pPr>
          </w:p>
          <w:p>
            <w:pPr>
              <w:keepNext w:val="0"/>
              <w:keepLines w:val="0"/>
              <w:suppressLineNumbers w:val="0"/>
              <w:spacing w:before="0" w:beforeAutospacing="0" w:after="0" w:afterAutospacing="0" w:line="360" w:lineRule="auto"/>
              <w:ind w:left="0" w:right="0"/>
              <w:rPr>
                <w:rFonts w:hint="default" w:ascii="Arial"/>
                <w:sz w:val="24"/>
                <w:szCs w:val="24"/>
              </w:rPr>
            </w:pPr>
          </w:p>
          <w:p>
            <w:pPr>
              <w:keepNext w:val="0"/>
              <w:keepLines w:val="0"/>
              <w:suppressLineNumbers w:val="0"/>
              <w:spacing w:before="0" w:beforeAutospacing="0" w:after="0" w:afterAutospacing="0" w:line="360" w:lineRule="auto"/>
              <w:ind w:left="0" w:right="0"/>
              <w:rPr>
                <w:rFonts w:hint="default" w:ascii="Arial"/>
                <w:sz w:val="24"/>
                <w:szCs w:val="24"/>
              </w:rPr>
            </w:pPr>
          </w:p>
          <w:p>
            <w:pPr>
              <w:keepNext w:val="0"/>
              <w:keepLines w:val="0"/>
              <w:suppressLineNumbers w:val="0"/>
              <w:spacing w:before="0" w:beforeAutospacing="0" w:after="0" w:afterAutospacing="0" w:line="360" w:lineRule="auto"/>
              <w:ind w:left="0" w:right="0"/>
              <w:rPr>
                <w:rFonts w:hint="default" w:ascii="Arial"/>
                <w:sz w:val="24"/>
                <w:szCs w:val="24"/>
              </w:rPr>
            </w:pPr>
          </w:p>
          <w:p>
            <w:pPr>
              <w:keepNext w:val="0"/>
              <w:keepLines w:val="0"/>
              <w:suppressLineNumbers w:val="0"/>
              <w:spacing w:before="0" w:beforeAutospacing="0" w:after="0" w:afterAutospacing="0" w:line="360" w:lineRule="auto"/>
              <w:ind w:left="0" w:right="0"/>
              <w:rPr>
                <w:rFonts w:hint="default" w:ascii="Arial"/>
                <w:sz w:val="24"/>
                <w:szCs w:val="24"/>
              </w:rPr>
            </w:pPr>
          </w:p>
          <w:p>
            <w:pPr>
              <w:keepNext w:val="0"/>
              <w:keepLines w:val="0"/>
              <w:suppressLineNumbers w:val="0"/>
              <w:spacing w:before="0" w:beforeAutospacing="0" w:after="0" w:afterAutospacing="0" w:line="360" w:lineRule="auto"/>
              <w:ind w:left="0" w:right="0"/>
              <w:rPr>
                <w:rFonts w:hint="default" w:ascii="Arial"/>
                <w:sz w:val="24"/>
                <w:szCs w:val="24"/>
              </w:rPr>
            </w:pPr>
          </w:p>
          <w:p>
            <w:pPr>
              <w:keepNext w:val="0"/>
              <w:keepLines w:val="0"/>
              <w:suppressLineNumbers w:val="0"/>
              <w:spacing w:before="0" w:beforeAutospacing="0" w:after="0" w:afterAutospacing="0" w:line="360" w:lineRule="auto"/>
              <w:ind w:left="0" w:right="0"/>
              <w:rPr>
                <w:rFonts w:hint="default" w:ascii="Arial"/>
                <w:sz w:val="24"/>
                <w:szCs w:val="24"/>
              </w:rPr>
            </w:pPr>
          </w:p>
          <w:p>
            <w:pPr>
              <w:keepNext w:val="0"/>
              <w:keepLines w:val="0"/>
              <w:suppressLineNumbers w:val="0"/>
              <w:spacing w:before="0" w:beforeAutospacing="0" w:after="0" w:afterAutospacing="0" w:line="360" w:lineRule="auto"/>
              <w:ind w:left="0" w:right="0"/>
              <w:rPr>
                <w:rFonts w:hint="default" w:ascii="Arial"/>
                <w:sz w:val="24"/>
                <w:szCs w:val="24"/>
              </w:rPr>
            </w:pPr>
          </w:p>
          <w:p>
            <w:pPr>
              <w:pStyle w:val="72"/>
              <w:keepNext w:val="0"/>
              <w:keepLines w:val="0"/>
              <w:suppressLineNumbers w:val="0"/>
              <w:spacing w:before="68" w:beforeAutospacing="0" w:after="0" w:afterAutospacing="0" w:line="360" w:lineRule="auto"/>
              <w:ind w:left="117" w:right="156" w:firstLine="2"/>
              <w:jc w:val="both"/>
              <w:rPr>
                <w:rFonts w:hint="default"/>
                <w:sz w:val="24"/>
                <w:szCs w:val="24"/>
              </w:rPr>
            </w:pPr>
            <w:r>
              <w:rPr>
                <w:rFonts w:hint="default"/>
                <w:spacing w:val="-1"/>
                <w:sz w:val="24"/>
                <w:szCs w:val="24"/>
              </w:rPr>
              <w:t>无在岗项目（指目前未在其他项目上</w:t>
            </w:r>
            <w:r>
              <w:rPr>
                <w:rFonts w:hint="default"/>
                <w:spacing w:val="-13"/>
                <w:sz w:val="24"/>
                <w:szCs w:val="24"/>
              </w:rPr>
              <w:t>任职，或虽在其他</w:t>
            </w:r>
            <w:r>
              <w:rPr>
                <w:rFonts w:hint="default"/>
                <w:spacing w:val="-1"/>
                <w:sz w:val="24"/>
                <w:szCs w:val="24"/>
              </w:rPr>
              <w:t>项目上任职但本项目中标后能够从该</w:t>
            </w:r>
            <w:r>
              <w:rPr>
                <w:rFonts w:hint="default"/>
                <w:spacing w:val="-11"/>
                <w:sz w:val="24"/>
                <w:szCs w:val="24"/>
              </w:rPr>
              <w:t>项目撤离）。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9" w:hRule="atLeast"/>
        </w:trPr>
        <w:tc>
          <w:tcPr>
            <w:tcW w:w="1480" w:type="dxa"/>
            <w:tcBorders>
              <w:left w:val="single" w:color="000000" w:sz="10" w:space="0"/>
              <w:bottom w:val="single" w:color="000000" w:sz="10" w:space="0"/>
            </w:tcBorders>
            <w:vAlign w:val="top"/>
          </w:tcPr>
          <w:p>
            <w:pPr>
              <w:keepNext w:val="0"/>
              <w:keepLines w:val="0"/>
              <w:suppressLineNumbers w:val="0"/>
              <w:spacing w:before="0" w:beforeAutospacing="0" w:after="0" w:afterAutospacing="0" w:line="360" w:lineRule="auto"/>
              <w:ind w:left="0" w:right="0"/>
              <w:rPr>
                <w:rFonts w:hint="default" w:ascii="Arial"/>
                <w:sz w:val="24"/>
                <w:szCs w:val="24"/>
              </w:rPr>
            </w:pPr>
          </w:p>
          <w:p>
            <w:pPr>
              <w:keepNext w:val="0"/>
              <w:keepLines w:val="0"/>
              <w:suppressLineNumbers w:val="0"/>
              <w:spacing w:before="0" w:beforeAutospacing="0" w:after="0" w:afterAutospacing="0" w:line="360" w:lineRule="auto"/>
              <w:ind w:left="0" w:right="0"/>
              <w:rPr>
                <w:rFonts w:hint="default" w:ascii="Arial"/>
                <w:sz w:val="24"/>
                <w:szCs w:val="24"/>
              </w:rPr>
            </w:pPr>
          </w:p>
          <w:p>
            <w:pPr>
              <w:keepNext w:val="0"/>
              <w:keepLines w:val="0"/>
              <w:suppressLineNumbers w:val="0"/>
              <w:spacing w:before="0" w:beforeAutospacing="0" w:after="0" w:afterAutospacing="0" w:line="360" w:lineRule="auto"/>
              <w:ind w:left="0" w:right="0"/>
              <w:rPr>
                <w:rFonts w:hint="default" w:ascii="Arial"/>
                <w:sz w:val="24"/>
                <w:szCs w:val="24"/>
              </w:rPr>
            </w:pPr>
          </w:p>
          <w:p>
            <w:pPr>
              <w:keepNext w:val="0"/>
              <w:keepLines w:val="0"/>
              <w:suppressLineNumbers w:val="0"/>
              <w:spacing w:before="0" w:beforeAutospacing="0" w:after="0" w:afterAutospacing="0" w:line="360" w:lineRule="auto"/>
              <w:ind w:left="0" w:right="0"/>
              <w:rPr>
                <w:rFonts w:hint="default" w:ascii="Arial"/>
                <w:sz w:val="24"/>
                <w:szCs w:val="24"/>
              </w:rPr>
            </w:pPr>
          </w:p>
          <w:p>
            <w:pPr>
              <w:keepNext w:val="0"/>
              <w:keepLines w:val="0"/>
              <w:suppressLineNumbers w:val="0"/>
              <w:spacing w:before="0" w:beforeAutospacing="0" w:after="0" w:afterAutospacing="0" w:line="360" w:lineRule="auto"/>
              <w:ind w:left="0" w:right="0"/>
              <w:rPr>
                <w:rFonts w:hint="default" w:ascii="Arial"/>
                <w:sz w:val="24"/>
                <w:szCs w:val="24"/>
              </w:rPr>
            </w:pPr>
          </w:p>
          <w:p>
            <w:pPr>
              <w:keepNext w:val="0"/>
              <w:keepLines w:val="0"/>
              <w:suppressLineNumbers w:val="0"/>
              <w:spacing w:before="0" w:beforeAutospacing="0" w:after="0" w:afterAutospacing="0" w:line="360" w:lineRule="auto"/>
              <w:ind w:left="0" w:right="0"/>
              <w:rPr>
                <w:rFonts w:hint="default" w:ascii="Arial"/>
                <w:sz w:val="24"/>
                <w:szCs w:val="24"/>
              </w:rPr>
            </w:pPr>
          </w:p>
          <w:p>
            <w:pPr>
              <w:keepNext w:val="0"/>
              <w:keepLines w:val="0"/>
              <w:suppressLineNumbers w:val="0"/>
              <w:spacing w:before="0" w:beforeAutospacing="0" w:after="0" w:afterAutospacing="0" w:line="360" w:lineRule="auto"/>
              <w:ind w:left="0" w:right="0"/>
              <w:rPr>
                <w:rFonts w:hint="default" w:ascii="Arial"/>
                <w:sz w:val="24"/>
                <w:szCs w:val="24"/>
              </w:rPr>
            </w:pPr>
          </w:p>
          <w:p>
            <w:pPr>
              <w:pStyle w:val="72"/>
              <w:keepNext w:val="0"/>
              <w:keepLines w:val="0"/>
              <w:suppressLineNumbers w:val="0"/>
              <w:spacing w:before="69" w:beforeAutospacing="0" w:after="0" w:afterAutospacing="0" w:line="360" w:lineRule="auto"/>
              <w:ind w:left="315" w:right="0"/>
              <w:rPr>
                <w:rFonts w:hint="default"/>
                <w:sz w:val="24"/>
                <w:szCs w:val="24"/>
              </w:rPr>
            </w:pPr>
            <w:r>
              <w:rPr>
                <w:rFonts w:hint="default"/>
                <w:spacing w:val="-3"/>
                <w:sz w:val="24"/>
                <w:szCs w:val="24"/>
              </w:rPr>
              <w:t>项目总工</w:t>
            </w:r>
          </w:p>
        </w:tc>
        <w:tc>
          <w:tcPr>
            <w:tcW w:w="814" w:type="dxa"/>
            <w:tcBorders>
              <w:bottom w:val="single" w:color="000000" w:sz="10" w:space="0"/>
            </w:tcBorders>
            <w:vAlign w:val="top"/>
          </w:tcPr>
          <w:p>
            <w:pPr>
              <w:keepNext w:val="0"/>
              <w:keepLines w:val="0"/>
              <w:suppressLineNumbers w:val="0"/>
              <w:spacing w:before="0" w:beforeAutospacing="0" w:after="0" w:afterAutospacing="0" w:line="360" w:lineRule="auto"/>
              <w:ind w:left="0" w:right="0"/>
              <w:rPr>
                <w:rFonts w:hint="default" w:ascii="Arial"/>
                <w:sz w:val="24"/>
                <w:szCs w:val="24"/>
              </w:rPr>
            </w:pPr>
          </w:p>
          <w:p>
            <w:pPr>
              <w:keepNext w:val="0"/>
              <w:keepLines w:val="0"/>
              <w:suppressLineNumbers w:val="0"/>
              <w:spacing w:before="0" w:beforeAutospacing="0" w:after="0" w:afterAutospacing="0" w:line="360" w:lineRule="auto"/>
              <w:ind w:left="0" w:right="0"/>
              <w:rPr>
                <w:rFonts w:hint="default" w:ascii="Arial"/>
                <w:sz w:val="24"/>
                <w:szCs w:val="24"/>
              </w:rPr>
            </w:pPr>
          </w:p>
          <w:p>
            <w:pPr>
              <w:keepNext w:val="0"/>
              <w:keepLines w:val="0"/>
              <w:suppressLineNumbers w:val="0"/>
              <w:spacing w:before="0" w:beforeAutospacing="0" w:after="0" w:afterAutospacing="0" w:line="360" w:lineRule="auto"/>
              <w:ind w:left="0" w:right="0"/>
              <w:rPr>
                <w:rFonts w:hint="default" w:ascii="Arial"/>
                <w:sz w:val="24"/>
                <w:szCs w:val="24"/>
              </w:rPr>
            </w:pPr>
          </w:p>
          <w:p>
            <w:pPr>
              <w:keepNext w:val="0"/>
              <w:keepLines w:val="0"/>
              <w:suppressLineNumbers w:val="0"/>
              <w:spacing w:before="0" w:beforeAutospacing="0" w:after="0" w:afterAutospacing="0" w:line="360" w:lineRule="auto"/>
              <w:ind w:left="0" w:right="0"/>
              <w:rPr>
                <w:rFonts w:hint="default" w:ascii="Arial"/>
                <w:sz w:val="24"/>
                <w:szCs w:val="24"/>
              </w:rPr>
            </w:pPr>
          </w:p>
          <w:p>
            <w:pPr>
              <w:keepNext w:val="0"/>
              <w:keepLines w:val="0"/>
              <w:suppressLineNumbers w:val="0"/>
              <w:spacing w:before="0" w:beforeAutospacing="0" w:after="0" w:afterAutospacing="0" w:line="360" w:lineRule="auto"/>
              <w:ind w:left="0" w:right="0"/>
              <w:rPr>
                <w:rFonts w:hint="default" w:ascii="Arial"/>
                <w:sz w:val="24"/>
                <w:szCs w:val="24"/>
              </w:rPr>
            </w:pPr>
          </w:p>
          <w:p>
            <w:pPr>
              <w:keepNext w:val="0"/>
              <w:keepLines w:val="0"/>
              <w:suppressLineNumbers w:val="0"/>
              <w:spacing w:before="0" w:beforeAutospacing="0" w:after="0" w:afterAutospacing="0" w:line="360" w:lineRule="auto"/>
              <w:ind w:left="0" w:right="0"/>
              <w:rPr>
                <w:rFonts w:hint="default" w:ascii="Arial"/>
                <w:sz w:val="24"/>
                <w:szCs w:val="24"/>
              </w:rPr>
            </w:pPr>
          </w:p>
          <w:p>
            <w:pPr>
              <w:keepNext w:val="0"/>
              <w:keepLines w:val="0"/>
              <w:suppressLineNumbers w:val="0"/>
              <w:spacing w:before="0" w:beforeAutospacing="0" w:after="0" w:afterAutospacing="0" w:line="360" w:lineRule="auto"/>
              <w:ind w:left="0" w:right="0"/>
              <w:rPr>
                <w:rFonts w:hint="default" w:ascii="Arial"/>
                <w:sz w:val="24"/>
                <w:szCs w:val="24"/>
              </w:rPr>
            </w:pPr>
          </w:p>
          <w:p>
            <w:pPr>
              <w:pStyle w:val="72"/>
              <w:keepNext w:val="0"/>
              <w:keepLines w:val="0"/>
              <w:suppressLineNumbers w:val="0"/>
              <w:spacing w:before="68" w:beforeAutospacing="0" w:after="0" w:afterAutospacing="0" w:line="360" w:lineRule="auto"/>
              <w:ind w:left="365" w:right="0"/>
              <w:rPr>
                <w:rFonts w:hint="default"/>
                <w:sz w:val="24"/>
                <w:szCs w:val="24"/>
              </w:rPr>
            </w:pPr>
            <w:r>
              <w:rPr>
                <w:rFonts w:hint="default"/>
                <w:sz w:val="24"/>
                <w:szCs w:val="24"/>
              </w:rPr>
              <w:t>1</w:t>
            </w:r>
          </w:p>
        </w:tc>
        <w:tc>
          <w:tcPr>
            <w:tcW w:w="5704" w:type="dxa"/>
            <w:tcBorders>
              <w:bottom w:val="single" w:color="000000" w:sz="10" w:space="0"/>
            </w:tcBorders>
            <w:vAlign w:val="top"/>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highlight w:val="none"/>
                <w:lang w:val="en-US" w:eastAsia="zh-CN"/>
              </w:rPr>
              <w:t>拟派项目总工须具备公路工程相关专业中级（含）及以上职称，并提供在本单位缴纳的2023年7月以来任意连续3个月的社保证明（至少包含养老保险证明，以社保系统网页下载或社保中心出具的社保查询证明为准）；拟派的项目总工目前未在其他项目上任职，提供无在建承诺，或虽在其他项目上任职但本项目中标后能够从该项目撤离，提供承诺书，拟派项目经理和项目总工不得为同一人；（投标文件中须附以上</w:t>
            </w:r>
            <w:r>
              <w:rPr>
                <w:rFonts w:hint="eastAsia" w:ascii="宋体" w:hAnsi="宋体" w:eastAsia="宋体" w:cs="宋体"/>
                <w:sz w:val="24"/>
                <w:szCs w:val="24"/>
                <w:lang w:val="en-US" w:eastAsia="zh-CN"/>
              </w:rPr>
              <w:t>证件的原件扫描件及项目总工承诺书并加盖企业电子章）。</w:t>
            </w:r>
          </w:p>
          <w:p>
            <w:pPr>
              <w:pStyle w:val="72"/>
              <w:keepNext w:val="0"/>
              <w:keepLines w:val="0"/>
              <w:suppressLineNumbers w:val="0"/>
              <w:spacing w:before="68" w:beforeAutospacing="0" w:after="0" w:afterAutospacing="0" w:line="360" w:lineRule="auto"/>
              <w:ind w:left="0" w:right="93"/>
              <w:jc w:val="both"/>
              <w:rPr>
                <w:rFonts w:hint="default"/>
                <w:sz w:val="24"/>
                <w:szCs w:val="24"/>
              </w:rPr>
            </w:pPr>
          </w:p>
        </w:tc>
        <w:tc>
          <w:tcPr>
            <w:tcW w:w="1967" w:type="dxa"/>
            <w:vMerge w:val="continue"/>
            <w:tcBorders>
              <w:top w:val="nil"/>
              <w:bottom w:val="single" w:color="000000" w:sz="10" w:space="0"/>
              <w:right w:val="single" w:color="000000" w:sz="10" w:space="0"/>
            </w:tcBorders>
            <w:vAlign w:val="top"/>
          </w:tcPr>
          <w:p>
            <w:pPr>
              <w:keepNext w:val="0"/>
              <w:keepLines w:val="0"/>
              <w:suppressLineNumbers w:val="0"/>
              <w:spacing w:before="0" w:beforeAutospacing="0" w:after="0" w:afterAutospacing="0" w:line="360" w:lineRule="auto"/>
              <w:ind w:left="0" w:right="0"/>
              <w:rPr>
                <w:rFonts w:hint="default" w:ascii="Arial"/>
                <w:sz w:val="24"/>
                <w:szCs w:val="24"/>
              </w:rPr>
            </w:pPr>
          </w:p>
        </w:tc>
      </w:tr>
    </w:tbl>
    <w:p>
      <w:pPr>
        <w:pStyle w:val="25"/>
        <w:pageBreakBefore w:val="0"/>
        <w:kinsoku/>
        <w:overflowPunct/>
        <w:bidi w:val="0"/>
        <w:spacing w:beforeAutospacing="0" w:afterAutospacing="0" w:line="360" w:lineRule="auto"/>
        <w:ind w:left="0" w:leftChars="0" w:right="0" w:righ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注：（1）公路工程相关专业职称包括：公路工程、桥梁工程、道路与桥梁工程、交通土建、道路机场与桥隧工程、隧道（地下结构）工程、交通工程等专业职称。</w:t>
      </w:r>
    </w:p>
    <w:p>
      <w:pPr>
        <w:pStyle w:val="25"/>
        <w:pageBreakBefore w:val="0"/>
        <w:kinsoku/>
        <w:overflowPunct/>
        <w:bidi w:val="0"/>
        <w:spacing w:beforeAutospacing="0" w:afterAutospacing="0" w:line="360" w:lineRule="auto"/>
        <w:ind w:left="0" w:leftChars="0" w:right="0" w:righ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（2）投标人应将以上审查证明材料附在投标文件第一信封（商务及技术文件）“八、资格审</w:t>
      </w:r>
    </w:p>
    <w:p>
      <w:pPr>
        <w:pStyle w:val="25"/>
        <w:pageBreakBefore w:val="0"/>
        <w:kinsoku/>
        <w:overflowPunct/>
        <w:bidi w:val="0"/>
        <w:spacing w:beforeAutospacing="0" w:afterAutospacing="0" w:line="360" w:lineRule="auto"/>
        <w:ind w:left="0" w:leftChars="0" w:right="0" w:righ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查资料”</w:t>
      </w:r>
    </w:p>
    <w:bookmarkEnd w:id="25"/>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0" w:firstLineChars="200"/>
        <w:jc w:val="left"/>
        <w:textAlignment w:val="baseline"/>
        <w:rPr>
          <w:rFonts w:ascii="宋体" w:hAnsi="宋体" w:eastAsia="宋体" w:cs="宋体"/>
          <w:spacing w:val="-5"/>
          <w:sz w:val="21"/>
          <w:szCs w:val="21"/>
          <w14:textOutline w14:w="3831" w14:cap="flat" w14:cmpd="sng">
            <w14:solidFill>
              <w14:srgbClr w14:val="000000"/>
            </w14:solidFill>
            <w14:prstDash w14:val="solid"/>
            <w14:miter w14:val="0"/>
          </w14:textOutline>
        </w:rPr>
      </w:pPr>
      <w:bookmarkStart w:id="59" w:name="bookmark10"/>
      <w:bookmarkEnd w:id="59"/>
      <w:bookmarkStart w:id="60" w:name="_Toc144974548"/>
      <w:bookmarkStart w:id="61" w:name="_Toc179632599"/>
      <w:bookmarkStart w:id="62" w:name="_Toc152045581"/>
      <w:bookmarkStart w:id="63" w:name="_Toc152042358"/>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0" w:firstLineChars="200"/>
        <w:jc w:val="left"/>
        <w:textAlignment w:val="baseline"/>
        <w:rPr>
          <w:rFonts w:ascii="宋体" w:hAnsi="宋体" w:eastAsia="宋体" w:cs="宋体"/>
          <w:spacing w:val="-5"/>
          <w:sz w:val="21"/>
          <w:szCs w:val="21"/>
          <w14:textOutline w14:w="3831" w14:cap="flat" w14:cmpd="sng">
            <w14:solidFill>
              <w14:srgbClr w14:val="000000"/>
            </w14:solidFill>
            <w14:prstDash w14:val="solid"/>
            <w14:miter w14:val="0"/>
          </w14:textOutline>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0" w:firstLineChars="200"/>
        <w:jc w:val="left"/>
        <w:textAlignment w:val="baseline"/>
        <w:rPr>
          <w:rFonts w:ascii="宋体" w:hAnsi="宋体" w:eastAsia="宋体" w:cs="宋体"/>
          <w:spacing w:val="-5"/>
          <w:sz w:val="21"/>
          <w:szCs w:val="21"/>
          <w14:textOutline w14:w="3831" w14:cap="flat" w14:cmpd="sng">
            <w14:solidFill>
              <w14:srgbClr w14:val="000000"/>
            </w14:solidFill>
            <w14:prstDash w14:val="solid"/>
            <w14:miter w14:val="0"/>
          </w14:textOutline>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0" w:firstLineChars="200"/>
        <w:jc w:val="left"/>
        <w:textAlignment w:val="baseline"/>
        <w:rPr>
          <w:rFonts w:ascii="宋体" w:hAnsi="宋体" w:eastAsia="宋体" w:cs="宋体"/>
          <w:spacing w:val="-5"/>
          <w:sz w:val="21"/>
          <w:szCs w:val="21"/>
          <w14:textOutline w14:w="3831" w14:cap="flat" w14:cmpd="sng">
            <w14:solidFill>
              <w14:srgbClr w14:val="000000"/>
            </w14:solidFill>
            <w14:prstDash w14:val="solid"/>
            <w14:miter w14:val="0"/>
          </w14:textOutline>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0" w:firstLineChars="200"/>
        <w:jc w:val="left"/>
        <w:textAlignment w:val="baseline"/>
      </w:pPr>
      <w:r>
        <w:rPr>
          <w:rFonts w:ascii="宋体" w:hAnsi="宋体" w:eastAsia="宋体" w:cs="宋体"/>
          <w:spacing w:val="-5"/>
          <w:sz w:val="21"/>
          <w:szCs w:val="21"/>
          <w14:textOutline w14:w="3831" w14:cap="flat" w14:cmpd="sng">
            <w14:solidFill>
              <w14:srgbClr w14:val="000000"/>
            </w14:solidFill>
            <w14:prstDash w14:val="solid"/>
            <w14:miter w14:val="0"/>
          </w14:textOutline>
        </w:rPr>
        <w:t>1．总则</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outlineLvl w:val="0"/>
      </w:pPr>
      <w:bookmarkStart w:id="64" w:name="_Toc28005"/>
      <w:r>
        <w:rPr>
          <w:rFonts w:ascii="宋体" w:hAnsi="宋体" w:eastAsia="宋体" w:cs="宋体"/>
          <w:spacing w:val="-2"/>
          <w:sz w:val="21"/>
          <w:szCs w:val="21"/>
          <w14:textOutline w14:w="3831" w14:cap="flat" w14:cmpd="sng">
            <w14:solidFill>
              <w14:srgbClr w14:val="000000"/>
            </w14:solidFill>
            <w14:prstDash w14:val="solid"/>
            <w14:miter w14:val="0"/>
          </w14:textOutline>
        </w:rPr>
        <w:t>1.1．项目概况</w:t>
      </w:r>
      <w:bookmarkEnd w:id="64"/>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sz w:val="21"/>
          <w:szCs w:val="21"/>
        </w:rPr>
        <w:t>1.1.1根据《中华人民共和国招标投标法》、《中华人民共和国招标投标法实施条例》、《</w:t>
      </w:r>
      <w:r>
        <w:rPr>
          <w:rFonts w:ascii="宋体" w:hAnsi="宋体" w:eastAsia="宋体" w:cs="宋体"/>
          <w:spacing w:val="-3"/>
          <w:sz w:val="21"/>
          <w:szCs w:val="21"/>
        </w:rPr>
        <w:t>公路工程建</w:t>
      </w:r>
      <w:r>
        <w:rPr>
          <w:rFonts w:ascii="宋体" w:hAnsi="宋体" w:eastAsia="宋体" w:cs="宋体"/>
          <w:spacing w:val="-4"/>
          <w:sz w:val="21"/>
          <w:szCs w:val="21"/>
        </w:rPr>
        <w:t>设项目招标投标管理办法》等有关法律、法规和规章的规定，本招标项目已具备招标条件，现对本标段施</w:t>
      </w:r>
      <w:r>
        <w:rPr>
          <w:rFonts w:ascii="宋体" w:hAnsi="宋体" w:eastAsia="宋体" w:cs="宋体"/>
          <w:spacing w:val="-2"/>
          <w:sz w:val="21"/>
          <w:szCs w:val="21"/>
        </w:rPr>
        <w:t>工进行招标。</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396" w:firstLineChars="200"/>
        <w:jc w:val="left"/>
        <w:textAlignment w:val="baseline"/>
        <w:rPr>
          <w:rFonts w:ascii="宋体" w:hAnsi="宋体" w:eastAsia="宋体" w:cs="宋体"/>
          <w:sz w:val="21"/>
          <w:szCs w:val="21"/>
        </w:rPr>
      </w:pPr>
      <w:r>
        <w:rPr>
          <w:rFonts w:ascii="宋体" w:hAnsi="宋体" w:eastAsia="宋体" w:cs="宋体"/>
          <w:spacing w:val="-6"/>
          <w:sz w:val="21"/>
          <w:szCs w:val="21"/>
        </w:rPr>
        <w:t>1.1.2本招标项目招标人：见投标人须知前附表。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sz w:val="21"/>
          <w:szCs w:val="21"/>
        </w:rPr>
        <w:t>1.1.3本标段招标代理机构：见投标人须知前附表。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position w:val="15"/>
          <w:sz w:val="21"/>
          <w:szCs w:val="21"/>
        </w:rPr>
        <w:t>1.1.4本招标项目名称：见投标人须知前附表。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pPr>
      <w:r>
        <w:rPr>
          <w:rFonts w:ascii="宋体" w:hAnsi="宋体" w:eastAsia="宋体" w:cs="宋体"/>
          <w:spacing w:val="-2"/>
          <w:sz w:val="21"/>
          <w:szCs w:val="21"/>
        </w:rPr>
        <w:t>1.1.5本标段建设地点：见投标人须知前附表。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outlineLvl w:val="0"/>
      </w:pPr>
      <w:bookmarkStart w:id="65" w:name="_Toc17820"/>
      <w:r>
        <w:rPr>
          <w:rFonts w:ascii="宋体" w:hAnsi="宋体" w:eastAsia="宋体" w:cs="宋体"/>
          <w:spacing w:val="-1"/>
          <w:sz w:val="21"/>
          <w:szCs w:val="21"/>
          <w14:textOutline w14:w="3831" w14:cap="flat" w14:cmpd="sng">
            <w14:solidFill>
              <w14:srgbClr w14:val="000000"/>
            </w14:solidFill>
            <w14:prstDash w14:val="solid"/>
            <w14:miter w14:val="0"/>
          </w14:textOutline>
        </w:rPr>
        <w:t>1.2．招标项目的资金来源和落实情况</w:t>
      </w:r>
      <w:bookmarkEnd w:id="65"/>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sz w:val="21"/>
          <w:szCs w:val="21"/>
        </w:rPr>
        <w:t>1.2.1资金来源及比例：见投标人须知前附表。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8" w:firstLineChars="200"/>
        <w:jc w:val="left"/>
        <w:textAlignment w:val="baseline"/>
      </w:pPr>
      <w:r>
        <w:rPr>
          <w:rFonts w:ascii="宋体" w:hAnsi="宋体" w:eastAsia="宋体" w:cs="宋体"/>
          <w:spacing w:val="-3"/>
          <w:sz w:val="21"/>
          <w:szCs w:val="21"/>
        </w:rPr>
        <w:t>1.2.2资金落实情况：见投标人须知前附表。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outlineLvl w:val="0"/>
      </w:pPr>
      <w:bookmarkStart w:id="66" w:name="_Toc25631"/>
      <w:r>
        <w:rPr>
          <w:rFonts w:ascii="宋体" w:hAnsi="宋体" w:eastAsia="宋体" w:cs="宋体"/>
          <w:sz w:val="21"/>
          <w:szCs w:val="21"/>
          <w14:textOutline w14:w="3831" w14:cap="flat" w14:cmpd="sng">
            <w14:solidFill>
              <w14:srgbClr w14:val="000000"/>
            </w14:solidFill>
            <w14:prstDash w14:val="solid"/>
            <w14:miter w14:val="0"/>
          </w14:textOutline>
        </w:rPr>
        <w:t>1.3．招标范围、计划工期、</w:t>
      </w:r>
      <w:r>
        <w:rPr>
          <w:rFonts w:hint="eastAsia" w:ascii="宋体" w:hAnsi="宋体" w:cs="宋体"/>
          <w:sz w:val="21"/>
          <w:szCs w:val="21"/>
          <w:lang w:eastAsia="zh-CN"/>
          <w14:textOutline w14:w="3831" w14:cap="flat" w14:cmpd="sng">
            <w14:solidFill>
              <w14:srgbClr w14:val="000000"/>
            </w14:solidFill>
            <w14:prstDash w14:val="solid"/>
            <w14:miter w14:val="0"/>
          </w14:textOutline>
        </w:rPr>
        <w:t>质量目标</w:t>
      </w:r>
      <w:r>
        <w:rPr>
          <w:rFonts w:ascii="宋体" w:hAnsi="宋体" w:eastAsia="宋体" w:cs="宋体"/>
          <w:sz w:val="21"/>
          <w:szCs w:val="21"/>
          <w14:textOutline w14:w="3831" w14:cap="flat" w14:cmpd="sng">
            <w14:solidFill>
              <w14:srgbClr w14:val="000000"/>
            </w14:solidFill>
            <w14:prstDash w14:val="solid"/>
            <w14:miter w14:val="0"/>
          </w14:textOutline>
        </w:rPr>
        <w:t>和</w:t>
      </w:r>
      <w:r>
        <w:rPr>
          <w:rFonts w:ascii="宋体" w:hAnsi="宋体" w:eastAsia="宋体" w:cs="宋体"/>
          <w:spacing w:val="-1"/>
          <w:sz w:val="21"/>
          <w:szCs w:val="21"/>
          <w14:textOutline w14:w="3831" w14:cap="flat" w14:cmpd="sng">
            <w14:solidFill>
              <w14:srgbClr w14:val="000000"/>
            </w14:solidFill>
            <w14:prstDash w14:val="solid"/>
            <w14:miter w14:val="0"/>
          </w14:textOutline>
        </w:rPr>
        <w:t>安全目标</w:t>
      </w:r>
      <w:bookmarkEnd w:id="66"/>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8" w:firstLineChars="200"/>
        <w:jc w:val="left"/>
        <w:textAlignment w:val="baseline"/>
        <w:rPr>
          <w:rFonts w:ascii="宋体" w:hAnsi="宋体" w:eastAsia="宋体" w:cs="宋体"/>
          <w:sz w:val="21"/>
          <w:szCs w:val="21"/>
        </w:rPr>
      </w:pPr>
      <w:r>
        <w:rPr>
          <w:rFonts w:ascii="宋体" w:hAnsi="宋体" w:eastAsia="宋体" w:cs="宋体"/>
          <w:spacing w:val="-3"/>
          <w:sz w:val="21"/>
          <w:szCs w:val="21"/>
        </w:rPr>
        <w:t>1.3.1招标范围：见投标人须知前附表。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sz w:val="21"/>
          <w:szCs w:val="21"/>
        </w:rPr>
        <w:t>1.3.2本标段的计划工期：见投标人须知前附表。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sz w:val="21"/>
          <w:szCs w:val="21"/>
        </w:rPr>
        <w:t>1.3.3本标段的</w:t>
      </w:r>
      <w:r>
        <w:rPr>
          <w:rFonts w:hint="eastAsia" w:ascii="宋体" w:hAnsi="宋体" w:cs="宋体"/>
          <w:spacing w:val="-2"/>
          <w:sz w:val="21"/>
          <w:szCs w:val="21"/>
          <w:lang w:eastAsia="zh-CN"/>
        </w:rPr>
        <w:t>质量目标</w:t>
      </w:r>
      <w:r>
        <w:rPr>
          <w:rFonts w:ascii="宋体" w:hAnsi="宋体" w:eastAsia="宋体" w:cs="宋体"/>
          <w:spacing w:val="-2"/>
          <w:sz w:val="21"/>
          <w:szCs w:val="21"/>
        </w:rPr>
        <w:t>：见投标人须知前附表。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pPr>
      <w:r>
        <w:rPr>
          <w:rFonts w:ascii="宋体" w:hAnsi="宋体" w:eastAsia="宋体" w:cs="宋体"/>
          <w:spacing w:val="-1"/>
          <w:sz w:val="21"/>
          <w:szCs w:val="21"/>
        </w:rPr>
        <w:t>1.3.4本标段的安全目标：见投标人须知</w:t>
      </w:r>
      <w:r>
        <w:rPr>
          <w:rFonts w:ascii="宋体" w:hAnsi="宋体" w:eastAsia="宋体" w:cs="宋体"/>
          <w:spacing w:val="-2"/>
          <w:sz w:val="21"/>
          <w:szCs w:val="21"/>
        </w:rPr>
        <w:t>前附表。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outlineLvl w:val="0"/>
      </w:pPr>
      <w:bookmarkStart w:id="67" w:name="_Toc16401"/>
      <w:r>
        <w:rPr>
          <w:rFonts w:ascii="宋体" w:hAnsi="宋体" w:eastAsia="宋体" w:cs="宋体"/>
          <w:spacing w:val="-2"/>
          <w:sz w:val="21"/>
          <w:szCs w:val="21"/>
          <w14:textOutline w14:w="3831" w14:cap="flat" w14:cmpd="sng">
            <w14:solidFill>
              <w14:srgbClr w14:val="000000"/>
            </w14:solidFill>
            <w14:prstDash w14:val="solid"/>
            <w14:miter w14:val="0"/>
          </w14:textOutline>
        </w:rPr>
        <w:t>1.4．投标人资格要求</w:t>
      </w:r>
      <w:bookmarkEnd w:id="67"/>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position w:val="14"/>
          <w:sz w:val="21"/>
          <w:szCs w:val="21"/>
        </w:rPr>
        <w:t>1.4.1投标人应具备承担本标段施工的资质条件、能力和信誉。</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sz w:val="21"/>
          <w:szCs w:val="21"/>
        </w:rPr>
        <w:t>（1）资质要求：见投标人须知前附表；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sz w:val="21"/>
          <w:szCs w:val="21"/>
        </w:rPr>
        <w:t>（</w:t>
      </w:r>
      <w:r>
        <w:rPr>
          <w:rFonts w:hint="eastAsia" w:ascii="宋体" w:hAnsi="宋体" w:cs="宋体"/>
          <w:spacing w:val="-1"/>
          <w:sz w:val="21"/>
          <w:szCs w:val="21"/>
          <w:lang w:val="en-US" w:eastAsia="zh-CN"/>
        </w:rPr>
        <w:t>2</w:t>
      </w:r>
      <w:r>
        <w:rPr>
          <w:rFonts w:ascii="宋体" w:hAnsi="宋体" w:eastAsia="宋体" w:cs="宋体"/>
          <w:spacing w:val="-1"/>
          <w:sz w:val="21"/>
          <w:szCs w:val="21"/>
        </w:rPr>
        <w:t>）业绩要求：见投标人须知前附表；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sz w:val="21"/>
          <w:szCs w:val="21"/>
        </w:rPr>
        <w:t>（</w:t>
      </w:r>
      <w:r>
        <w:rPr>
          <w:rFonts w:hint="eastAsia" w:ascii="宋体" w:hAnsi="宋体" w:cs="宋体"/>
          <w:spacing w:val="-1"/>
          <w:sz w:val="21"/>
          <w:szCs w:val="21"/>
          <w:lang w:val="en-US" w:eastAsia="zh-CN"/>
        </w:rPr>
        <w:t>3</w:t>
      </w:r>
      <w:r>
        <w:rPr>
          <w:rFonts w:ascii="宋体" w:hAnsi="宋体" w:eastAsia="宋体" w:cs="宋体"/>
          <w:spacing w:val="-1"/>
          <w:sz w:val="21"/>
          <w:szCs w:val="21"/>
        </w:rPr>
        <w:t>）信誉要求：见投标人须知前附表；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0" w:firstLineChars="200"/>
        <w:jc w:val="left"/>
        <w:textAlignment w:val="baseline"/>
        <w:rPr>
          <w:rFonts w:ascii="宋体" w:hAnsi="宋体" w:eastAsia="宋体" w:cs="宋体"/>
          <w:sz w:val="21"/>
          <w:szCs w:val="21"/>
        </w:rPr>
      </w:pPr>
      <w:r>
        <w:rPr>
          <w:rFonts w:ascii="宋体" w:hAnsi="宋体" w:eastAsia="宋体" w:cs="宋体"/>
          <w:spacing w:val="-5"/>
          <w:position w:val="15"/>
          <w:sz w:val="21"/>
          <w:szCs w:val="21"/>
        </w:rPr>
        <w:t>（</w:t>
      </w:r>
      <w:r>
        <w:rPr>
          <w:rFonts w:hint="eastAsia" w:ascii="宋体" w:hAnsi="宋体" w:cs="宋体"/>
          <w:spacing w:val="-5"/>
          <w:position w:val="15"/>
          <w:sz w:val="21"/>
          <w:szCs w:val="21"/>
          <w:lang w:val="en-US" w:eastAsia="zh-CN"/>
        </w:rPr>
        <w:t>4</w:t>
      </w:r>
      <w:r>
        <w:rPr>
          <w:rFonts w:ascii="宋体" w:hAnsi="宋体" w:eastAsia="宋体" w:cs="宋体"/>
          <w:spacing w:val="-5"/>
          <w:position w:val="15"/>
          <w:sz w:val="21"/>
          <w:szCs w:val="21"/>
        </w:rPr>
        <w:t>）项目经理和项目总工资格：见投标人须知前附表；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sz w:val="21"/>
          <w:szCs w:val="21"/>
        </w:rPr>
        <w:t>（</w:t>
      </w:r>
      <w:r>
        <w:rPr>
          <w:rFonts w:hint="eastAsia" w:ascii="宋体" w:hAnsi="宋体" w:cs="宋体"/>
          <w:spacing w:val="-1"/>
          <w:sz w:val="21"/>
          <w:szCs w:val="21"/>
          <w:lang w:val="en-US" w:eastAsia="zh-CN"/>
        </w:rPr>
        <w:t>5</w:t>
      </w:r>
      <w:r>
        <w:rPr>
          <w:rFonts w:ascii="宋体" w:hAnsi="宋体" w:eastAsia="宋体" w:cs="宋体"/>
          <w:spacing w:val="-1"/>
          <w:sz w:val="21"/>
          <w:szCs w:val="21"/>
        </w:rPr>
        <w:t>）其他要求：见投标人须知前附表。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8" w:firstLineChars="200"/>
        <w:jc w:val="left"/>
        <w:textAlignment w:val="baseline"/>
        <w:rPr>
          <w:rFonts w:ascii="宋体" w:hAnsi="宋体" w:eastAsia="宋体" w:cs="宋体"/>
          <w:spacing w:val="-3"/>
          <w:sz w:val="21"/>
          <w:szCs w:val="21"/>
        </w:rPr>
      </w:pPr>
      <w:r>
        <w:rPr>
          <w:rFonts w:ascii="宋体" w:hAnsi="宋体" w:eastAsia="宋体" w:cs="宋体"/>
          <w:spacing w:val="-3"/>
          <w:sz w:val="21"/>
          <w:szCs w:val="21"/>
        </w:rPr>
        <w:t>需要提交的相关证明材料见本章第3.5款的规定。</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1.4.2投标人须知前附表规定接受联合体投标的，联合体除应符合本章第1.4.1项和投标人须知前附表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的要求外，还应遵守以下规定：</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（1）联合体各方应按招标文件提供的格式签订联合体协议书，明确联合体牵头人和各方权利义务，并</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承诺就中标项目向招标人承担连带责任；</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（2）由同一专业的单位组成的联合体，按照资质等级较低的单位确定资质等级；</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（3）联合体各方不得再以自己名义单独或参加其他联合体在同一标段中投标；</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（4）联合体各方应分别按照本招标文件的要求，填写投标文件中的相应表格，并由联合体牵头人负责对联合体各成员的资料进行统一汇总后一并提交给招标人；联合体牵头人所提交的投标文件应认为已代表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了联合体各成员的真实情况；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（5）尽管委任了联合体牵头人，但联合体各成员在投标、签订合同与履行合同过程中，仍负有连带的</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和各自的法律责任。</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1.4.3投标人不得与本标段相关单位存在下列关联关系：</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（1）为招标人不具有独立法人资格的附属机构（单位）；</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（2）与招标人存在利害关系且可能影响招标公正性；</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（3）与本标段的其他投标人同为一个单位负责人；</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（4）与本标段的其他投标人存在控股、管理关系；</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（5）为本标段前期准备提供设计或咨询服务的法人或其任何附属机构（单位）；</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（6）为本标段的监理人；</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（7）为本标段的代建人；</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（8）为本标段的招标代理机构；</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（9）与本标段的监理人或代建人或招标代理机构同为一个法定代表人；</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（10）与本标段的监理人或代建人或招标代理机构存在控股或参股关系；</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（11）法律法规或投标人须知前附表规定的其他情形。</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1.4.4投标人不得存在下列不良状况或不良信用记录：</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（1）被省级及以上交通运输主管部门取消招标项目所在地的投标资格且处于有效期内；</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（2）被责令停业，暂扣或吊销执照，或吊销资质证书；</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（3）进入清算程序，或被宣告破产，或其他丧失履约能力的情形；</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（4）在国家企业信用信息公示系统（http://www.gsxt.gov.cn/）中被列入严重违法失信企业名单；</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（5）在“信用中国”网站（http://www.creditchina.gov.cn/）中被列入失信被执行人名单；</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w:t>
      </w:r>
      <w:r>
        <w:rPr>
          <w:rFonts w:hint="eastAsia" w:ascii="宋体" w:hAnsi="宋体" w:eastAsia="宋体" w:cs="宋体"/>
          <w:spacing w:val="-4"/>
          <w:sz w:val="21"/>
          <w:szCs w:val="21"/>
          <w:lang w:val="en-US" w:eastAsia="zh-CN"/>
        </w:rPr>
        <w:t>6</w:t>
      </w:r>
      <w:r>
        <w:rPr>
          <w:rFonts w:hint="eastAsia" w:ascii="宋体" w:hAnsi="宋体" w:eastAsia="宋体" w:cs="宋体"/>
          <w:spacing w:val="-4"/>
          <w:sz w:val="21"/>
          <w:szCs w:val="21"/>
        </w:rPr>
        <w:t>）法律法规或投标人须知前附表规定的其他情形。</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1.4.5投标人应进入交通运输部“全国公路建设市场信用信息管理系统（http：//glxy.mot.gov.cn）”</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中的公路工程施工资质企业名录，且投标人名称和资质与该名录中的相应企业名称和资质完全一致。</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outlineLvl w:val="0"/>
      </w:pPr>
      <w:bookmarkStart w:id="68" w:name="_Toc16119"/>
      <w:r>
        <w:rPr>
          <w:rFonts w:ascii="宋体" w:hAnsi="宋体" w:eastAsia="宋体" w:cs="宋体"/>
          <w:spacing w:val="-2"/>
          <w:sz w:val="21"/>
          <w:szCs w:val="21"/>
          <w14:textOutline w14:w="3831" w14:cap="flat" w14:cmpd="sng">
            <w14:solidFill>
              <w14:srgbClr w14:val="000000"/>
            </w14:solidFill>
            <w14:prstDash w14:val="solid"/>
            <w14:miter w14:val="0"/>
          </w14:textOutline>
        </w:rPr>
        <w:t>1.5．费用承担</w:t>
      </w:r>
      <w:bookmarkEnd w:id="68"/>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pPr>
      <w:r>
        <w:rPr>
          <w:rFonts w:ascii="宋体" w:hAnsi="宋体" w:eastAsia="宋体" w:cs="宋体"/>
          <w:spacing w:val="-2"/>
          <w:sz w:val="21"/>
          <w:szCs w:val="21"/>
        </w:rPr>
        <w:t>投标人准备和参加投标活动发生的费用自理。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8" w:firstLineChars="200"/>
        <w:jc w:val="left"/>
        <w:textAlignment w:val="baseline"/>
        <w:outlineLvl w:val="0"/>
      </w:pPr>
      <w:bookmarkStart w:id="69" w:name="_Toc7813"/>
      <w:r>
        <w:rPr>
          <w:rFonts w:ascii="宋体" w:hAnsi="宋体" w:eastAsia="宋体" w:cs="宋体"/>
          <w:spacing w:val="-3"/>
          <w:sz w:val="21"/>
          <w:szCs w:val="21"/>
          <w14:textOutline w14:w="3831" w14:cap="flat" w14:cmpd="sng">
            <w14:solidFill>
              <w14:srgbClr w14:val="000000"/>
            </w14:solidFill>
            <w14:prstDash w14:val="solid"/>
            <w14:miter w14:val="0"/>
          </w14:textOutline>
        </w:rPr>
        <w:t>1.6．保密</w:t>
      </w:r>
      <w:bookmarkEnd w:id="69"/>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rPr>
          <w:rFonts w:ascii="宋体" w:hAnsi="宋体" w:eastAsia="宋体" w:cs="宋体"/>
          <w:sz w:val="21"/>
          <w:szCs w:val="21"/>
        </w:rPr>
      </w:pPr>
      <w:r>
        <w:rPr>
          <w:rFonts w:ascii="宋体" w:hAnsi="宋体" w:eastAsia="宋体" w:cs="宋体"/>
          <w:position w:val="14"/>
          <w:sz w:val="21"/>
          <w:szCs w:val="21"/>
        </w:rPr>
        <w:t>参与招标投标活动的各方应对招标文件和投标文件中的商业和技术等秘密保密，否则应承</w:t>
      </w:r>
      <w:r>
        <w:rPr>
          <w:rFonts w:ascii="宋体" w:hAnsi="宋体" w:eastAsia="宋体" w:cs="宋体"/>
          <w:spacing w:val="-1"/>
          <w:position w:val="14"/>
          <w:sz w:val="21"/>
          <w:szCs w:val="21"/>
        </w:rPr>
        <w:t>担相应的法</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pPr>
      <w:r>
        <w:rPr>
          <w:rFonts w:ascii="宋体" w:hAnsi="宋体" w:eastAsia="宋体" w:cs="宋体"/>
          <w:spacing w:val="-2"/>
          <w:sz w:val="21"/>
          <w:szCs w:val="21"/>
        </w:rPr>
        <w:t>律责任。</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8" w:firstLineChars="200"/>
        <w:jc w:val="left"/>
        <w:textAlignment w:val="baseline"/>
        <w:outlineLvl w:val="0"/>
      </w:pPr>
      <w:bookmarkStart w:id="70" w:name="_Toc28105"/>
      <w:r>
        <w:rPr>
          <w:rFonts w:ascii="宋体" w:hAnsi="宋体" w:eastAsia="宋体" w:cs="宋体"/>
          <w:spacing w:val="-3"/>
          <w:sz w:val="21"/>
          <w:szCs w:val="21"/>
          <w14:textOutline w14:w="3831" w14:cap="flat" w14:cmpd="sng">
            <w14:solidFill>
              <w14:srgbClr w14:val="000000"/>
            </w14:solidFill>
            <w14:prstDash w14:val="solid"/>
            <w14:miter w14:val="0"/>
          </w14:textOutline>
        </w:rPr>
        <w:t>1.7．语言文字</w:t>
      </w:r>
      <w:bookmarkEnd w:id="70"/>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8" w:firstLineChars="200"/>
        <w:jc w:val="left"/>
        <w:textAlignment w:val="baseline"/>
      </w:pPr>
      <w:r>
        <w:rPr>
          <w:rFonts w:ascii="宋体" w:hAnsi="宋体" w:eastAsia="宋体" w:cs="宋体"/>
          <w:spacing w:val="-3"/>
          <w:sz w:val="21"/>
          <w:szCs w:val="21"/>
        </w:rPr>
        <w:t>招标投标文件使用的语言文字为中文。专用术语使用外文的，应附有中文注释。</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outlineLvl w:val="0"/>
      </w:pPr>
      <w:bookmarkStart w:id="71" w:name="_Toc28197"/>
      <w:r>
        <w:rPr>
          <w:rFonts w:ascii="宋体" w:hAnsi="宋体" w:eastAsia="宋体" w:cs="宋体"/>
          <w:spacing w:val="-2"/>
          <w:sz w:val="21"/>
          <w:szCs w:val="21"/>
          <w14:textOutline w14:w="3831" w14:cap="flat" w14:cmpd="sng">
            <w14:solidFill>
              <w14:srgbClr w14:val="000000"/>
            </w14:solidFill>
            <w14:prstDash w14:val="solid"/>
            <w14:miter w14:val="0"/>
          </w14:textOutline>
        </w:rPr>
        <w:t>1.8．计量单位</w:t>
      </w:r>
      <w:bookmarkEnd w:id="71"/>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sz w:val="21"/>
          <w:szCs w:val="21"/>
        </w:rPr>
        <w:t>所有计量均采用中华人民共和国法定计量单位。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16" w:firstLineChars="200"/>
        <w:jc w:val="left"/>
        <w:textAlignment w:val="baseline"/>
        <w:outlineLvl w:val="0"/>
      </w:pPr>
      <w:bookmarkStart w:id="72" w:name="_Toc15047"/>
      <w:r>
        <w:rPr>
          <w:rFonts w:ascii="宋体" w:hAnsi="宋体" w:eastAsia="宋体" w:cs="宋体"/>
          <w:spacing w:val="-1"/>
          <w:sz w:val="21"/>
          <w:szCs w:val="21"/>
          <w14:textOutline w14:w="3831" w14:cap="flat" w14:cmpd="sng">
            <w14:solidFill>
              <w14:srgbClr w14:val="000000"/>
            </w14:solidFill>
            <w14:prstDash w14:val="solid"/>
            <w14:miter w14:val="0"/>
          </w14:textOutline>
        </w:rPr>
        <w:t>1.9．踏勘现场（不组织）</w:t>
      </w:r>
      <w:bookmarkEnd w:id="72"/>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position w:val="14"/>
          <w:sz w:val="21"/>
          <w:szCs w:val="21"/>
        </w:rPr>
        <w:t>1.9.1招标文件规定组织踏勘现场的，招标人按规定的时间、地点组织投标人踏勘项目现场。</w:t>
      </w:r>
      <w:r>
        <w:rPr>
          <w:rFonts w:ascii="宋体" w:hAnsi="宋体" w:eastAsia="宋体" w:cs="宋体"/>
          <w:spacing w:val="-3"/>
          <w:position w:val="14"/>
          <w:sz w:val="21"/>
          <w:szCs w:val="21"/>
        </w:rPr>
        <w:t>部分投标</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sz w:val="21"/>
          <w:szCs w:val="21"/>
        </w:rPr>
        <w:t>人未按时参加踏勘现场的，不影响踏勘现场的正常进行。招标人不得组织单个或部分投标人</w:t>
      </w:r>
      <w:r>
        <w:rPr>
          <w:rFonts w:ascii="宋体" w:hAnsi="宋体" w:eastAsia="宋体" w:cs="宋体"/>
          <w:spacing w:val="-2"/>
          <w:sz w:val="21"/>
          <w:szCs w:val="21"/>
        </w:rPr>
        <w:t>踏勘项目现场。</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8" w:firstLineChars="200"/>
        <w:jc w:val="left"/>
        <w:textAlignment w:val="baseline"/>
        <w:rPr>
          <w:rFonts w:ascii="宋体" w:hAnsi="宋体" w:eastAsia="宋体" w:cs="宋体"/>
          <w:sz w:val="21"/>
          <w:szCs w:val="21"/>
        </w:rPr>
      </w:pPr>
      <w:r>
        <w:rPr>
          <w:rFonts w:ascii="宋体" w:hAnsi="宋体" w:eastAsia="宋体" w:cs="宋体"/>
          <w:spacing w:val="-3"/>
          <w:sz w:val="21"/>
          <w:szCs w:val="21"/>
        </w:rPr>
        <w:t>1.9.2投标人踏勘现场发生的费用自理。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sz w:val="21"/>
          <w:szCs w:val="21"/>
        </w:rPr>
        <w:t>1.9.3除招标人的原因外，投标人自行负责在踏勘现场中所发生的人员伤亡和财产损失。</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rPr>
          <w:rFonts w:ascii="宋体" w:hAnsi="宋体" w:eastAsia="宋体" w:cs="宋体"/>
          <w:sz w:val="21"/>
          <w:szCs w:val="21"/>
        </w:rPr>
      </w:pPr>
      <w:r>
        <w:rPr>
          <w:rFonts w:ascii="宋体" w:hAnsi="宋体" w:eastAsia="宋体" w:cs="宋体"/>
          <w:position w:val="14"/>
          <w:sz w:val="21"/>
          <w:szCs w:val="21"/>
        </w:rPr>
        <w:t>1.9.4招标人在踏勘现场中介绍的工程场地</w:t>
      </w:r>
      <w:r>
        <w:rPr>
          <w:rFonts w:ascii="宋体" w:hAnsi="宋体" w:eastAsia="宋体" w:cs="宋体"/>
          <w:spacing w:val="-1"/>
          <w:position w:val="14"/>
          <w:sz w:val="21"/>
          <w:szCs w:val="21"/>
        </w:rPr>
        <w:t>和相关的周边环境情况，供投标人在编制投标文件时参考，</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sz w:val="21"/>
          <w:szCs w:val="21"/>
        </w:rPr>
        <w:t>招标人不对投标人据此作出的判断和决策负责。</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73" w:firstLine="404" w:firstLineChars="200"/>
        <w:jc w:val="left"/>
        <w:textAlignment w:val="baseline"/>
      </w:pPr>
      <w:r>
        <w:rPr>
          <w:rFonts w:ascii="宋体" w:hAnsi="宋体" w:eastAsia="宋体" w:cs="宋体"/>
          <w:spacing w:val="-4"/>
          <w:sz w:val="21"/>
          <w:szCs w:val="21"/>
        </w:rPr>
        <w:t>1.9.5招标人提供的本合同工程的水文、地质、气象和料场分布、取土场、弃土场位置等参考资料，并</w:t>
      </w:r>
      <w:r>
        <w:rPr>
          <w:rFonts w:ascii="宋体" w:hAnsi="宋体" w:eastAsia="宋体" w:cs="宋体"/>
          <w:sz w:val="21"/>
          <w:szCs w:val="21"/>
        </w:rPr>
        <w:t>不构成合同文件的组成部分，投标人应对自己就上述资料的解释、推论和应用负责，招标人不对</w:t>
      </w:r>
      <w:r>
        <w:rPr>
          <w:rFonts w:ascii="宋体" w:hAnsi="宋体" w:eastAsia="宋体" w:cs="宋体"/>
          <w:spacing w:val="-1"/>
          <w:sz w:val="21"/>
          <w:szCs w:val="21"/>
        </w:rPr>
        <w:t>投标人据</w:t>
      </w:r>
      <w:r>
        <w:rPr>
          <w:rFonts w:ascii="宋体" w:hAnsi="宋体" w:eastAsia="宋体" w:cs="宋体"/>
          <w:spacing w:val="-2"/>
          <w:sz w:val="21"/>
          <w:szCs w:val="21"/>
        </w:rPr>
        <w:t>此做出的判断和决策承担任何责任。</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outlineLvl w:val="0"/>
      </w:pPr>
      <w:bookmarkStart w:id="73" w:name="_Toc25388"/>
      <w:r>
        <w:rPr>
          <w:rFonts w:ascii="宋体" w:hAnsi="宋体" w:eastAsia="宋体" w:cs="宋体"/>
          <w:spacing w:val="-1"/>
          <w:sz w:val="21"/>
          <w:szCs w:val="21"/>
          <w14:textOutline w14:w="3831" w14:cap="flat" w14:cmpd="sng">
            <w14:solidFill>
              <w14:srgbClr w14:val="000000"/>
            </w14:solidFill>
            <w14:prstDash w14:val="solid"/>
            <w14:miter w14:val="0"/>
          </w14:textOutline>
        </w:rPr>
        <w:t>1.10．投标预备会（不召开）</w:t>
      </w:r>
      <w:bookmarkEnd w:id="73"/>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position w:val="15"/>
          <w:sz w:val="21"/>
          <w:szCs w:val="21"/>
        </w:rPr>
        <w:t>1.10.1招标文件规定召开投标预备会的，招标人按规定的</w:t>
      </w:r>
      <w:r>
        <w:rPr>
          <w:rFonts w:ascii="宋体" w:hAnsi="宋体" w:eastAsia="宋体" w:cs="宋体"/>
          <w:spacing w:val="-3"/>
          <w:position w:val="15"/>
          <w:sz w:val="21"/>
          <w:szCs w:val="21"/>
        </w:rPr>
        <w:t>时间和地点召开投标预备会，澄清投标人提</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388" w:firstLineChars="200"/>
        <w:jc w:val="left"/>
        <w:textAlignment w:val="baseline"/>
        <w:rPr>
          <w:rFonts w:ascii="宋体" w:hAnsi="宋体" w:eastAsia="宋体" w:cs="宋体"/>
          <w:sz w:val="21"/>
          <w:szCs w:val="21"/>
        </w:rPr>
      </w:pPr>
      <w:r>
        <w:rPr>
          <w:rFonts w:ascii="宋体" w:hAnsi="宋体" w:eastAsia="宋体" w:cs="宋体"/>
          <w:spacing w:val="-8"/>
          <w:sz w:val="21"/>
          <w:szCs w:val="21"/>
        </w:rPr>
        <w:t>出的问题。</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8" w:firstLineChars="200"/>
        <w:jc w:val="left"/>
        <w:textAlignment w:val="baseline"/>
        <w:rPr>
          <w:rFonts w:ascii="宋体" w:hAnsi="宋体" w:eastAsia="宋体" w:cs="宋体"/>
          <w:sz w:val="21"/>
          <w:szCs w:val="21"/>
        </w:rPr>
      </w:pPr>
      <w:r>
        <w:rPr>
          <w:rFonts w:ascii="宋体" w:hAnsi="宋体" w:eastAsia="宋体" w:cs="宋体"/>
          <w:spacing w:val="-3"/>
          <w:position w:val="15"/>
          <w:sz w:val="21"/>
          <w:szCs w:val="21"/>
        </w:rPr>
        <w:t>1.10.2投标人应按投标人须知前附表规定的时间和形式将提出的问题送达招标人，以便招标人在会议</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0" w:firstLineChars="200"/>
        <w:jc w:val="left"/>
        <w:textAlignment w:val="baseline"/>
        <w:rPr>
          <w:rFonts w:ascii="宋体" w:hAnsi="宋体" w:eastAsia="宋体" w:cs="宋体"/>
          <w:sz w:val="21"/>
          <w:szCs w:val="21"/>
        </w:rPr>
      </w:pPr>
      <w:r>
        <w:rPr>
          <w:rFonts w:ascii="宋体" w:hAnsi="宋体" w:eastAsia="宋体" w:cs="宋体"/>
          <w:spacing w:val="-5"/>
          <w:sz w:val="21"/>
          <w:szCs w:val="21"/>
        </w:rPr>
        <w:t>期间澄清。</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position w:val="15"/>
          <w:sz w:val="21"/>
          <w:szCs w:val="21"/>
        </w:rPr>
        <w:t>1.10.3投标预备会后，招标人将对投标人所提问题的澄清，以本章第2.2款规定的形</w:t>
      </w:r>
      <w:r>
        <w:rPr>
          <w:rFonts w:ascii="宋体" w:hAnsi="宋体" w:eastAsia="宋体" w:cs="宋体"/>
          <w:spacing w:val="-2"/>
          <w:position w:val="15"/>
          <w:sz w:val="21"/>
          <w:szCs w:val="21"/>
        </w:rPr>
        <w:t>式通知所有获取</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sz w:val="21"/>
          <w:szCs w:val="21"/>
        </w:rPr>
        <w:t>招标文件的投标人。该澄清内容为招标文件的组成部分。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outlineLvl w:val="0"/>
      </w:pPr>
      <w:bookmarkStart w:id="74" w:name="_Toc6349"/>
      <w:r>
        <w:rPr>
          <w:rFonts w:ascii="宋体" w:hAnsi="宋体" w:eastAsia="宋体" w:cs="宋体"/>
          <w:spacing w:val="-2"/>
          <w:sz w:val="21"/>
          <w:szCs w:val="21"/>
          <w14:textOutline w14:w="3831" w14:cap="flat" w14:cmpd="sng">
            <w14:solidFill>
              <w14:srgbClr w14:val="000000"/>
            </w14:solidFill>
            <w14:prstDash w14:val="solid"/>
            <w14:miter w14:val="0"/>
          </w14:textOutline>
        </w:rPr>
        <w:t>1.11．分包</w:t>
      </w:r>
      <w:bookmarkEnd w:id="74"/>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sz w:val="21"/>
          <w:szCs w:val="21"/>
        </w:rPr>
        <w:t>1.11.1投标人拟在中标后将中标项目的部分非主体、非关键性工作进行分包的，应符合以下规定：</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45" w:firstLine="412" w:firstLineChars="200"/>
        <w:jc w:val="left"/>
        <w:textAlignment w:val="baseline"/>
        <w:rPr>
          <w:rFonts w:ascii="宋体" w:hAnsi="宋体" w:eastAsia="宋体" w:cs="宋体"/>
          <w:sz w:val="21"/>
          <w:szCs w:val="21"/>
        </w:rPr>
      </w:pPr>
      <w:r>
        <w:rPr>
          <w:rFonts w:ascii="宋体" w:hAnsi="宋体" w:eastAsia="宋体" w:cs="宋体"/>
          <w:spacing w:val="-2"/>
          <w:position w:val="14"/>
          <w:sz w:val="21"/>
          <w:szCs w:val="21"/>
        </w:rPr>
        <w:t>（1）分包内容要求：允许分包的工程范围仅限于非关键性工程或适合</w:t>
      </w:r>
      <w:r>
        <w:rPr>
          <w:rFonts w:ascii="宋体" w:hAnsi="宋体" w:eastAsia="宋体" w:cs="宋体"/>
          <w:spacing w:val="-3"/>
          <w:position w:val="14"/>
          <w:sz w:val="21"/>
          <w:szCs w:val="21"/>
        </w:rPr>
        <w:t>专业化队伍施工的专项工程。招</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rPr>
          <w:rFonts w:ascii="宋体" w:hAnsi="宋体" w:eastAsia="宋体" w:cs="宋体"/>
          <w:sz w:val="21"/>
          <w:szCs w:val="21"/>
        </w:rPr>
      </w:pPr>
      <w:r>
        <w:rPr>
          <w:rFonts w:ascii="宋体" w:hAnsi="宋体" w:eastAsia="宋体" w:cs="宋体"/>
          <w:sz w:val="21"/>
          <w:szCs w:val="21"/>
        </w:rPr>
        <w:t>标人允许分包或不允许分包的专项工程（如有）应在投标人须知前附表</w:t>
      </w:r>
      <w:r>
        <w:rPr>
          <w:rFonts w:ascii="宋体" w:hAnsi="宋体" w:eastAsia="宋体" w:cs="宋体"/>
          <w:spacing w:val="-1"/>
          <w:sz w:val="21"/>
          <w:szCs w:val="21"/>
        </w:rPr>
        <w:t>中载明。</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51" w:firstLine="412" w:firstLineChars="200"/>
        <w:jc w:val="left"/>
        <w:textAlignment w:val="baseline"/>
        <w:rPr>
          <w:rFonts w:ascii="宋体" w:hAnsi="宋体" w:eastAsia="宋体" w:cs="宋体"/>
          <w:sz w:val="21"/>
          <w:szCs w:val="21"/>
        </w:rPr>
      </w:pPr>
      <w:r>
        <w:rPr>
          <w:rFonts w:ascii="宋体" w:hAnsi="宋体" w:eastAsia="宋体" w:cs="宋体"/>
          <w:spacing w:val="-2"/>
          <w:position w:val="14"/>
          <w:sz w:val="21"/>
          <w:szCs w:val="21"/>
        </w:rPr>
        <w:t>（2）接收分包的第三人资格要求：分包人的资格能力应与其分包工程的标</w:t>
      </w:r>
      <w:r>
        <w:rPr>
          <w:rFonts w:ascii="宋体" w:hAnsi="宋体" w:eastAsia="宋体" w:cs="宋体"/>
          <w:spacing w:val="-3"/>
          <w:position w:val="14"/>
          <w:sz w:val="21"/>
          <w:szCs w:val="21"/>
        </w:rPr>
        <w:t>准和规模相适应，且具备投</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sz w:val="21"/>
          <w:szCs w:val="21"/>
        </w:rPr>
        <w:t>标人须知前附表中规定的资格条件。</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392" w:firstLineChars="200"/>
        <w:jc w:val="left"/>
        <w:textAlignment w:val="baseline"/>
        <w:rPr>
          <w:rFonts w:ascii="宋体" w:hAnsi="宋体" w:eastAsia="宋体" w:cs="宋体"/>
          <w:sz w:val="21"/>
          <w:szCs w:val="21"/>
        </w:rPr>
      </w:pPr>
      <w:r>
        <w:rPr>
          <w:rFonts w:ascii="宋体" w:hAnsi="宋体" w:eastAsia="宋体" w:cs="宋体"/>
          <w:spacing w:val="-7"/>
          <w:position w:val="15"/>
          <w:sz w:val="21"/>
          <w:szCs w:val="21"/>
        </w:rPr>
        <w:t>（3）其他要求：投标人如有分包计划，应按第九</w:t>
      </w:r>
      <w:r>
        <w:rPr>
          <w:rFonts w:ascii="宋体" w:hAnsi="宋体" w:eastAsia="宋体" w:cs="宋体"/>
          <w:spacing w:val="-8"/>
          <w:position w:val="15"/>
          <w:sz w:val="21"/>
          <w:szCs w:val="21"/>
        </w:rPr>
        <w:t>章“投标文件格式”的要求填写“拟分包项目情况表”，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sz w:val="21"/>
          <w:szCs w:val="21"/>
        </w:rPr>
        <w:t>明确拟分包的工程及规模，且投标人中标后的分包应满足合同条款第4.3款的相关要求。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8" w:firstLineChars="200"/>
        <w:jc w:val="left"/>
        <w:textAlignment w:val="baseline"/>
        <w:rPr>
          <w:rFonts w:ascii="宋体" w:hAnsi="宋体" w:eastAsia="宋体" w:cs="宋体"/>
          <w:sz w:val="21"/>
          <w:szCs w:val="21"/>
        </w:rPr>
      </w:pPr>
      <w:r>
        <w:rPr>
          <w:rFonts w:ascii="宋体" w:hAnsi="宋体" w:eastAsia="宋体" w:cs="宋体"/>
          <w:spacing w:val="-3"/>
          <w:position w:val="14"/>
          <w:sz w:val="21"/>
          <w:szCs w:val="21"/>
        </w:rPr>
        <w:t>1.11.2中标人不得向他人转让中标项目，接受分包的人不得再次分包。中标人应就分包项目向招标人</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pPr>
      <w:r>
        <w:rPr>
          <w:rFonts w:ascii="宋体" w:hAnsi="宋体" w:eastAsia="宋体" w:cs="宋体"/>
          <w:spacing w:val="-2"/>
          <w:sz w:val="21"/>
          <w:szCs w:val="21"/>
        </w:rPr>
        <w:t>负责，接受分包的人就分包项目承担连带责任。</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outlineLvl w:val="0"/>
      </w:pPr>
      <w:bookmarkStart w:id="75" w:name="_Toc7787"/>
      <w:r>
        <w:rPr>
          <w:rFonts w:ascii="宋体" w:hAnsi="宋体" w:eastAsia="宋体" w:cs="宋体"/>
          <w:spacing w:val="-2"/>
          <w:sz w:val="21"/>
          <w:szCs w:val="21"/>
          <w14:textOutline w14:w="3831" w14:cap="flat" w14:cmpd="sng">
            <w14:solidFill>
              <w14:srgbClr w14:val="000000"/>
            </w14:solidFill>
            <w14:prstDash w14:val="solid"/>
            <w14:miter w14:val="0"/>
          </w14:textOutline>
        </w:rPr>
        <w:t>1.12．响应和偏差</w:t>
      </w:r>
      <w:bookmarkEnd w:id="75"/>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sz w:val="21"/>
          <w:szCs w:val="21"/>
        </w:rPr>
        <w:t>1.12.1投标文件偏离招标文件某些要求，视为投</w:t>
      </w:r>
      <w:r>
        <w:rPr>
          <w:rFonts w:ascii="宋体" w:hAnsi="宋体" w:eastAsia="宋体" w:cs="宋体"/>
          <w:spacing w:val="-3"/>
          <w:sz w:val="21"/>
          <w:szCs w:val="21"/>
        </w:rPr>
        <w:t>标文件存在偏差。偏差包括重大偏差和细微偏差。</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8" w:firstLineChars="200"/>
        <w:jc w:val="left"/>
        <w:textAlignment w:val="baseline"/>
        <w:rPr>
          <w:rFonts w:ascii="宋体" w:hAnsi="宋体" w:eastAsia="宋体" w:cs="宋体"/>
          <w:sz w:val="21"/>
          <w:szCs w:val="21"/>
        </w:rPr>
      </w:pPr>
      <w:r>
        <w:rPr>
          <w:rFonts w:ascii="宋体" w:hAnsi="宋体" w:eastAsia="宋体" w:cs="宋体"/>
          <w:spacing w:val="-3"/>
          <w:position w:val="14"/>
          <w:sz w:val="21"/>
          <w:szCs w:val="21"/>
        </w:rPr>
        <w:t>1.12.2投标文件应对招标文件的实质性要求和条件做出满足性或更有利于招标人的响应，否则，视为</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0" w:firstLineChars="200"/>
        <w:jc w:val="left"/>
        <w:textAlignment w:val="baseline"/>
        <w:rPr>
          <w:rFonts w:ascii="宋体" w:hAnsi="宋体" w:eastAsia="宋体" w:cs="宋体"/>
          <w:sz w:val="21"/>
          <w:szCs w:val="21"/>
        </w:rPr>
      </w:pPr>
      <w:r>
        <w:rPr>
          <w:rFonts w:ascii="宋体" w:hAnsi="宋体" w:eastAsia="宋体" w:cs="宋体"/>
          <w:spacing w:val="-5"/>
          <w:sz w:val="21"/>
          <w:szCs w:val="21"/>
        </w:rPr>
        <w:t>投标文件存在重大偏差，投标人的投标将被否决。</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position w:val="15"/>
          <w:sz w:val="21"/>
          <w:szCs w:val="21"/>
        </w:rPr>
        <w:t>投标文件存在第三章“评标办法”中所列任一否决投标情形的，均属于存在重大偏差。</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sz w:val="21"/>
          <w:szCs w:val="21"/>
        </w:rPr>
        <w:t>1.12.3投标文件中的下列偏差为细微偏差：</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53" w:firstLine="420" w:firstLineChars="200"/>
        <w:jc w:val="left"/>
        <w:textAlignment w:val="baseline"/>
        <w:rPr>
          <w:rFonts w:ascii="宋体" w:hAnsi="宋体" w:eastAsia="宋体" w:cs="宋体"/>
          <w:sz w:val="21"/>
          <w:szCs w:val="21"/>
        </w:rPr>
      </w:pPr>
      <w:r>
        <w:rPr>
          <w:rFonts w:ascii="宋体" w:hAnsi="宋体" w:eastAsia="宋体" w:cs="宋体"/>
          <w:sz w:val="21"/>
          <w:szCs w:val="21"/>
        </w:rPr>
        <w:t>（1）在按照第三章“评标办法”的规定对</w:t>
      </w:r>
      <w:r>
        <w:rPr>
          <w:rFonts w:ascii="宋体" w:hAnsi="宋体" w:eastAsia="宋体" w:cs="宋体"/>
          <w:spacing w:val="-1"/>
          <w:sz w:val="21"/>
          <w:szCs w:val="21"/>
        </w:rPr>
        <w:t>投标价进行算术性错误修正及其他错误修正后，最终投标报</w:t>
      </w:r>
      <w:r>
        <w:rPr>
          <w:rFonts w:ascii="宋体" w:hAnsi="宋体" w:eastAsia="宋体" w:cs="宋体"/>
          <w:sz w:val="21"/>
          <w:szCs w:val="21"/>
        </w:rPr>
        <w:t>价未超过最高投标限价（如有）的情况下，出现第三章“评标办法”规定的算术性错误和投标报价的其他</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368" w:firstLineChars="200"/>
        <w:jc w:val="left"/>
        <w:textAlignment w:val="baseline"/>
        <w:rPr>
          <w:rFonts w:ascii="宋体" w:hAnsi="宋体" w:eastAsia="宋体" w:cs="宋体"/>
          <w:sz w:val="21"/>
          <w:szCs w:val="21"/>
        </w:rPr>
      </w:pPr>
      <w:r>
        <w:rPr>
          <w:rFonts w:ascii="宋体" w:hAnsi="宋体" w:eastAsia="宋体" w:cs="宋体"/>
          <w:spacing w:val="-13"/>
          <w:sz w:val="21"/>
          <w:szCs w:val="21"/>
        </w:rPr>
        <w:t>错误；</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sz w:val="21"/>
          <w:szCs w:val="21"/>
        </w:rPr>
        <w:t>（2）施工组织设计（含关键工程技术方案）和项目管理机</w:t>
      </w:r>
      <w:r>
        <w:rPr>
          <w:rFonts w:ascii="宋体" w:hAnsi="宋体" w:eastAsia="宋体" w:cs="宋体"/>
          <w:spacing w:val="-2"/>
          <w:sz w:val="21"/>
          <w:szCs w:val="21"/>
        </w:rPr>
        <w:t>构不够完善；</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position w:val="14"/>
          <w:sz w:val="21"/>
          <w:szCs w:val="21"/>
        </w:rPr>
        <w:t>（3）投标文件页码不连续、个别文字有遗漏错误等不影响投标文件实质性内容的偏差。</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sz w:val="21"/>
          <w:szCs w:val="21"/>
        </w:rPr>
        <w:t>1.12.4评标委员会对投标文件中的细微偏差按如下规定处理：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55" w:firstLine="416" w:firstLineChars="200"/>
        <w:jc w:val="left"/>
        <w:textAlignment w:val="baseline"/>
        <w:rPr>
          <w:rFonts w:ascii="宋体" w:hAnsi="宋体" w:eastAsia="宋体" w:cs="宋体"/>
          <w:sz w:val="21"/>
          <w:szCs w:val="21"/>
        </w:rPr>
      </w:pPr>
      <w:r>
        <w:rPr>
          <w:rFonts w:ascii="宋体" w:hAnsi="宋体" w:eastAsia="宋体" w:cs="宋体"/>
          <w:spacing w:val="-1"/>
          <w:position w:val="15"/>
          <w:sz w:val="21"/>
          <w:szCs w:val="21"/>
        </w:rPr>
        <w:t>（1）对于本章第1.12.3项（1）目所述的细微偏差，按照第三</w:t>
      </w:r>
      <w:r>
        <w:rPr>
          <w:rFonts w:ascii="宋体" w:hAnsi="宋体" w:eastAsia="宋体" w:cs="宋体"/>
          <w:spacing w:val="-2"/>
          <w:position w:val="15"/>
          <w:sz w:val="21"/>
          <w:szCs w:val="21"/>
        </w:rPr>
        <w:t>章“评标办法”的规定予以修正并要求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sz w:val="21"/>
          <w:szCs w:val="21"/>
        </w:rPr>
        <w:t>投标人进行澄清；</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55" w:firstLine="412" w:firstLineChars="200"/>
        <w:jc w:val="left"/>
        <w:textAlignment w:val="baseline"/>
        <w:rPr>
          <w:rFonts w:ascii="宋体" w:hAnsi="宋体" w:eastAsia="宋体" w:cs="宋体"/>
          <w:sz w:val="21"/>
          <w:szCs w:val="21"/>
        </w:rPr>
      </w:pPr>
      <w:r>
        <w:rPr>
          <w:rFonts w:ascii="宋体" w:hAnsi="宋体" w:eastAsia="宋体" w:cs="宋体"/>
          <w:spacing w:val="-2"/>
          <w:sz w:val="21"/>
          <w:szCs w:val="21"/>
        </w:rPr>
        <w:t>（2）对于本章第1.12.3项（2）目所述的细微偏差，如果采用合</w:t>
      </w:r>
      <w:r>
        <w:rPr>
          <w:rFonts w:ascii="宋体" w:hAnsi="宋体" w:eastAsia="宋体" w:cs="宋体"/>
          <w:spacing w:val="-3"/>
          <w:sz w:val="21"/>
          <w:szCs w:val="21"/>
        </w:rPr>
        <w:t>理低价法或经评审的最低投标价法评</w:t>
      </w:r>
      <w:r>
        <w:rPr>
          <w:rFonts w:ascii="宋体" w:hAnsi="宋体" w:eastAsia="宋体" w:cs="宋体"/>
          <w:spacing w:val="-2"/>
          <w:sz w:val="21"/>
          <w:szCs w:val="21"/>
        </w:rPr>
        <w:t>标，应要求投标人对细微偏差进行澄清，只有投标人的澄清文件被评标委员</w:t>
      </w:r>
      <w:r>
        <w:rPr>
          <w:rFonts w:ascii="宋体" w:hAnsi="宋体" w:eastAsia="宋体" w:cs="宋体"/>
          <w:spacing w:val="-3"/>
          <w:sz w:val="21"/>
          <w:szCs w:val="21"/>
        </w:rPr>
        <w:t>会接受，投标人才能参加评标</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sz w:val="21"/>
          <w:szCs w:val="21"/>
        </w:rPr>
        <w:t>价的最终评比。如果采用技术评分最低标价法或综合评分法评</w:t>
      </w:r>
      <w:r>
        <w:rPr>
          <w:rFonts w:ascii="宋体" w:hAnsi="宋体" w:eastAsia="宋体" w:cs="宋体"/>
          <w:spacing w:val="-3"/>
          <w:sz w:val="21"/>
          <w:szCs w:val="21"/>
        </w:rPr>
        <w:t>标，可在相关评分因素的评分中酌情扣分；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position w:val="15"/>
          <w:sz w:val="21"/>
          <w:szCs w:val="21"/>
        </w:rPr>
        <w:t>（3）对于本章第1.12.3项（3）目所述的细微偏差，可要求投标人对细</w:t>
      </w:r>
      <w:r>
        <w:rPr>
          <w:rFonts w:ascii="宋体" w:hAnsi="宋体" w:eastAsia="宋体" w:cs="宋体"/>
          <w:spacing w:val="-2"/>
          <w:position w:val="15"/>
          <w:sz w:val="21"/>
          <w:szCs w:val="21"/>
        </w:rPr>
        <w:t>微偏差进行澄清。</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pacing w:val="-2"/>
          <w:sz w:val="21"/>
          <w:szCs w:val="21"/>
        </w:rPr>
      </w:pPr>
      <w:r>
        <w:rPr>
          <w:rFonts w:ascii="宋体" w:hAnsi="宋体" w:eastAsia="宋体" w:cs="宋体"/>
          <w:spacing w:val="-1"/>
          <w:sz w:val="21"/>
          <w:szCs w:val="21"/>
        </w:rPr>
        <w:t>1.12.5投标人应根据招标文件的要求提供施工组织设计等内容以对招标</w:t>
      </w:r>
      <w:r>
        <w:rPr>
          <w:rFonts w:ascii="宋体" w:hAnsi="宋体" w:eastAsia="宋体" w:cs="宋体"/>
          <w:spacing w:val="-2"/>
          <w:sz w:val="21"/>
          <w:szCs w:val="21"/>
        </w:rPr>
        <w:t>文件做出响应。</w:t>
      </w:r>
      <w:bookmarkStart w:id="76" w:name="bookmark11"/>
      <w:bookmarkEnd w:id="76"/>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pPr>
      <w:r>
        <w:rPr>
          <w:rFonts w:ascii="宋体" w:hAnsi="宋体" w:eastAsia="宋体" w:cs="宋体"/>
          <w:spacing w:val="-1"/>
          <w:sz w:val="21"/>
          <w:szCs w:val="21"/>
          <w14:textOutline w14:w="3831" w14:cap="flat" w14:cmpd="sng">
            <w14:solidFill>
              <w14:srgbClr w14:val="000000"/>
            </w14:solidFill>
            <w14:prstDash w14:val="solid"/>
            <w14:miter w14:val="0"/>
          </w14:textOutline>
        </w:rPr>
        <w:t>2．招标文件</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outlineLvl w:val="0"/>
      </w:pPr>
      <w:bookmarkStart w:id="77" w:name="_Toc16705"/>
      <w:r>
        <w:rPr>
          <w:rFonts w:ascii="宋体" w:hAnsi="宋体" w:eastAsia="宋体" w:cs="宋体"/>
          <w:sz w:val="21"/>
          <w:szCs w:val="21"/>
          <w14:textOutline w14:w="3831" w14:cap="flat" w14:cmpd="sng">
            <w14:solidFill>
              <w14:srgbClr w14:val="000000"/>
            </w14:solidFill>
            <w14:prstDash w14:val="solid"/>
            <w14:miter w14:val="0"/>
          </w14:textOutline>
        </w:rPr>
        <w:t>2.1．招标文件的组成</w:t>
      </w:r>
      <w:bookmarkEnd w:id="77"/>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sz w:val="21"/>
          <w:szCs w:val="21"/>
        </w:rPr>
        <w:t>本招标文件包括：</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sz w:val="21"/>
          <w:szCs w:val="21"/>
        </w:rPr>
        <w:t>（1）招标公告；</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sz w:val="21"/>
          <w:szCs w:val="21"/>
        </w:rPr>
        <w:t>（2）投标人须知；</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sz w:val="21"/>
          <w:szCs w:val="21"/>
        </w:rPr>
        <w:t>（3）评标办法；</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0" w:firstLineChars="200"/>
        <w:jc w:val="left"/>
        <w:textAlignment w:val="baseline"/>
        <w:rPr>
          <w:rFonts w:ascii="宋体" w:hAnsi="宋体" w:eastAsia="宋体" w:cs="宋体"/>
          <w:sz w:val="21"/>
          <w:szCs w:val="21"/>
        </w:rPr>
      </w:pPr>
      <w:r>
        <w:rPr>
          <w:rFonts w:ascii="宋体" w:hAnsi="宋体" w:eastAsia="宋体" w:cs="宋体"/>
          <w:spacing w:val="-5"/>
          <w:position w:val="14"/>
          <w:sz w:val="21"/>
          <w:szCs w:val="21"/>
        </w:rPr>
        <w:t>（4）合同条款及格式；</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0" w:firstLineChars="200"/>
        <w:jc w:val="left"/>
        <w:textAlignment w:val="baseline"/>
        <w:rPr>
          <w:rFonts w:ascii="宋体" w:hAnsi="宋体" w:eastAsia="宋体" w:cs="宋体"/>
          <w:sz w:val="21"/>
          <w:szCs w:val="21"/>
        </w:rPr>
      </w:pPr>
      <w:r>
        <w:rPr>
          <w:rFonts w:ascii="宋体" w:hAnsi="宋体" w:eastAsia="宋体" w:cs="宋体"/>
          <w:spacing w:val="-5"/>
          <w:sz w:val="21"/>
          <w:szCs w:val="21"/>
        </w:rPr>
        <w:t>（5）工程量清单；</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8" w:firstLineChars="200"/>
        <w:jc w:val="left"/>
        <w:textAlignment w:val="baseline"/>
        <w:rPr>
          <w:rFonts w:ascii="宋体" w:hAnsi="宋体" w:eastAsia="宋体" w:cs="宋体"/>
          <w:sz w:val="21"/>
          <w:szCs w:val="21"/>
        </w:rPr>
      </w:pPr>
      <w:r>
        <w:rPr>
          <w:rFonts w:ascii="宋体" w:hAnsi="宋体" w:eastAsia="宋体" w:cs="宋体"/>
          <w:spacing w:val="-3"/>
          <w:sz w:val="21"/>
          <w:szCs w:val="21"/>
        </w:rPr>
        <w:t>（6）图纸；</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sz w:val="21"/>
          <w:szCs w:val="21"/>
        </w:rPr>
        <w:t>（7）技术规范；</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z w:val="21"/>
          <w:szCs w:val="21"/>
        </w:rPr>
      </w:pPr>
      <w:r>
        <w:rPr>
          <w:rFonts w:ascii="宋体" w:hAnsi="宋体" w:eastAsia="宋体" w:cs="宋体"/>
          <w:spacing w:val="-4"/>
          <w:position w:val="14"/>
          <w:sz w:val="21"/>
          <w:szCs w:val="21"/>
        </w:rPr>
        <w:t>（8）工程量清单计量规则；</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sz w:val="21"/>
          <w:szCs w:val="21"/>
        </w:rPr>
        <w:t>（9）投标文件格式；</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56" w:firstLine="412" w:firstLineChars="200"/>
        <w:jc w:val="left"/>
        <w:textAlignment w:val="baseline"/>
        <w:rPr>
          <w:rFonts w:ascii="宋体" w:hAnsi="宋体" w:eastAsia="宋体" w:cs="宋体"/>
          <w:sz w:val="21"/>
          <w:szCs w:val="21"/>
        </w:rPr>
      </w:pPr>
      <w:r>
        <w:rPr>
          <w:rFonts w:ascii="宋体" w:hAnsi="宋体" w:eastAsia="宋体" w:cs="宋体"/>
          <w:spacing w:val="-2"/>
          <w:position w:val="15"/>
          <w:sz w:val="21"/>
          <w:szCs w:val="21"/>
        </w:rPr>
        <w:t>根据本章第1.10款、第2.2款和第2.3款对招标文件所作的澄清、修改，构成招标文件的组成部分。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0" w:firstLineChars="200"/>
        <w:jc w:val="left"/>
        <w:textAlignment w:val="baseline"/>
      </w:pPr>
      <w:r>
        <w:rPr>
          <w:rFonts w:ascii="宋体" w:hAnsi="宋体" w:eastAsia="宋体" w:cs="宋体"/>
          <w:spacing w:val="-5"/>
          <w:sz w:val="21"/>
          <w:szCs w:val="21"/>
        </w:rPr>
        <w:t>当招标文件、招标文件的澄清或修改等在同一内容的表述上不一致时，以最后发出的书面文件为准。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outlineLvl w:val="0"/>
      </w:pPr>
      <w:bookmarkStart w:id="78" w:name="_Toc2080"/>
      <w:r>
        <w:rPr>
          <w:rFonts w:ascii="宋体" w:hAnsi="宋体" w:eastAsia="宋体" w:cs="宋体"/>
          <w:sz w:val="21"/>
          <w:szCs w:val="21"/>
          <w14:textOutline w14:w="3831" w14:cap="flat" w14:cmpd="sng">
            <w14:solidFill>
              <w14:srgbClr w14:val="000000"/>
            </w14:solidFill>
            <w14:prstDash w14:val="solid"/>
            <w14:miter w14:val="0"/>
          </w14:textOutline>
        </w:rPr>
        <w:t>2.2．招标文件的澄清</w:t>
      </w:r>
      <w:bookmarkEnd w:id="78"/>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52" w:firstLine="416" w:firstLineChars="200"/>
        <w:jc w:val="left"/>
        <w:textAlignment w:val="baseline"/>
        <w:rPr>
          <w:rFonts w:ascii="宋体" w:hAnsi="宋体" w:eastAsia="宋体" w:cs="宋体"/>
          <w:sz w:val="21"/>
          <w:szCs w:val="21"/>
        </w:rPr>
      </w:pPr>
      <w:r>
        <w:rPr>
          <w:rFonts w:ascii="宋体" w:hAnsi="宋体" w:eastAsia="宋体" w:cs="宋体"/>
          <w:spacing w:val="-1"/>
          <w:sz w:val="21"/>
          <w:szCs w:val="21"/>
        </w:rPr>
        <w:t>2.2.1投标人应仔细阅读和检查招标文件的全部内容。如发</w:t>
      </w:r>
      <w:r>
        <w:rPr>
          <w:rFonts w:ascii="宋体" w:hAnsi="宋体" w:eastAsia="宋体" w:cs="宋体"/>
          <w:spacing w:val="-2"/>
          <w:sz w:val="21"/>
          <w:szCs w:val="21"/>
        </w:rPr>
        <w:t>现缺页或附件不全，应及时向招标人提出，</w:t>
      </w:r>
      <w:r>
        <w:rPr>
          <w:rFonts w:ascii="宋体" w:hAnsi="宋体" w:eastAsia="宋体" w:cs="宋体"/>
          <w:spacing w:val="-4"/>
          <w:sz w:val="21"/>
          <w:szCs w:val="21"/>
        </w:rPr>
        <w:t>以便补齐。如有疑问，应按投标人须知前附表规定的时间和形式将提出的问题送达招标人，要求招标人对</w:t>
      </w:r>
      <w:r>
        <w:rPr>
          <w:rFonts w:ascii="宋体" w:hAnsi="宋体" w:eastAsia="宋体" w:cs="宋体"/>
          <w:spacing w:val="-3"/>
          <w:sz w:val="21"/>
          <w:szCs w:val="21"/>
        </w:rPr>
        <w:t>招标文件予以澄清。</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74" w:firstLine="412" w:firstLineChars="200"/>
        <w:jc w:val="left"/>
        <w:textAlignment w:val="baseline"/>
        <w:rPr>
          <w:rFonts w:ascii="宋体" w:hAnsi="宋体" w:eastAsia="宋体" w:cs="宋体"/>
          <w:sz w:val="21"/>
          <w:szCs w:val="21"/>
        </w:rPr>
      </w:pPr>
      <w:r>
        <w:rPr>
          <w:rFonts w:ascii="宋体" w:hAnsi="宋体" w:eastAsia="宋体" w:cs="宋体"/>
          <w:spacing w:val="-2"/>
          <w:sz w:val="21"/>
          <w:szCs w:val="21"/>
        </w:rPr>
        <w:t>2.2.2招标文件的澄清以投标人须知前附表规定的形式发给所有获取招标文件的投标人，但不指明澄清</w:t>
      </w:r>
      <w:r>
        <w:rPr>
          <w:rFonts w:ascii="宋体" w:hAnsi="宋体" w:eastAsia="宋体" w:cs="宋体"/>
          <w:spacing w:val="-4"/>
          <w:sz w:val="21"/>
          <w:szCs w:val="21"/>
        </w:rPr>
        <w:t>问题的来源。澄清发出的时间距本章第4.2.1项规定的</w:t>
      </w:r>
      <w:r>
        <w:rPr>
          <w:rFonts w:ascii="宋体" w:hAnsi="宋体" w:eastAsia="宋体" w:cs="宋体"/>
          <w:spacing w:val="-5"/>
          <w:sz w:val="21"/>
          <w:szCs w:val="21"/>
        </w:rPr>
        <w:t>投标截止时间不足15日的，且澄清内容可能影响投标文件编制的，将相应延长投标截止时间。</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0" w:firstLineChars="200"/>
        <w:jc w:val="left"/>
        <w:textAlignment w:val="baseline"/>
        <w:rPr>
          <w:rFonts w:ascii="宋体" w:hAnsi="宋体" w:eastAsia="宋体" w:cs="宋体"/>
          <w:sz w:val="21"/>
          <w:szCs w:val="21"/>
        </w:rPr>
      </w:pPr>
      <w:r>
        <w:rPr>
          <w:rFonts w:ascii="宋体" w:hAnsi="宋体" w:eastAsia="宋体" w:cs="宋体"/>
          <w:spacing w:val="-5"/>
          <w:sz w:val="21"/>
          <w:szCs w:val="21"/>
        </w:rPr>
        <w:t>2.2.3投标人在收到澄清后，应按投标人须知前附表规定的时间和形式通知招标人，确认已收到该澄清。</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8" w:firstLineChars="200"/>
        <w:jc w:val="left"/>
        <w:textAlignment w:val="baseline"/>
        <w:rPr>
          <w:rFonts w:ascii="宋体" w:hAnsi="宋体" w:eastAsia="宋体" w:cs="宋体"/>
          <w:sz w:val="21"/>
          <w:szCs w:val="21"/>
        </w:rPr>
      </w:pPr>
      <w:r>
        <w:rPr>
          <w:rFonts w:ascii="宋体" w:hAnsi="宋体" w:eastAsia="宋体" w:cs="宋体"/>
          <w:spacing w:val="-3"/>
          <w:position w:val="15"/>
          <w:sz w:val="21"/>
          <w:szCs w:val="21"/>
        </w:rPr>
        <w:t>2.2.4除非招标人认为确有必要答复，否则，招标人有权拒绝</w:t>
      </w:r>
      <w:r>
        <w:rPr>
          <w:rFonts w:ascii="宋体" w:hAnsi="宋体" w:eastAsia="宋体" w:cs="宋体"/>
          <w:spacing w:val="-4"/>
          <w:position w:val="15"/>
          <w:sz w:val="21"/>
          <w:szCs w:val="21"/>
        </w:rPr>
        <w:t>回复投标人在本章第2.2.1项规定的时间</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pPr>
      <w:r>
        <w:rPr>
          <w:rFonts w:ascii="宋体" w:hAnsi="宋体" w:eastAsia="宋体" w:cs="宋体"/>
          <w:spacing w:val="-1"/>
          <w:sz w:val="21"/>
          <w:szCs w:val="21"/>
        </w:rPr>
        <w:t>后的提出的任何澄清要求。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outlineLvl w:val="0"/>
      </w:pPr>
      <w:bookmarkStart w:id="79" w:name="_Toc1552"/>
      <w:r>
        <w:rPr>
          <w:rFonts w:ascii="宋体" w:hAnsi="宋体" w:eastAsia="宋体" w:cs="宋体"/>
          <w:sz w:val="21"/>
          <w:szCs w:val="21"/>
          <w14:textOutline w14:w="3831" w14:cap="flat" w14:cmpd="sng">
            <w14:solidFill>
              <w14:srgbClr w14:val="000000"/>
            </w14:solidFill>
            <w14:prstDash w14:val="solid"/>
            <w14:miter w14:val="0"/>
          </w14:textOutline>
        </w:rPr>
        <w:t>2.3．招标文件的修改</w:t>
      </w:r>
      <w:bookmarkEnd w:id="79"/>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16" w:firstLine="412" w:firstLineChars="200"/>
        <w:jc w:val="left"/>
        <w:textAlignment w:val="baseline"/>
        <w:rPr>
          <w:rFonts w:ascii="宋体" w:hAnsi="宋体" w:eastAsia="宋体" w:cs="宋体"/>
          <w:sz w:val="21"/>
          <w:szCs w:val="21"/>
        </w:rPr>
      </w:pPr>
      <w:r>
        <w:rPr>
          <w:rFonts w:ascii="宋体" w:hAnsi="宋体" w:eastAsia="宋体" w:cs="宋体"/>
          <w:spacing w:val="-2"/>
          <w:sz w:val="21"/>
          <w:szCs w:val="21"/>
        </w:rPr>
        <w:t>2.3.1在投标截止时间15日前，招标人可以修改招标文件，并在“洛阳市公共资源交易中心网(lyggz</w:t>
      </w:r>
      <w:r>
        <w:rPr>
          <w:rFonts w:ascii="宋体" w:hAnsi="宋体" w:eastAsia="宋体" w:cs="宋体"/>
          <w:spacing w:val="-1"/>
          <w:sz w:val="21"/>
          <w:szCs w:val="21"/>
        </w:rPr>
        <w:t>yjy.ly.gov.cn)”进行公布，不再另行通知</w:t>
      </w:r>
      <w:r>
        <w:rPr>
          <w:rFonts w:ascii="宋体" w:hAnsi="宋体" w:eastAsia="宋体" w:cs="宋体"/>
          <w:spacing w:val="-2"/>
          <w:sz w:val="21"/>
          <w:szCs w:val="21"/>
        </w:rPr>
        <w:t>，请各投标人及时关注交易平台，因投标人未看到或其他原因</w:t>
      </w:r>
      <w:r>
        <w:rPr>
          <w:rFonts w:ascii="宋体" w:hAnsi="宋体" w:eastAsia="宋体" w:cs="宋体"/>
          <w:spacing w:val="-5"/>
          <w:sz w:val="21"/>
          <w:szCs w:val="21"/>
        </w:rPr>
        <w:t>造成的损失，由投标人自行承担。修改招标文件的时间距本章第4.2.1项规定的投标</w:t>
      </w:r>
      <w:r>
        <w:rPr>
          <w:rFonts w:ascii="宋体" w:hAnsi="宋体" w:eastAsia="宋体" w:cs="宋体"/>
          <w:spacing w:val="-6"/>
          <w:sz w:val="21"/>
          <w:szCs w:val="21"/>
        </w:rPr>
        <w:t>截止时间不足15日的，</w:t>
      </w:r>
      <w:r>
        <w:rPr>
          <w:rFonts w:ascii="宋体" w:hAnsi="宋体" w:eastAsia="宋体" w:cs="宋体"/>
          <w:spacing w:val="-1"/>
          <w:sz w:val="21"/>
          <w:szCs w:val="21"/>
        </w:rPr>
        <w:t>且修改内容可能影响投标文件编制的，将相应延长投标截止时间。</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204" w:firstLineChars="100"/>
        <w:jc w:val="left"/>
        <w:textAlignment w:val="baseline"/>
      </w:pPr>
      <w:r>
        <w:rPr>
          <w:rFonts w:hint="eastAsia" w:ascii="宋体" w:hAnsi="宋体" w:cs="宋体"/>
          <w:spacing w:val="-3"/>
          <w:position w:val="15"/>
          <w:sz w:val="21"/>
          <w:szCs w:val="21"/>
          <w:lang w:val="en-US" w:eastAsia="zh-CN"/>
        </w:rPr>
        <w:t>2</w:t>
      </w:r>
      <w:r>
        <w:rPr>
          <w:rFonts w:ascii="宋体" w:hAnsi="宋体" w:eastAsia="宋体" w:cs="宋体"/>
          <w:spacing w:val="-3"/>
          <w:position w:val="15"/>
          <w:sz w:val="21"/>
          <w:szCs w:val="21"/>
        </w:rPr>
        <w:t>.3.2投标人收到修改内容后，应按投标人须知前附表规定的时间和形式通知招标人，确认已收到该修</w:t>
      </w:r>
      <w:r>
        <w:rPr>
          <w:rFonts w:hint="eastAsia" w:ascii="宋体" w:hAnsi="宋体" w:cs="宋体"/>
          <w:spacing w:val="-3"/>
          <w:position w:val="15"/>
          <w:sz w:val="21"/>
          <w:szCs w:val="21"/>
          <w:lang w:eastAsia="zh-CN"/>
        </w:rPr>
        <w:t>改。</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outlineLvl w:val="0"/>
      </w:pPr>
      <w:bookmarkStart w:id="80" w:name="_Toc12931"/>
      <w:r>
        <w:rPr>
          <w:rFonts w:ascii="宋体" w:hAnsi="宋体" w:eastAsia="宋体" w:cs="宋体"/>
          <w:sz w:val="21"/>
          <w:szCs w:val="21"/>
          <w14:textOutline w14:w="3831" w14:cap="flat" w14:cmpd="sng">
            <w14:solidFill>
              <w14:srgbClr w14:val="000000"/>
            </w14:solidFill>
            <w14:prstDash w14:val="solid"/>
            <w14:miter w14:val="0"/>
          </w14:textOutline>
        </w:rPr>
        <w:t>2.4．招标文件的异议</w:t>
      </w:r>
      <w:bookmarkEnd w:id="80"/>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pPr>
      <w:r>
        <w:rPr>
          <w:rFonts w:ascii="宋体" w:hAnsi="宋体" w:eastAsia="宋体" w:cs="宋体"/>
          <w:spacing w:val="-2"/>
          <w:position w:val="15"/>
          <w:sz w:val="21"/>
          <w:szCs w:val="21"/>
        </w:rPr>
        <w:t>投标人或其他利害关系人对招标文件有异议的，应当在投标截止时间10日前</w:t>
      </w:r>
      <w:r>
        <w:rPr>
          <w:rFonts w:ascii="宋体" w:hAnsi="宋体" w:eastAsia="宋体" w:cs="宋体"/>
          <w:spacing w:val="-3"/>
          <w:position w:val="15"/>
          <w:sz w:val="21"/>
          <w:szCs w:val="21"/>
        </w:rPr>
        <w:t>以书面形式提出。招标人</w:t>
      </w:r>
      <w:r>
        <w:rPr>
          <w:rFonts w:hint="eastAsia" w:ascii="宋体" w:hAnsi="宋体" w:cs="宋体"/>
          <w:spacing w:val="-3"/>
          <w:position w:val="15"/>
          <w:sz w:val="21"/>
          <w:szCs w:val="21"/>
          <w:lang w:eastAsia="zh-CN"/>
        </w:rPr>
        <w:t>将</w:t>
      </w:r>
      <w:r>
        <w:rPr>
          <w:rFonts w:ascii="宋体" w:hAnsi="宋体" w:eastAsia="宋体" w:cs="宋体"/>
          <w:spacing w:val="-2"/>
          <w:sz w:val="21"/>
          <w:szCs w:val="21"/>
        </w:rPr>
        <w:t>在收到异议之日起3日内作出答复；作出答</w:t>
      </w:r>
      <w:r>
        <w:rPr>
          <w:rFonts w:ascii="宋体" w:hAnsi="宋体" w:eastAsia="宋体" w:cs="宋体"/>
          <w:spacing w:val="-3"/>
          <w:sz w:val="21"/>
          <w:szCs w:val="21"/>
        </w:rPr>
        <w:t>复前，将暂停招标投标活动。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pPr>
      <w:bookmarkStart w:id="81" w:name="bookmark12"/>
      <w:bookmarkEnd w:id="81"/>
      <w:r>
        <w:rPr>
          <w:rFonts w:ascii="宋体" w:hAnsi="宋体" w:eastAsia="宋体" w:cs="宋体"/>
          <w:spacing w:val="-1"/>
          <w:sz w:val="21"/>
          <w:szCs w:val="21"/>
          <w14:textOutline w14:w="3831" w14:cap="flat" w14:cmpd="sng">
            <w14:solidFill>
              <w14:srgbClr w14:val="000000"/>
            </w14:solidFill>
            <w14:prstDash w14:val="solid"/>
            <w14:miter w14:val="0"/>
          </w14:textOutline>
        </w:rPr>
        <w:t>3．投标文件</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outlineLvl w:val="0"/>
      </w:pPr>
      <w:bookmarkStart w:id="82" w:name="_Toc8335"/>
      <w:r>
        <w:rPr>
          <w:rFonts w:ascii="宋体" w:hAnsi="宋体" w:eastAsia="宋体" w:cs="宋体"/>
          <w:spacing w:val="-1"/>
          <w:sz w:val="21"/>
          <w:szCs w:val="21"/>
          <w14:textOutline w14:w="3831" w14:cap="flat" w14:cmpd="sng">
            <w14:solidFill>
              <w14:srgbClr w14:val="000000"/>
            </w14:solidFill>
            <w14:prstDash w14:val="solid"/>
            <w14:miter w14:val="0"/>
          </w14:textOutline>
        </w:rPr>
        <w:t>3.1．投标文件的组成</w:t>
      </w:r>
      <w:bookmarkEnd w:id="82"/>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8" w:firstLineChars="200"/>
        <w:jc w:val="left"/>
        <w:textAlignment w:val="baseline"/>
        <w:rPr>
          <w:rFonts w:ascii="宋体" w:hAnsi="宋体" w:eastAsia="宋体" w:cs="宋体"/>
          <w:sz w:val="21"/>
          <w:szCs w:val="21"/>
        </w:rPr>
      </w:pPr>
      <w:r>
        <w:rPr>
          <w:rFonts w:ascii="宋体" w:hAnsi="宋体" w:eastAsia="宋体" w:cs="宋体"/>
          <w:spacing w:val="-3"/>
          <w:position w:val="15"/>
          <w:sz w:val="21"/>
          <w:szCs w:val="21"/>
        </w:rPr>
        <w:t>根据投标人须知前附表规定的不同形式，投标文件的组成应满足相应条款要求。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0" w:firstLineChars="200"/>
        <w:jc w:val="left"/>
        <w:textAlignment w:val="baseline"/>
        <w:rPr>
          <w:rFonts w:ascii="宋体" w:hAnsi="宋体" w:eastAsia="宋体" w:cs="宋体"/>
          <w:sz w:val="21"/>
          <w:szCs w:val="21"/>
        </w:rPr>
      </w:pPr>
      <w:r>
        <w:rPr>
          <w:rFonts w:ascii="宋体" w:hAnsi="宋体" w:eastAsia="宋体" w:cs="宋体"/>
          <w:spacing w:val="-5"/>
          <w:sz w:val="21"/>
          <w:szCs w:val="21"/>
        </w:rPr>
        <w:t>若采用双信封形式，第3.1.1项采用以下条款：</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pacing w:val="-3"/>
          <w:position w:val="15"/>
          <w:sz w:val="21"/>
          <w:szCs w:val="21"/>
        </w:rPr>
      </w:pPr>
      <w:r>
        <w:rPr>
          <w:rFonts w:ascii="宋体" w:hAnsi="宋体" w:eastAsia="宋体" w:cs="宋体"/>
          <w:spacing w:val="-2"/>
          <w:position w:val="14"/>
          <w:sz w:val="21"/>
          <w:szCs w:val="21"/>
        </w:rPr>
        <w:t>3.1.1投标文件</w:t>
      </w:r>
      <w:r>
        <w:rPr>
          <w:rFonts w:ascii="宋体" w:hAnsi="宋体" w:eastAsia="宋体" w:cs="宋体"/>
          <w:spacing w:val="-3"/>
          <w:position w:val="15"/>
          <w:sz w:val="21"/>
          <w:szCs w:val="21"/>
        </w:rPr>
        <w:t>应包括下列内容：</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8" w:firstLineChars="200"/>
        <w:jc w:val="left"/>
        <w:textAlignment w:val="baseline"/>
        <w:rPr>
          <w:rFonts w:ascii="宋体" w:hAnsi="宋体" w:eastAsia="宋体" w:cs="宋体"/>
          <w:spacing w:val="-3"/>
          <w:position w:val="15"/>
          <w:sz w:val="21"/>
          <w:szCs w:val="21"/>
        </w:rPr>
      </w:pPr>
      <w:r>
        <w:rPr>
          <w:rFonts w:ascii="宋体" w:hAnsi="宋体" w:eastAsia="宋体" w:cs="宋体"/>
          <w:spacing w:val="-3"/>
          <w:position w:val="15"/>
          <w:sz w:val="21"/>
          <w:szCs w:val="21"/>
        </w:rPr>
        <w:t>第一个信封（商务及技术文件）：</w:t>
      </w:r>
    </w:p>
    <w:p>
      <w:pPr>
        <w:keepNext w:val="0"/>
        <w:keepLines w:val="0"/>
        <w:pageBreakBefore w:val="0"/>
        <w:widowControl/>
        <w:numPr>
          <w:ilvl w:val="0"/>
          <w:numId w:val="4"/>
        </w:numPr>
        <w:kinsoku w:val="0"/>
        <w:wordWrap/>
        <w:overflowPunct/>
        <w:topLinePunct w:val="0"/>
        <w:autoSpaceDE w:val="0"/>
        <w:autoSpaceDN w:val="0"/>
        <w:bidi w:val="0"/>
        <w:adjustRightInd w:val="0"/>
        <w:snapToGrid w:val="0"/>
        <w:spacing w:line="360" w:lineRule="auto"/>
        <w:ind w:left="0" w:firstLine="420" w:firstLineChars="200"/>
        <w:jc w:val="left"/>
        <w:textAlignment w:val="baseline"/>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投标函及投标函附录； </w:t>
      </w:r>
    </w:p>
    <w:p>
      <w:pPr>
        <w:keepNext w:val="0"/>
        <w:keepLines w:val="0"/>
        <w:pageBreakBefore w:val="0"/>
        <w:widowControl/>
        <w:numPr>
          <w:ilvl w:val="0"/>
          <w:numId w:val="4"/>
        </w:numPr>
        <w:kinsoku w:val="0"/>
        <w:wordWrap/>
        <w:overflowPunct/>
        <w:topLinePunct w:val="0"/>
        <w:autoSpaceDE w:val="0"/>
        <w:autoSpaceDN w:val="0"/>
        <w:bidi w:val="0"/>
        <w:adjustRightInd w:val="0"/>
        <w:snapToGrid w:val="0"/>
        <w:spacing w:line="360" w:lineRule="auto"/>
        <w:ind w:left="0" w:leftChars="0" w:firstLine="420" w:firstLineChars="200"/>
        <w:jc w:val="left"/>
        <w:textAlignment w:val="baseline"/>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授权委托书或法定代表人身份证明； </w:t>
      </w:r>
    </w:p>
    <w:p>
      <w:pPr>
        <w:keepNext w:val="0"/>
        <w:keepLines w:val="0"/>
        <w:pageBreakBefore w:val="0"/>
        <w:widowControl/>
        <w:numPr>
          <w:ilvl w:val="0"/>
          <w:numId w:val="4"/>
        </w:numPr>
        <w:kinsoku w:val="0"/>
        <w:wordWrap/>
        <w:overflowPunct/>
        <w:topLinePunct w:val="0"/>
        <w:autoSpaceDE w:val="0"/>
        <w:autoSpaceDN w:val="0"/>
        <w:bidi w:val="0"/>
        <w:adjustRightInd w:val="0"/>
        <w:snapToGrid w:val="0"/>
        <w:spacing w:line="360" w:lineRule="auto"/>
        <w:ind w:left="0" w:leftChars="0" w:firstLine="420" w:firstLineChars="200"/>
        <w:jc w:val="left"/>
        <w:textAlignment w:val="baseline"/>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施工组织设计； </w:t>
      </w:r>
    </w:p>
    <w:p>
      <w:pPr>
        <w:keepNext w:val="0"/>
        <w:keepLines w:val="0"/>
        <w:pageBreakBefore w:val="0"/>
        <w:widowControl/>
        <w:numPr>
          <w:ilvl w:val="0"/>
          <w:numId w:val="4"/>
        </w:numPr>
        <w:kinsoku w:val="0"/>
        <w:wordWrap/>
        <w:overflowPunct/>
        <w:topLinePunct w:val="0"/>
        <w:autoSpaceDE w:val="0"/>
        <w:autoSpaceDN w:val="0"/>
        <w:bidi w:val="0"/>
        <w:adjustRightInd w:val="0"/>
        <w:snapToGrid w:val="0"/>
        <w:spacing w:line="360" w:lineRule="auto"/>
        <w:ind w:left="0" w:leftChars="0" w:firstLine="420" w:firstLineChars="200"/>
        <w:jc w:val="left"/>
        <w:textAlignment w:val="baseline"/>
        <w:rPr>
          <w:rFonts w:ascii="宋体" w:hAnsi="宋体" w:eastAsia="宋体" w:cs="宋体"/>
          <w:b w:val="0"/>
          <w:bCs w:val="0"/>
          <w:color w:val="000000"/>
          <w:sz w:val="21"/>
          <w:szCs w:val="21"/>
        </w:rPr>
      </w:pPr>
      <w:r>
        <w:rPr>
          <w:rFonts w:ascii="宋体" w:hAnsi="宋体" w:eastAsia="宋体" w:cs="宋体"/>
          <w:b w:val="0"/>
          <w:bCs w:val="0"/>
          <w:color w:val="000000"/>
          <w:sz w:val="21"/>
          <w:szCs w:val="21"/>
        </w:rPr>
        <w:t>项目管理机构；</w:t>
      </w:r>
    </w:p>
    <w:p>
      <w:pPr>
        <w:keepNext w:val="0"/>
        <w:keepLines w:val="0"/>
        <w:pageBreakBefore w:val="0"/>
        <w:widowControl/>
        <w:numPr>
          <w:ilvl w:val="0"/>
          <w:numId w:val="4"/>
        </w:numPr>
        <w:kinsoku w:val="0"/>
        <w:wordWrap/>
        <w:overflowPunct/>
        <w:topLinePunct w:val="0"/>
        <w:autoSpaceDE w:val="0"/>
        <w:autoSpaceDN w:val="0"/>
        <w:bidi w:val="0"/>
        <w:adjustRightInd w:val="0"/>
        <w:snapToGrid w:val="0"/>
        <w:spacing w:line="360" w:lineRule="auto"/>
        <w:ind w:left="0" w:leftChars="0" w:firstLine="420" w:firstLineChars="200"/>
        <w:jc w:val="left"/>
        <w:textAlignment w:val="baseline"/>
        <w:rPr>
          <w:rFonts w:ascii="宋体" w:hAnsi="宋体" w:eastAsia="宋体" w:cs="宋体"/>
          <w:b w:val="0"/>
          <w:bCs w:val="0"/>
          <w:color w:val="000000"/>
          <w:sz w:val="21"/>
          <w:szCs w:val="21"/>
        </w:rPr>
      </w:pPr>
      <w:r>
        <w:rPr>
          <w:rFonts w:ascii="宋体" w:hAnsi="宋体" w:eastAsia="宋体" w:cs="宋体"/>
          <w:b w:val="0"/>
          <w:bCs w:val="0"/>
          <w:color w:val="000000"/>
          <w:sz w:val="21"/>
          <w:szCs w:val="21"/>
        </w:rPr>
        <w:t>拟分包项目情况表（如有）；</w:t>
      </w:r>
    </w:p>
    <w:p>
      <w:pPr>
        <w:keepNext w:val="0"/>
        <w:keepLines w:val="0"/>
        <w:pageBreakBefore w:val="0"/>
        <w:widowControl/>
        <w:numPr>
          <w:ilvl w:val="0"/>
          <w:numId w:val="4"/>
        </w:numPr>
        <w:kinsoku w:val="0"/>
        <w:wordWrap/>
        <w:overflowPunct/>
        <w:topLinePunct w:val="0"/>
        <w:autoSpaceDE w:val="0"/>
        <w:autoSpaceDN w:val="0"/>
        <w:bidi w:val="0"/>
        <w:adjustRightInd w:val="0"/>
        <w:snapToGrid w:val="0"/>
        <w:spacing w:line="360" w:lineRule="auto"/>
        <w:ind w:left="0" w:leftChars="0" w:firstLine="420" w:firstLineChars="200"/>
        <w:jc w:val="left"/>
        <w:textAlignment w:val="baseline"/>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资格审查资料； </w:t>
      </w:r>
    </w:p>
    <w:p>
      <w:pPr>
        <w:keepNext w:val="0"/>
        <w:keepLines w:val="0"/>
        <w:pageBreakBefore w:val="0"/>
        <w:widowControl/>
        <w:numPr>
          <w:ilvl w:val="0"/>
          <w:numId w:val="4"/>
        </w:numPr>
        <w:kinsoku w:val="0"/>
        <w:wordWrap/>
        <w:overflowPunct/>
        <w:topLinePunct w:val="0"/>
        <w:autoSpaceDE w:val="0"/>
        <w:autoSpaceDN w:val="0"/>
        <w:bidi w:val="0"/>
        <w:adjustRightInd w:val="0"/>
        <w:snapToGrid w:val="0"/>
        <w:spacing w:line="360" w:lineRule="auto"/>
        <w:ind w:left="0" w:leftChars="0" w:firstLine="420" w:firstLineChars="200"/>
        <w:jc w:val="left"/>
        <w:textAlignment w:val="baseline"/>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其他资料。 </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jc w:val="left"/>
        <w:textAlignment w:val="baseline"/>
        <w:rPr>
          <w:rFonts w:ascii="宋体" w:hAnsi="宋体" w:eastAsia="宋体" w:cs="宋体"/>
          <w:spacing w:val="-3"/>
          <w:position w:val="15"/>
          <w:sz w:val="21"/>
          <w:szCs w:val="21"/>
        </w:rPr>
      </w:pPr>
      <w:r>
        <w:rPr>
          <w:rFonts w:ascii="宋体" w:hAnsi="宋体" w:eastAsia="宋体" w:cs="宋体"/>
          <w:spacing w:val="-3"/>
          <w:position w:val="15"/>
          <w:sz w:val="21"/>
          <w:szCs w:val="21"/>
        </w:rPr>
        <w:t>第二个信封（报价文件）：</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8" w:firstLineChars="200"/>
        <w:jc w:val="left"/>
        <w:textAlignment w:val="baseline"/>
        <w:rPr>
          <w:rFonts w:ascii="宋体" w:hAnsi="宋体" w:eastAsia="宋体" w:cs="宋体"/>
          <w:spacing w:val="-3"/>
          <w:position w:val="15"/>
          <w:sz w:val="21"/>
          <w:szCs w:val="21"/>
        </w:rPr>
      </w:pPr>
      <w:r>
        <w:rPr>
          <w:rFonts w:ascii="宋体" w:hAnsi="宋体" w:eastAsia="宋体" w:cs="宋体"/>
          <w:spacing w:val="-3"/>
          <w:position w:val="15"/>
          <w:sz w:val="21"/>
          <w:szCs w:val="21"/>
        </w:rPr>
        <w:t>（1）投标函；</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8" w:firstLineChars="200"/>
        <w:jc w:val="left"/>
        <w:textAlignment w:val="baseline"/>
        <w:rPr>
          <w:rFonts w:ascii="宋体" w:hAnsi="宋体" w:eastAsia="宋体" w:cs="宋体"/>
          <w:sz w:val="21"/>
          <w:szCs w:val="21"/>
        </w:rPr>
      </w:pPr>
      <w:r>
        <w:rPr>
          <w:rFonts w:ascii="宋体" w:hAnsi="宋体" w:eastAsia="宋体" w:cs="宋体"/>
          <w:spacing w:val="-3"/>
          <w:position w:val="15"/>
          <w:sz w:val="21"/>
          <w:szCs w:val="21"/>
        </w:rPr>
        <w:t>（2）已标价工程量</w:t>
      </w:r>
      <w:r>
        <w:rPr>
          <w:rFonts w:ascii="宋体" w:hAnsi="宋体" w:eastAsia="宋体" w:cs="宋体"/>
          <w:spacing w:val="-4"/>
          <w:position w:val="15"/>
          <w:sz w:val="21"/>
          <w:szCs w:val="21"/>
        </w:rPr>
        <w:t>清单；</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sz w:val="21"/>
          <w:szCs w:val="21"/>
        </w:rPr>
        <w:t>（3）合同用款估算表。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sz w:val="21"/>
          <w:szCs w:val="21"/>
        </w:rPr>
        <w:t>投标人在评标过程中作出的符合法律法规和招标文件规定的澄清确认，构成投标文件的</w:t>
      </w:r>
      <w:r>
        <w:rPr>
          <w:rFonts w:ascii="宋体" w:hAnsi="宋体" w:eastAsia="宋体" w:cs="宋体"/>
          <w:spacing w:val="-3"/>
          <w:sz w:val="21"/>
          <w:szCs w:val="21"/>
        </w:rPr>
        <w:t>组成部分。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z w:val="21"/>
          <w:szCs w:val="21"/>
        </w:rPr>
      </w:pPr>
      <w:r>
        <w:rPr>
          <w:rFonts w:ascii="宋体" w:hAnsi="宋体" w:eastAsia="宋体" w:cs="宋体"/>
          <w:spacing w:val="-4"/>
          <w:position w:val="15"/>
          <w:sz w:val="21"/>
          <w:szCs w:val="21"/>
        </w:rPr>
        <w:t>3.1.2投标人须知前附表规定不接受联合体投</w:t>
      </w:r>
      <w:r>
        <w:rPr>
          <w:rFonts w:ascii="宋体" w:hAnsi="宋体" w:eastAsia="宋体" w:cs="宋体"/>
          <w:spacing w:val="-5"/>
          <w:position w:val="15"/>
          <w:sz w:val="21"/>
          <w:szCs w:val="21"/>
        </w:rPr>
        <w:t>标的，或投标人没有组成联合体的，投标文件不包括本章</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ascii="宋体" w:hAnsi="宋体" w:eastAsia="宋体" w:cs="宋体"/>
          <w:sz w:val="21"/>
          <w:szCs w:val="21"/>
        </w:rPr>
      </w:pPr>
      <w:r>
        <w:rPr>
          <w:rFonts w:ascii="宋体" w:hAnsi="宋体" w:eastAsia="宋体" w:cs="宋体"/>
          <w:spacing w:val="-4"/>
          <w:sz w:val="21"/>
          <w:szCs w:val="21"/>
        </w:rPr>
        <w:t>第3.1.1（3）目所指的联合体协议书。</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8" w:firstLineChars="200"/>
        <w:jc w:val="left"/>
        <w:textAlignment w:val="baseline"/>
        <w:rPr>
          <w:rFonts w:ascii="宋体" w:hAnsi="宋体" w:eastAsia="宋体" w:cs="宋体"/>
          <w:sz w:val="21"/>
          <w:szCs w:val="21"/>
        </w:rPr>
      </w:pPr>
      <w:r>
        <w:rPr>
          <w:rFonts w:ascii="宋体" w:hAnsi="宋体" w:eastAsia="宋体" w:cs="宋体"/>
          <w:spacing w:val="-3"/>
          <w:position w:val="15"/>
          <w:sz w:val="21"/>
          <w:szCs w:val="21"/>
        </w:rPr>
        <w:t>3.1.3投标人须知前附表未要求提交投标保证金的，投标文件不包括本章第3.1.1（4）目所指的投标</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ascii="宋体" w:hAnsi="宋体" w:eastAsia="宋体" w:cs="宋体"/>
          <w:spacing w:val="-1"/>
          <w:sz w:val="21"/>
          <w:szCs w:val="21"/>
          <w14:textOutline w14:w="3831" w14:cap="flat" w14:cmpd="sng">
            <w14:solidFill>
              <w14:srgbClr w14:val="000000"/>
            </w14:solidFill>
            <w14:prstDash w14:val="solid"/>
            <w14:miter w14:val="0"/>
          </w14:textOutline>
        </w:rPr>
      </w:pPr>
      <w:r>
        <w:rPr>
          <w:rFonts w:ascii="宋体" w:hAnsi="宋体" w:eastAsia="宋体" w:cs="宋体"/>
          <w:spacing w:val="-2"/>
          <w:sz w:val="21"/>
          <w:szCs w:val="21"/>
        </w:rPr>
        <w:t>保证金。</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outlineLvl w:val="0"/>
        <w:rPr>
          <w:rFonts w:ascii="宋体" w:hAnsi="宋体" w:eastAsia="宋体" w:cs="宋体"/>
          <w:spacing w:val="-1"/>
          <w:sz w:val="21"/>
          <w:szCs w:val="21"/>
          <w14:textOutline w14:w="3831" w14:cap="flat" w14:cmpd="sng">
            <w14:solidFill>
              <w14:srgbClr w14:val="000000"/>
            </w14:solidFill>
            <w14:prstDash w14:val="solid"/>
            <w14:miter w14:val="0"/>
          </w14:textOutline>
        </w:rPr>
      </w:pPr>
      <w:bookmarkStart w:id="83" w:name="_Toc2478"/>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outlineLvl w:val="0"/>
      </w:pPr>
      <w:r>
        <w:rPr>
          <w:rFonts w:ascii="宋体" w:hAnsi="宋体" w:eastAsia="宋体" w:cs="宋体"/>
          <w:spacing w:val="-1"/>
          <w:sz w:val="21"/>
          <w:szCs w:val="21"/>
          <w14:textOutline w14:w="3831" w14:cap="flat" w14:cmpd="sng">
            <w14:solidFill>
              <w14:srgbClr w14:val="000000"/>
            </w14:solidFill>
            <w14:prstDash w14:val="solid"/>
            <w14:miter w14:val="0"/>
          </w14:textOutline>
        </w:rPr>
        <w:t>3.2．投标报价</w:t>
      </w:r>
      <w:bookmarkEnd w:id="83"/>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3.2.1投标报价应包括国家规定的增值税税金，除投标人须知前附表另有规定外，增值税税金按一般计</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ascii="宋体" w:hAnsi="宋体" w:eastAsia="宋体" w:cs="宋体"/>
          <w:spacing w:val="-4"/>
          <w:sz w:val="21"/>
          <w:szCs w:val="21"/>
        </w:rPr>
      </w:pPr>
      <w:r>
        <w:rPr>
          <w:rFonts w:ascii="宋体" w:hAnsi="宋体" w:eastAsia="宋体" w:cs="宋体"/>
          <w:spacing w:val="-4"/>
          <w:sz w:val="21"/>
          <w:szCs w:val="21"/>
        </w:rPr>
        <w:t>税方法计算。投标人应按第九章“投标文件格式”的要求在投标函中进行报价并填写工程量清单相应表格。</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工程量清单的填写分下列两种方式。投标人应按投标人须知前附表规定的方式填写工程量清单。</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1）本项目招标采用工程量固化清单，招标人在发布招标文件的同时向投标人提供工程量固化清单电子文件，或将工程量固化清单电子文件上传至投标人须知前附表载明的网站供投标人自行下载。投标人填写工程量清单中各子目的单价及总额价，即可完成投标工程量清单的编制，确定投标报价，并打印出投标工程量清单，编入投标文件。投标人未在工程量清单中填入单价或总额价的工程子目，将被认为其已包含在工程量清单其他子目的单价和总额价中，招标人将不予支付。</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2）本项目招标由招标人提供工程量清单，由投标人按照招标人提供的工程量清单填写本合同各工程子目的单价、合价和总额价。评标委员会将按照第三章“评标办法”的规定对投标价进行算术性错误修正及其他错误修正。</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3.2.2投标人应充分了解本项目的总体情况以及影响投标报价的其他要素。</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3.2.3本项目的报价方式见投标人须知前附表。投标人在投标截止时间前修改投标函中的投标总报价，应同时修改投标文件“已标价工程量清单”中的相应报价。此修改须符合本章第4.3款的有关要求。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3.2.4投标人如果发现工程量清单中的数量与图纸中数量不一致时，应立即通知招标人核查，除非招标人以书面方式予以更正，否则，应以工程量清单中列出的数量为准。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3.2.5投标人应根据《公路水运工程安全生产监督管理办法》，在投标总价中计入安全生产费用，安全生产费用应符合合同条款第9.2.5项的规定。工程量清单第100章内列有上述安全生产费的支付子目，由投标人按招标文件的规定填写总额价。</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3.2.6除投标人须知前附表另有规定外，招标人不接受调价函。若招标人接受调价函，则应在招标文件</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ascii="宋体" w:hAnsi="宋体" w:eastAsia="宋体" w:cs="宋体"/>
          <w:spacing w:val="-4"/>
          <w:sz w:val="21"/>
          <w:szCs w:val="21"/>
        </w:rPr>
      </w:pPr>
      <w:r>
        <w:rPr>
          <w:rFonts w:ascii="宋体" w:hAnsi="宋体" w:eastAsia="宋体" w:cs="宋体"/>
          <w:spacing w:val="-4"/>
          <w:sz w:val="21"/>
          <w:szCs w:val="21"/>
        </w:rPr>
        <w:t>中给出调价函的格式。投标人若有调价函则应遵循如下规定：</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（1）调价函必须采用招标文件规定的格式；调价函应说明调价后的最终报价，并以最终报价为准，而</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ascii="宋体" w:hAnsi="宋体" w:eastAsia="宋体" w:cs="宋体"/>
          <w:spacing w:val="-4"/>
          <w:sz w:val="21"/>
          <w:szCs w:val="21"/>
        </w:rPr>
      </w:pPr>
      <w:r>
        <w:rPr>
          <w:rFonts w:ascii="宋体" w:hAnsi="宋体" w:eastAsia="宋体" w:cs="宋体"/>
          <w:spacing w:val="-4"/>
          <w:sz w:val="21"/>
          <w:szCs w:val="21"/>
        </w:rPr>
        <w:t>且投标人只能有一次调价的机会；</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（2）工程量清单中招标人指定的报价不允许调价；</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（3）调价函必须附有调价后的工程量清单；</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若投标人未提交调价后的工程量清单，或调价函未装在投标文件正本首页，调价函均视为无效，仍以原报价作为最终报价。若投标人提交的调价函多于一个，或对不允许调价的内容进行了调价，或调价函有附加条件，其投标将被否决。</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（4）若招标人接受调价函，投标人调价后的工程量清单和有效调价函的大写金额报价应保持一致，如果报价金额出现差异，则以有效调价函的大写金额报价为准。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3.2.7在合同实施期间，投标人填写的单价、合价和总额价是否由于物价波动进行价格调整按照合同条款第16.1款的规定处理。如果按照合同条款第16.1.1项的规定采用价格调整公式进行价格调整，由招标人根据项目实际情况测算确定价格调整公式中的变值权重范围，并在投标函附录价格指数和权重表中约定范围；投标人在此范围内填写各可调因子的权重，合同实施期间将按此权重进行调价。</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3.2.8招标人设有最高投标限价的，投标人的投标报价不得超过最高投标限价，最高投标限价在投标人</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ascii="宋体" w:hAnsi="宋体" w:eastAsia="宋体" w:cs="宋体"/>
          <w:spacing w:val="-4"/>
          <w:sz w:val="21"/>
          <w:szCs w:val="21"/>
        </w:rPr>
      </w:pPr>
      <w:r>
        <w:rPr>
          <w:rFonts w:ascii="宋体" w:hAnsi="宋体" w:eastAsia="宋体" w:cs="宋体"/>
          <w:spacing w:val="-4"/>
          <w:sz w:val="21"/>
          <w:szCs w:val="21"/>
        </w:rPr>
        <w:t>须知前附表中载明。</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pPr>
      <w:r>
        <w:rPr>
          <w:rFonts w:ascii="宋体" w:hAnsi="宋体" w:eastAsia="宋体" w:cs="宋体"/>
          <w:spacing w:val="-4"/>
          <w:sz w:val="21"/>
          <w:szCs w:val="21"/>
        </w:rPr>
        <w:t>3.2.9投标报价的其他要求见投标人须知前附表。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outlineLvl w:val="0"/>
        <w:rPr>
          <w:rFonts w:ascii="宋体" w:hAnsi="宋体" w:eastAsia="宋体" w:cs="宋体"/>
          <w:spacing w:val="-1"/>
          <w:sz w:val="21"/>
          <w:szCs w:val="21"/>
          <w14:textOutline w14:w="3831" w14:cap="flat" w14:cmpd="sng">
            <w14:solidFill>
              <w14:srgbClr w14:val="000000"/>
            </w14:solidFill>
            <w14:prstDash w14:val="solid"/>
            <w14:miter w14:val="0"/>
          </w14:textOutline>
        </w:rPr>
      </w:pPr>
      <w:bookmarkStart w:id="84" w:name="_Toc19514"/>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outlineLvl w:val="0"/>
      </w:pPr>
      <w:r>
        <w:rPr>
          <w:rFonts w:ascii="宋体" w:hAnsi="宋体" w:eastAsia="宋体" w:cs="宋体"/>
          <w:spacing w:val="-1"/>
          <w:sz w:val="21"/>
          <w:szCs w:val="21"/>
          <w14:textOutline w14:w="3831" w14:cap="flat" w14:cmpd="sng">
            <w14:solidFill>
              <w14:srgbClr w14:val="000000"/>
            </w14:solidFill>
            <w14:prstDash w14:val="solid"/>
            <w14:miter w14:val="0"/>
          </w14:textOutline>
        </w:rPr>
        <w:t>3.3．投标有效期</w:t>
      </w:r>
      <w:bookmarkEnd w:id="84"/>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3.3.1除投标人须知前附表另有规定外，投标有效期为90日。</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3.3.2在投标有效期内，投标人撤销投标文件的，应承担招标文件和法律规定的责任。</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3.3.3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支票形式递交的投标保证金的银行同期活期存款利息。</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outlineLvl w:val="0"/>
        <w:rPr>
          <w:rFonts w:hint="eastAsia" w:ascii="宋体" w:hAnsi="宋体" w:eastAsia="宋体" w:cs="宋体"/>
          <w:sz w:val="21"/>
          <w:szCs w:val="21"/>
          <w:lang w:eastAsia="zh-CN"/>
        </w:rPr>
      </w:pPr>
      <w:bookmarkStart w:id="85" w:name="_Toc969"/>
      <w:r>
        <w:rPr>
          <w:rFonts w:ascii="宋体" w:hAnsi="宋体" w:eastAsia="宋体" w:cs="宋体"/>
          <w:spacing w:val="-1"/>
          <w:sz w:val="21"/>
          <w:szCs w:val="21"/>
          <w14:textOutline w14:w="3831" w14:cap="flat" w14:cmpd="sng">
            <w14:solidFill>
              <w14:srgbClr w14:val="000000"/>
            </w14:solidFill>
            <w14:prstDash w14:val="solid"/>
            <w14:miter w14:val="0"/>
          </w14:textOutline>
        </w:rPr>
        <w:t>3.4．投标保证金</w:t>
      </w:r>
      <w:bookmarkEnd w:id="85"/>
      <w:r>
        <w:rPr>
          <w:rFonts w:hint="eastAsia" w:ascii="宋体" w:hAnsi="宋体" w:cs="宋体"/>
          <w:spacing w:val="-1"/>
          <w:sz w:val="21"/>
          <w:szCs w:val="21"/>
          <w:lang w:eastAsia="zh-CN"/>
          <w14:textOutline w14:w="3831" w14:cap="flat" w14:cmpd="sng">
            <w14:solidFill>
              <w14:srgbClr w14:val="000000"/>
            </w14:solidFill>
            <w14:prstDash w14:val="solid"/>
            <w14:miter w14:val="0"/>
          </w14:textOutline>
        </w:rPr>
        <w:t>（</w:t>
      </w:r>
      <w:r>
        <w:rPr>
          <w:rFonts w:hint="eastAsia" w:ascii="宋体" w:hAnsi="宋体" w:cs="宋体"/>
          <w:spacing w:val="-1"/>
          <w:sz w:val="21"/>
          <w:szCs w:val="21"/>
          <w:lang w:val="en-US" w:eastAsia="zh-CN"/>
          <w14:textOutline w14:w="3831" w14:cap="flat" w14:cmpd="sng">
            <w14:solidFill>
              <w14:srgbClr w14:val="000000"/>
            </w14:solidFill>
            <w14:prstDash w14:val="solid"/>
            <w14:miter w14:val="0"/>
          </w14:textOutline>
        </w:rPr>
        <w:t>本项目不适用</w:t>
      </w:r>
      <w:r>
        <w:rPr>
          <w:rFonts w:hint="eastAsia" w:ascii="宋体" w:hAnsi="宋体" w:cs="宋体"/>
          <w:spacing w:val="-1"/>
          <w:sz w:val="21"/>
          <w:szCs w:val="21"/>
          <w:lang w:eastAsia="zh-CN"/>
          <w14:textOutline w14:w="3831" w14:cap="flat" w14:cmpd="sng">
            <w14:solidFill>
              <w14:srgbClr w14:val="000000"/>
            </w14:solidFill>
            <w14:prstDash w14:val="solid"/>
            <w14:miter w14:val="0"/>
          </w14:textOutline>
        </w:rPr>
        <w:t>）</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3.4.1投标人在递交投标文件的同时，应按投标人须知前附表规定的金额和第九章“投标文件格式”规定的投标保证金格式递交投标保证金，并作为其投标文件的组成部分。联合体投标的，其投标保证金由牵头人递交，并应符合投标人须知前附表的规定。</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投标保证金应采用招标人在投标人须知前附表规定的其他形式。</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无论采取何种形式的投标保证金，投标保证金有效期均应与投标有效期一致。招标人如果按本章第3.3.3项的规定延长了投标有效期，则投标保证金的有效期也相应延长。</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3.4.2投标人不按本章第3.4.1项要求提交投标保证金的，评标委员会将否决其投标。</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3.4.3招标人最迟将在中标通知书发出后5日内向中标候选人以外的其他投标人退还投标保证金，与中</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ascii="宋体" w:hAnsi="宋体" w:eastAsia="宋体" w:cs="宋体"/>
          <w:spacing w:val="-4"/>
          <w:sz w:val="21"/>
          <w:szCs w:val="21"/>
        </w:rPr>
      </w:pPr>
      <w:r>
        <w:rPr>
          <w:rFonts w:ascii="宋体" w:hAnsi="宋体" w:eastAsia="宋体" w:cs="宋体"/>
          <w:spacing w:val="-4"/>
          <w:sz w:val="21"/>
          <w:szCs w:val="21"/>
        </w:rPr>
        <w:t>标人签订合同后5日内向中标人和其他中标候选人退还投标保证金。</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3.4.4有下列情形之一的，投标保证金将不予退还：</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（1）投标人在投标有效期内撤销投标文件；</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（2）中标人在收到中标通知书后，无正当理由不与招标人订立合同，在签订合同时向招标人提出附加</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条件，或不按照招标文件要求提交履约保证金；</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（3）发生投标人须知前附表规定的其他可以不予退还投标保证金的情形。</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outlineLvl w:val="0"/>
        <w:rPr>
          <w:rFonts w:ascii="宋体" w:hAnsi="宋体" w:eastAsia="宋体" w:cs="宋体"/>
          <w:spacing w:val="-1"/>
          <w:sz w:val="21"/>
          <w:szCs w:val="21"/>
          <w14:textOutline w14:w="3831" w14:cap="flat" w14:cmpd="sng">
            <w14:solidFill>
              <w14:srgbClr w14:val="000000"/>
            </w14:solidFill>
            <w14:prstDash w14:val="solid"/>
            <w14:miter w14:val="0"/>
          </w14:textOutline>
        </w:rPr>
      </w:pPr>
      <w:bookmarkStart w:id="86" w:name="_Toc13490"/>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outlineLvl w:val="0"/>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3.5．资格审查资料</w:t>
      </w:r>
      <w:bookmarkEnd w:id="86"/>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除投标人须知前附表另有规定外，投标人应按下列规定提供资格审查资料，以证明其满足本章第1.4款规定的资质、财务、业绩、信誉等要求。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3.5.1“投标人基本情况表”应附企业法人营业执照副本、施工资质证书副本、安全生产许可证副本、基本账户开户许可证①（或基本存款账户信息）的</w:t>
      </w:r>
      <w:r>
        <w:rPr>
          <w:rFonts w:hint="eastAsia" w:ascii="宋体" w:hAnsi="宋体" w:cs="宋体"/>
          <w:spacing w:val="-4"/>
          <w:sz w:val="21"/>
          <w:szCs w:val="21"/>
          <w:lang w:val="en-US" w:eastAsia="zh-CN"/>
        </w:rPr>
        <w:t>扫描</w:t>
      </w:r>
      <w:r>
        <w:rPr>
          <w:rFonts w:ascii="宋体" w:hAnsi="宋体" w:eastAsia="宋体" w:cs="宋体"/>
          <w:spacing w:val="-4"/>
          <w:sz w:val="21"/>
          <w:szCs w:val="21"/>
        </w:rPr>
        <w:t>件，投标人在交通</w:t>
      </w:r>
      <w:r>
        <w:rPr>
          <w:rFonts w:ascii="宋体" w:hAnsi="宋体" w:eastAsia="宋体" w:cs="宋体"/>
          <w:spacing w:val="-4"/>
          <w:sz w:val="21"/>
          <w:szCs w:val="21"/>
          <w:highlight w:val="none"/>
        </w:rPr>
        <w:t>运输部“</w:t>
      </w:r>
      <w:r>
        <w:rPr>
          <w:rFonts w:hint="eastAsia" w:ascii="宋体" w:hAnsi="宋体" w:eastAsia="宋体" w:cs="宋体"/>
          <w:spacing w:val="-4"/>
          <w:sz w:val="21"/>
          <w:szCs w:val="21"/>
          <w:highlight w:val="none"/>
          <w:lang w:val="en-US" w:eastAsia="zh-CN"/>
        </w:rPr>
        <w:t>全国公路建设市场监督管理系统</w:t>
      </w:r>
      <w:r>
        <w:rPr>
          <w:rFonts w:ascii="宋体" w:hAnsi="宋体" w:eastAsia="宋体" w:cs="宋体"/>
          <w:spacing w:val="-4"/>
          <w:sz w:val="21"/>
          <w:szCs w:val="21"/>
          <w:highlight w:val="none"/>
        </w:rPr>
        <w:t>”</w:t>
      </w:r>
      <w:r>
        <w:rPr>
          <w:rFonts w:hint="eastAsia" w:ascii="宋体" w:hAnsi="宋体" w:eastAsia="宋体" w:cs="宋体"/>
          <w:spacing w:val="-4"/>
          <w:sz w:val="21"/>
          <w:szCs w:val="21"/>
          <w:highlight w:val="none"/>
          <w:lang w:val="en-US" w:eastAsia="zh-CN"/>
        </w:rPr>
        <w:t>施工企业名录</w:t>
      </w:r>
      <w:r>
        <w:rPr>
          <w:rFonts w:hint="eastAsia" w:ascii="宋体" w:hAnsi="宋体" w:cs="宋体"/>
          <w:spacing w:val="-4"/>
          <w:sz w:val="21"/>
          <w:szCs w:val="21"/>
          <w:highlight w:val="none"/>
          <w:lang w:val="en-US" w:eastAsia="zh-CN"/>
        </w:rPr>
        <w:t>的</w:t>
      </w:r>
      <w:r>
        <w:rPr>
          <w:rFonts w:ascii="宋体" w:hAnsi="宋体" w:eastAsia="宋体" w:cs="宋体"/>
          <w:spacing w:val="-4"/>
          <w:sz w:val="21"/>
          <w:szCs w:val="21"/>
          <w:highlight w:val="none"/>
        </w:rPr>
        <w:t>网页截图，以及投标人在国家企</w:t>
      </w:r>
      <w:r>
        <w:rPr>
          <w:rFonts w:ascii="宋体" w:hAnsi="宋体" w:eastAsia="宋体" w:cs="宋体"/>
          <w:spacing w:val="-4"/>
          <w:sz w:val="21"/>
          <w:szCs w:val="21"/>
        </w:rPr>
        <w:t>业信用信息公示系统中基础信息的网页截图</w:t>
      </w:r>
      <w:r>
        <w:rPr>
          <w:rFonts w:hint="eastAsia" w:ascii="宋体" w:hAnsi="宋体" w:cs="宋体"/>
          <w:spacing w:val="-4"/>
          <w:sz w:val="21"/>
          <w:szCs w:val="21"/>
          <w:lang w:eastAsia="zh-CN"/>
        </w:rPr>
        <w:t>。</w:t>
      </w:r>
      <w:r>
        <w:rPr>
          <w:rFonts w:ascii="宋体" w:hAnsi="宋体" w:eastAsia="宋体" w:cs="宋体"/>
          <w:spacing w:val="-4"/>
          <w:sz w:val="21"/>
          <w:szCs w:val="21"/>
        </w:rPr>
        <w:t>企业法人营业执照副本、施工资质证书副本、安全生产许可证副本、基本账户开户许可证（或基本存款账户信息）的复印件应提供全本（证书封面、封底、空白页除外），应包括投标人名称、投标人其他相关信息、颁发机构名称、投标人信息变更情况等关键页在内，并逐页加盖投标人单位章。</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hint="default" w:ascii="宋体" w:hAnsi="宋体" w:eastAsia="宋体" w:cs="宋体"/>
          <w:spacing w:val="-4"/>
          <w:sz w:val="21"/>
          <w:szCs w:val="21"/>
          <w:lang w:val="en-US" w:eastAsia="zh-CN"/>
        </w:rPr>
      </w:pPr>
      <w:r>
        <w:rPr>
          <w:rFonts w:ascii="宋体" w:hAnsi="宋体" w:eastAsia="宋体" w:cs="宋体"/>
          <w:spacing w:val="-4"/>
          <w:sz w:val="21"/>
          <w:szCs w:val="21"/>
        </w:rPr>
        <w:t>3.5.2“财务状况”应附第三方审计机构出具的财务审计报告（包括资产负债表、利润表、现金流量表和财务报表附注，即“三表一注”），具体年份要求见投标人须知前附表。投标人成立不满一年的,提供最近一个月或一个季度的财务报表。</w:t>
      </w:r>
      <w:r>
        <w:rPr>
          <w:rFonts w:hint="eastAsia" w:ascii="宋体" w:hAnsi="宋体" w:eastAsia="宋体" w:cs="宋体"/>
          <w:spacing w:val="-4"/>
          <w:sz w:val="21"/>
          <w:szCs w:val="21"/>
          <w:lang w:val="en-US" w:eastAsia="zh-CN"/>
        </w:rPr>
        <w:t>(本项目不适用）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highlight w:val="yellow"/>
        </w:rPr>
      </w:pPr>
      <w:r>
        <w:rPr>
          <w:rFonts w:ascii="宋体" w:hAnsi="宋体" w:eastAsia="宋体" w:cs="宋体"/>
          <w:spacing w:val="-4"/>
          <w:sz w:val="21"/>
          <w:szCs w:val="21"/>
        </w:rPr>
        <w:t>3.5.</w:t>
      </w:r>
      <w:r>
        <w:rPr>
          <w:rFonts w:ascii="宋体" w:hAnsi="宋体" w:eastAsia="宋体" w:cs="宋体"/>
          <w:spacing w:val="-4"/>
          <w:sz w:val="21"/>
          <w:szCs w:val="21"/>
          <w:highlight w:val="none"/>
        </w:rPr>
        <w:t>3“近年完成的类似项目情况表”应附</w:t>
      </w:r>
      <w:r>
        <w:rPr>
          <w:rFonts w:hint="eastAsia" w:ascii="宋体" w:hAnsi="宋体" w:eastAsia="宋体" w:cs="宋体"/>
          <w:spacing w:val="-4"/>
          <w:sz w:val="21"/>
          <w:szCs w:val="21"/>
          <w:highlight w:val="none"/>
        </w:rPr>
        <w:t>2021年1月1日以来至投标截止时间（以交（竣）工日期为准）</w:t>
      </w:r>
      <w:r>
        <w:rPr>
          <w:rFonts w:hint="eastAsia" w:ascii="宋体" w:hAnsi="宋体" w:eastAsia="宋体" w:cs="宋体"/>
          <w:spacing w:val="-4"/>
          <w:sz w:val="21"/>
          <w:szCs w:val="21"/>
          <w:highlight w:val="none"/>
          <w:lang w:val="en-US" w:eastAsia="zh-CN"/>
        </w:rPr>
        <w:t>至少完成过1项不少于4公里（含）及以上公路业绩（新建、改、扩）建等任意一项达到4公里即可）。（须在投标文件中提供中标通知书原件扫描件、合同原件扫描件、交（竣）工验收证书原件扫描件及中标公示或公告网页查询截图并加盖企业电子章）</w:t>
      </w:r>
      <w:r>
        <w:rPr>
          <w:rFonts w:ascii="宋体" w:hAnsi="宋体" w:eastAsia="宋体" w:cs="宋体"/>
          <w:spacing w:val="-4"/>
          <w:sz w:val="21"/>
          <w:szCs w:val="21"/>
          <w:highlight w:val="none"/>
        </w:rPr>
        <w:t>。</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04" w:firstLineChars="200"/>
        <w:jc w:val="left"/>
        <w:textAlignment w:val="auto"/>
        <w:rPr>
          <w:rFonts w:ascii="宋体" w:hAnsi="宋体" w:eastAsia="宋体" w:cs="宋体"/>
          <w:b w:val="0"/>
          <w:bCs w:val="0"/>
          <w:color w:val="000000"/>
          <w:sz w:val="21"/>
          <w:szCs w:val="21"/>
        </w:rPr>
      </w:pPr>
      <w:r>
        <w:rPr>
          <w:rFonts w:ascii="宋体" w:hAnsi="宋体" w:eastAsia="宋体" w:cs="宋体"/>
          <w:spacing w:val="-4"/>
          <w:sz w:val="21"/>
          <w:szCs w:val="21"/>
        </w:rPr>
        <w:t>3.5.4</w:t>
      </w:r>
      <w:r>
        <w:rPr>
          <w:rFonts w:hint="eastAsia" w:ascii="宋体" w:hAnsi="宋体" w:eastAsia="宋体" w:cs="宋体"/>
          <w:spacing w:val="-4"/>
          <w:sz w:val="21"/>
          <w:szCs w:val="21"/>
          <w:lang w:val="en-US" w:eastAsia="zh-CN"/>
        </w:rPr>
        <w:t>根据《河南省公路建设市场从业单位及人员信用管理办法》，被河南省交通运输厅2021年以来公路施工企业信用等级评价为D级（黑名单）的投标人的投标文件将不予接受（须提供网上查询结果截图并加盖企业电子章）</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pPr>
      <w:r>
        <w:rPr>
          <w:rFonts w:ascii="宋体" w:hAnsi="宋体" w:eastAsia="宋体" w:cs="宋体"/>
          <w:b w:val="0"/>
          <w:bCs w:val="0"/>
          <w:color w:val="000000"/>
          <w:kern w:val="0"/>
          <w:sz w:val="21"/>
          <w:szCs w:val="21"/>
          <w:lang w:val="en-US" w:eastAsia="zh-CN" w:bidi="ar-SA"/>
        </w:rPr>
        <w:t>3.5.5“拟委任的项目经理和项目总工资历表”应附项目经理和项目总工的身份证</w:t>
      </w:r>
      <w:r>
        <w:rPr>
          <w:rFonts w:ascii="宋体" w:hAnsi="宋体" w:eastAsia="宋体" w:cs="宋体"/>
          <w:spacing w:val="-4"/>
          <w:sz w:val="21"/>
          <w:szCs w:val="21"/>
        </w:rPr>
        <w:t>以及资格审查条件所要求的其他相关证书（如建造师注册证书、安全生产考核合格证书等）的复印件。</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如项目经理或项目总工目前仍在其他项目上任职，则投标人应提供承诺上述人员能够从该项目撤离的书面证明材料原件扫描件。</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3.5.6“拟委任的其他管理和技术人员汇总表”（如有）应填报满足投标人须知前附表规定的其他人员的相关信息。“拟委任的其他管理和技术人员资历表”（如有）中相关人员应附身份证、职称资格证书以及资格审查条件所要求的其他相关证书的复印件，相关业绩证明材料复印件。</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hint="eastAsia" w:ascii="宋体" w:hAnsi="宋体" w:eastAsia="宋体" w:cs="宋体"/>
          <w:spacing w:val="-4"/>
          <w:sz w:val="21"/>
          <w:szCs w:val="21"/>
        </w:rPr>
        <w:t>3.5.7“拟投入本</w:t>
      </w:r>
      <w:r>
        <w:rPr>
          <w:rFonts w:hint="eastAsia" w:ascii="宋体" w:hAnsi="宋体" w:cs="宋体"/>
          <w:spacing w:val="-4"/>
          <w:sz w:val="21"/>
          <w:szCs w:val="21"/>
          <w:lang w:val="en-US" w:eastAsia="zh-CN"/>
        </w:rPr>
        <w:t>项目</w:t>
      </w:r>
      <w:r>
        <w:rPr>
          <w:rFonts w:hint="eastAsia" w:ascii="宋体" w:hAnsi="宋体" w:eastAsia="宋体" w:cs="宋体"/>
          <w:spacing w:val="-4"/>
          <w:sz w:val="21"/>
          <w:szCs w:val="21"/>
        </w:rPr>
        <w:t>的主要施工机械表”“拟配备本</w:t>
      </w:r>
      <w:r>
        <w:rPr>
          <w:rFonts w:hint="eastAsia" w:ascii="宋体" w:hAnsi="宋体" w:cs="宋体"/>
          <w:spacing w:val="-4"/>
          <w:sz w:val="21"/>
          <w:szCs w:val="21"/>
          <w:lang w:val="en-US" w:eastAsia="zh-CN"/>
        </w:rPr>
        <w:t>项目</w:t>
      </w:r>
      <w:r>
        <w:rPr>
          <w:rFonts w:hint="eastAsia" w:ascii="宋体" w:hAnsi="宋体" w:eastAsia="宋体" w:cs="宋体"/>
          <w:spacing w:val="-4"/>
          <w:sz w:val="21"/>
          <w:szCs w:val="21"/>
        </w:rPr>
        <w:t>的主要材料试验、测量、质检仪器设备表”（如有）应填报满足投标人须知前附表附录7规定的机械设备和试验检测设备。</w:t>
      </w:r>
      <w:r>
        <w:rPr>
          <w:rFonts w:hint="eastAsia" w:ascii="宋体" w:hAnsi="宋体" w:eastAsia="宋体" w:cs="宋体"/>
          <w:spacing w:val="-4"/>
          <w:sz w:val="21"/>
          <w:szCs w:val="21"/>
          <w:lang w:val="en-US" w:eastAsia="zh-CN"/>
        </w:rPr>
        <w:t>(本项目不适用）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hint="eastAsia" w:ascii="宋体" w:hAnsi="宋体" w:eastAsia="宋体" w:cs="宋体"/>
          <w:spacing w:val="-4"/>
          <w:sz w:val="21"/>
          <w:szCs w:val="21"/>
        </w:rPr>
        <w:t>3.5.8投标人须知前附表规定接受联合体投标的，本章第3.5.1项至第3.5.7项规定的表格和资料应包括联合体各方相关情况。</w:t>
      </w:r>
      <w:r>
        <w:rPr>
          <w:rFonts w:hint="eastAsia" w:ascii="宋体" w:hAnsi="宋体" w:eastAsia="宋体" w:cs="宋体"/>
          <w:spacing w:val="-4"/>
          <w:sz w:val="21"/>
          <w:szCs w:val="21"/>
          <w:lang w:val="en-US" w:eastAsia="zh-CN"/>
        </w:rPr>
        <w:t>(本项目不适用）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3.5.9除合同条款约定的特殊情形外，投标人在投标文件中填报的项目经理和项目总工不允许更换。</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3.5.10投标人在投标文件中填报的</w:t>
      </w:r>
      <w:r>
        <w:rPr>
          <w:rFonts w:hint="eastAsia" w:ascii="宋体" w:hAnsi="宋体" w:eastAsia="宋体" w:cs="宋体"/>
          <w:spacing w:val="-4"/>
          <w:sz w:val="21"/>
          <w:szCs w:val="21"/>
          <w:lang w:val="en-US" w:eastAsia="zh-CN"/>
        </w:rPr>
        <w:t>投标人名称和资质</w:t>
      </w:r>
      <w:r>
        <w:rPr>
          <w:rFonts w:hint="eastAsia" w:ascii="宋体" w:hAnsi="宋体" w:eastAsia="宋体" w:cs="宋体"/>
          <w:spacing w:val="-4"/>
          <w:sz w:val="21"/>
          <w:szCs w:val="21"/>
        </w:rPr>
        <w:t>，应与其在交通运输主管部门“</w:t>
      </w:r>
      <w:r>
        <w:rPr>
          <w:rFonts w:hint="eastAsia" w:ascii="宋体" w:hAnsi="宋体" w:cs="宋体"/>
          <w:spacing w:val="-4"/>
          <w:sz w:val="21"/>
          <w:szCs w:val="21"/>
          <w:lang w:eastAsia="zh-CN"/>
        </w:rPr>
        <w:t>全国公路建设市场监督管理系统</w:t>
      </w:r>
      <w:r>
        <w:rPr>
          <w:rFonts w:hint="eastAsia" w:ascii="宋体" w:hAnsi="宋体" w:eastAsia="宋体" w:cs="宋体"/>
          <w:spacing w:val="-4"/>
          <w:sz w:val="21"/>
          <w:szCs w:val="21"/>
        </w:rPr>
        <w:t>”上填报并发布的相关信息一致。投标人应根据本单位实际情况及时完成相关信息的申报、录入和动态更新，并对相关信息的真实性、完整性和准确性负责。</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3.5.11招标人有权核查投标人在投标文件中提供的资料，若在评标期间发现投标人提供了虚假资料，其投标将被否决；若在签订合同前发现作为中标候选人的投标人提供了虚假资料，招标人有权取消其中标资格；若在合同实施期间发现投标人提供了虚假资料，招标人有权从工程支付款或履约保证金中扣除不超过</w:t>
      </w:r>
      <w:r>
        <w:rPr>
          <w:rFonts w:hint="eastAsia" w:ascii="宋体" w:hAnsi="宋体" w:eastAsia="宋体" w:cs="宋体"/>
          <w:spacing w:val="-4"/>
          <w:sz w:val="21"/>
          <w:szCs w:val="21"/>
          <w:lang w:val="en-US" w:eastAsia="zh-CN"/>
        </w:rPr>
        <w:t>5</w:t>
      </w:r>
      <w:r>
        <w:rPr>
          <w:rFonts w:hint="eastAsia" w:ascii="宋体" w:hAnsi="宋体" w:eastAsia="宋体" w:cs="宋体"/>
          <w:spacing w:val="-4"/>
          <w:sz w:val="21"/>
          <w:szCs w:val="21"/>
        </w:rPr>
        <w:t>％签约合同价的金额作为违约金。同时招标人将投标人上述弄虚作假行为上报省级交通运输主管部门，作为不良记录纳入</w:t>
      </w:r>
      <w:r>
        <w:rPr>
          <w:rFonts w:hint="eastAsia" w:ascii="宋体" w:hAnsi="宋体" w:cs="宋体"/>
          <w:spacing w:val="-4"/>
          <w:sz w:val="21"/>
          <w:szCs w:val="21"/>
          <w:lang w:eastAsia="zh-CN"/>
        </w:rPr>
        <w:t>全国公路建设市场监督管理系统</w:t>
      </w:r>
      <w:r>
        <w:rPr>
          <w:rFonts w:hint="eastAsia" w:ascii="宋体" w:hAnsi="宋体" w:eastAsia="宋体" w:cs="宋体"/>
          <w:spacing w:val="-4"/>
          <w:sz w:val="21"/>
          <w:szCs w:val="21"/>
        </w:rPr>
        <w:t>。</w:t>
      </w:r>
    </w:p>
    <w:p>
      <w:pPr>
        <w:pStyle w:val="3"/>
        <w:keepNext/>
        <w:keepLines w:val="0"/>
        <w:pageBreakBefore w:val="0"/>
        <w:widowControl w:val="0"/>
        <w:numPr>
          <w:ilvl w:val="1"/>
          <w:numId w:val="0"/>
        </w:numPr>
        <w:kinsoku/>
        <w:wordWrap/>
        <w:overflowPunct/>
        <w:topLinePunct w:val="0"/>
        <w:autoSpaceDE/>
        <w:autoSpaceDN/>
        <w:bidi w:val="0"/>
        <w:adjustRightInd/>
        <w:snapToGrid/>
        <w:spacing w:line="360" w:lineRule="auto"/>
        <w:ind w:firstLine="404" w:firstLineChars="200"/>
        <w:textAlignment w:val="auto"/>
        <w:rPr>
          <w:rFonts w:hint="default" w:eastAsia="宋体"/>
          <w:lang w:val="en-US" w:eastAsia="zh-CN"/>
        </w:rPr>
      </w:pPr>
      <w:r>
        <w:rPr>
          <w:rFonts w:hint="eastAsia" w:ascii="宋体" w:eastAsia="宋体" w:cs="宋体"/>
          <w:spacing w:val="-4"/>
          <w:sz w:val="21"/>
          <w:szCs w:val="21"/>
          <w:lang w:val="en-US" w:eastAsia="zh-CN"/>
        </w:rPr>
        <w:t>3.5.1</w:t>
      </w:r>
      <w:r>
        <w:rPr>
          <w:rFonts w:hint="eastAsia" w:ascii="宋体" w:hAnsi="宋体" w:eastAsia="宋体" w:cs="宋体"/>
          <w:color w:val="auto"/>
          <w:spacing w:val="-4"/>
          <w:kern w:val="2"/>
          <w:sz w:val="21"/>
          <w:szCs w:val="21"/>
          <w:lang w:val="en-US" w:eastAsia="zh-CN" w:bidi="ar-SA"/>
        </w:rPr>
        <w:t>2 投标单位须提供真实有效、清晰可辨的证书证件的扫描件、复印件或照片。因投标人原因导致应得分项而未得分或资格审查不合格等情况的，由投标人自行承担责任。投标文件所附证明材料均为原件的扫描件、复印件或照片，尺寸和清晰度应该能够在电脑上被阅读、识别和判断；若投标人未按要求提供证明材料或提供不清晰的扫描件的，评标委员会有权认定其投标文件未对招标文件有关要求进行响应。各投标单位对原件扫描件、复印件或照片的真实性、合法性、有效性负责。</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pacing w:val="-1"/>
          <w:sz w:val="21"/>
          <w:szCs w:val="21"/>
          <w14:textOutline w14:w="3831" w14:cap="flat" w14:cmpd="sng">
            <w14:solidFill>
              <w14:srgbClr w14:val="000000"/>
            </w14:solidFill>
            <w14:prstDash w14:val="solid"/>
            <w14:miter w14:val="0"/>
          </w14:textOutline>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3.6．备选投标方案</w:t>
      </w:r>
      <w:r>
        <w:rPr>
          <w:rFonts w:hint="eastAsia" w:ascii="宋体" w:hAnsi="宋体" w:eastAsia="宋体" w:cs="宋体"/>
          <w:b/>
          <w:bCs/>
          <w:spacing w:val="-1"/>
          <w:sz w:val="21"/>
          <w:szCs w:val="21"/>
          <w:lang w:val="en-US" w:eastAsia="zh-CN"/>
        </w:rPr>
        <w:t>(本项目不适用）</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3.6.1除投标人须知前附表规定允许外，投标人不得递交备选投标方案，否则其投标将被否决。</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3.6.2允许投标人递交备选投标方案的，只有中标人所递交的备选投标方案方可予以考虑。评标委员会</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认为中标人的备选投标方案优于其按照招标文件要求编制的投标方案的，招标人可以接受该备选投标方案。</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3.6.3投标人提供两个或两个以上投标报价，或在投标文件中提供一个报价，但同时提供两个或两个以</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上施工组织设计的，视为提供备选方案。</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outlineLvl w:val="0"/>
        <w:rPr>
          <w:rFonts w:ascii="宋体" w:hAnsi="宋体" w:eastAsia="宋体" w:cs="宋体"/>
          <w:sz w:val="21"/>
          <w:szCs w:val="21"/>
        </w:rPr>
      </w:pPr>
      <w:bookmarkStart w:id="87" w:name="_Toc23463"/>
      <w:r>
        <w:rPr>
          <w:rFonts w:ascii="宋体" w:hAnsi="宋体" w:eastAsia="宋体" w:cs="宋体"/>
          <w:spacing w:val="-1"/>
          <w:sz w:val="21"/>
          <w:szCs w:val="21"/>
          <w14:textOutline w14:w="3831" w14:cap="flat" w14:cmpd="sng">
            <w14:solidFill>
              <w14:srgbClr w14:val="000000"/>
            </w14:solidFill>
            <w14:prstDash w14:val="solid"/>
            <w14:miter w14:val="0"/>
          </w14:textOutline>
        </w:rPr>
        <w:t>3.7．投标文件的编制</w:t>
      </w:r>
      <w:bookmarkEnd w:id="87"/>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3.7.1投标文件应按第九章“投标文件格式”进行编写，如有必要，可以增加附页，作为投标文件的组成部分。其中，投标函附录在满足招标文件实质性要求的基础上，可以提出比招标文件要求更有利于招标</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人的承诺。</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3.7.2投标文件应当对招标文件有关工期、投标有效期、</w:t>
      </w:r>
      <w:r>
        <w:rPr>
          <w:rFonts w:hint="eastAsia" w:ascii="宋体" w:hAnsi="宋体" w:cs="宋体"/>
          <w:spacing w:val="-4"/>
          <w:sz w:val="21"/>
          <w:szCs w:val="21"/>
          <w:lang w:eastAsia="zh-CN"/>
        </w:rPr>
        <w:t>质量目标</w:t>
      </w:r>
      <w:r>
        <w:rPr>
          <w:rFonts w:hint="eastAsia" w:ascii="宋体" w:hAnsi="宋体" w:eastAsia="宋体" w:cs="宋体"/>
          <w:spacing w:val="-4"/>
          <w:sz w:val="21"/>
          <w:szCs w:val="21"/>
        </w:rPr>
        <w:t>、安全目标、招标范围等实质性内容作出响应。</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3.7.3投标文件格式中要求盖单位章的地方，投标人均应使用CA数字证书加盖投标人的单位电子签章。签名可以是手签后上传的，也可以是电子手写签名或法定代表人的个人电子签章。（投标人在电子签章时尽量不要遮挡关键信息）。</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3.7.4投标文件份数见投标人须知前附表。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3.7.5投标文件应编制目录并逐页标注连续页码。装订的其他要求见投标人须知前附表。</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rPr>
          <w:rFonts w:ascii="宋体" w:hAnsi="宋体" w:eastAsia="宋体" w:cs="宋体"/>
          <w:sz w:val="21"/>
          <w:szCs w:val="21"/>
        </w:rPr>
      </w:pPr>
      <w:bookmarkStart w:id="88" w:name="bookmark13"/>
      <w:bookmarkEnd w:id="88"/>
      <w:r>
        <w:rPr>
          <w:rFonts w:ascii="宋体" w:hAnsi="宋体" w:eastAsia="宋体" w:cs="宋体"/>
          <w:sz w:val="21"/>
          <w:szCs w:val="21"/>
          <w14:textOutline w14:w="3831" w14:cap="flat" w14:cmpd="sng">
            <w14:solidFill>
              <w14:srgbClr w14:val="000000"/>
            </w14:solidFill>
            <w14:prstDash w14:val="solid"/>
            <w14:miter w14:val="0"/>
          </w14:textOutline>
        </w:rPr>
        <w:t>4．投标</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outlineLvl w:val="0"/>
        <w:rPr>
          <w:rFonts w:ascii="宋体" w:hAnsi="宋体" w:eastAsia="宋体" w:cs="宋体"/>
          <w:sz w:val="21"/>
          <w:szCs w:val="21"/>
        </w:rPr>
      </w:pPr>
      <w:bookmarkStart w:id="89" w:name="_Toc14440"/>
      <w:r>
        <w:rPr>
          <w:rFonts w:ascii="宋体" w:hAnsi="宋体" w:eastAsia="宋体" w:cs="宋体"/>
          <w:sz w:val="21"/>
          <w:szCs w:val="21"/>
          <w14:textOutline w14:w="3831" w14:cap="flat" w14:cmpd="sng">
            <w14:solidFill>
              <w14:srgbClr w14:val="000000"/>
            </w14:solidFill>
            <w14:prstDash w14:val="solid"/>
            <w14:miter w14:val="0"/>
          </w14:textOutline>
        </w:rPr>
        <w:t>4.1．投标文件的密封和标识</w:t>
      </w:r>
      <w:bookmarkEnd w:id="89"/>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z w:val="21"/>
          <w:szCs w:val="21"/>
        </w:rPr>
      </w:pPr>
      <w:r>
        <w:rPr>
          <w:rFonts w:ascii="宋体" w:hAnsi="宋体" w:eastAsia="宋体" w:cs="宋体"/>
          <w:spacing w:val="-4"/>
          <w:sz w:val="21"/>
          <w:szCs w:val="21"/>
        </w:rPr>
        <w:t>若采用双信封形式，第4.1.1项和第4.1.2项采用</w:t>
      </w:r>
      <w:r>
        <w:rPr>
          <w:rFonts w:ascii="宋体" w:hAnsi="宋体" w:eastAsia="宋体" w:cs="宋体"/>
          <w:spacing w:val="-5"/>
          <w:sz w:val="21"/>
          <w:szCs w:val="21"/>
        </w:rPr>
        <w:t>以下条款：</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4.1.1投标文件的密封和标记投标人通过网上招投标平台递交的电子投标文件为评标依据，投标人使用工具制作电子投标文件时生成二个文件，一个是已加密投标文件，用于上传到网上；另一个即为未加密投标文件，作为备用投标文件（仅在技术人员确认为非投标人原因导致远程解密失败时使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4.1.2投标文件的递交：网上递交，投标人应当在递交投标文件截止时间前，通过互联网使用CA数字证书登录“洛阳市公共资源交易中心网”，将已加密电子投标文件上传，并确定已加密投标文件保存上传成功。逾期未完成上传或未按规定加密的投标文件，招标人将拒收。投标人应在本章第4.2.1项规定的投标截止时间前将投标文件上传至系统。</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4.1.3投标人递交投标文件的地点：见投标人须知前附表。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4.1.4除投标人须知前附表另有规定外，投标人所递交的投标文件不予退还。</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outlineLvl w:val="0"/>
        <w:rPr>
          <w:rFonts w:ascii="宋体" w:hAnsi="宋体" w:eastAsia="宋体" w:cs="宋体"/>
          <w:sz w:val="21"/>
          <w:szCs w:val="21"/>
        </w:rPr>
      </w:pPr>
      <w:bookmarkStart w:id="90" w:name="_Toc28981"/>
      <w:r>
        <w:rPr>
          <w:rFonts w:ascii="宋体" w:hAnsi="宋体" w:eastAsia="宋体" w:cs="宋体"/>
          <w:sz w:val="21"/>
          <w:szCs w:val="21"/>
          <w14:textOutline w14:w="3831" w14:cap="flat" w14:cmpd="sng">
            <w14:solidFill>
              <w14:srgbClr w14:val="000000"/>
            </w14:solidFill>
            <w14:prstDash w14:val="solid"/>
            <w14:miter w14:val="0"/>
          </w14:textOutline>
        </w:rPr>
        <w:t>4.2．投标文件的递交</w:t>
      </w:r>
      <w:bookmarkEnd w:id="90"/>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4.2.1投标人应在第一章“招标公告”或“投标邀请书”规定的投标截止时间前递交投标文件。</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4.2.2投标人递交投标文件的地点：见第一章“招标公告”或“投标邀请书”。</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4.2.3除投标人须知前附表另有规定外，投标人所递交的投标文件不予退还。</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4.2.</w:t>
      </w:r>
      <w:r>
        <w:rPr>
          <w:rFonts w:hint="eastAsia" w:ascii="宋体" w:hAnsi="宋体" w:eastAsia="宋体" w:cs="宋体"/>
          <w:spacing w:val="-4"/>
          <w:sz w:val="21"/>
          <w:szCs w:val="21"/>
          <w:lang w:val="en-US" w:eastAsia="zh-CN"/>
        </w:rPr>
        <w:t>4</w:t>
      </w:r>
      <w:r>
        <w:rPr>
          <w:rFonts w:hint="eastAsia" w:ascii="宋体" w:hAnsi="宋体" w:eastAsia="宋体" w:cs="宋体"/>
          <w:spacing w:val="-4"/>
          <w:sz w:val="21"/>
          <w:szCs w:val="21"/>
        </w:rPr>
        <w:t>逾期</w:t>
      </w:r>
      <w:r>
        <w:rPr>
          <w:rFonts w:hint="eastAsia" w:ascii="宋体" w:hAnsi="宋体" w:eastAsia="宋体" w:cs="宋体"/>
          <w:spacing w:val="-4"/>
          <w:sz w:val="21"/>
          <w:szCs w:val="21"/>
          <w:lang w:val="en-US" w:eastAsia="zh-CN"/>
        </w:rPr>
        <w:t>递交</w:t>
      </w:r>
      <w:r>
        <w:rPr>
          <w:rFonts w:hint="eastAsia" w:ascii="宋体" w:hAnsi="宋体" w:eastAsia="宋体" w:cs="宋体"/>
          <w:spacing w:val="-4"/>
          <w:sz w:val="21"/>
          <w:szCs w:val="21"/>
        </w:rPr>
        <w:t>的或未送达指定地点的投标文件，招标人将予以拒收。</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outlineLvl w:val="0"/>
        <w:rPr>
          <w:rFonts w:ascii="宋体" w:hAnsi="宋体" w:eastAsia="宋体" w:cs="宋体"/>
          <w:sz w:val="21"/>
          <w:szCs w:val="21"/>
        </w:rPr>
      </w:pPr>
      <w:bookmarkStart w:id="91" w:name="_Toc19922"/>
      <w:r>
        <w:rPr>
          <w:rFonts w:ascii="宋体" w:hAnsi="宋体" w:eastAsia="宋体" w:cs="宋体"/>
          <w:sz w:val="21"/>
          <w:szCs w:val="21"/>
          <w14:textOutline w14:w="3831" w14:cap="flat" w14:cmpd="sng">
            <w14:solidFill>
              <w14:srgbClr w14:val="000000"/>
            </w14:solidFill>
            <w14:prstDash w14:val="solid"/>
            <w14:miter w14:val="0"/>
          </w14:textOutline>
        </w:rPr>
        <w:t>4.3．投标文件的修改与撤回</w:t>
      </w:r>
      <w:bookmarkEnd w:id="91"/>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position w:val="15"/>
          <w:sz w:val="21"/>
          <w:szCs w:val="21"/>
        </w:rPr>
        <w:t>4.3.1在本章第4.2.1项规定的投标截止时间前，投标人可以修改或撤回已递交的投标文件，然后重新</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z w:val="21"/>
          <w:szCs w:val="21"/>
        </w:rPr>
      </w:pPr>
      <w:r>
        <w:rPr>
          <w:rFonts w:ascii="宋体" w:hAnsi="宋体" w:eastAsia="宋体" w:cs="宋体"/>
          <w:spacing w:val="-4"/>
          <w:sz w:val="21"/>
          <w:szCs w:val="21"/>
        </w:rPr>
        <w:t>上传投标文件。</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bookmarkStart w:id="92" w:name="bookmark14"/>
      <w:bookmarkEnd w:id="92"/>
      <w:r>
        <w:rPr>
          <w:rFonts w:ascii="宋体" w:hAnsi="宋体" w:eastAsia="宋体" w:cs="宋体"/>
          <w:spacing w:val="-2"/>
          <w:sz w:val="21"/>
          <w:szCs w:val="21"/>
          <w14:textOutline w14:w="3831" w14:cap="flat" w14:cmpd="sng">
            <w14:solidFill>
              <w14:srgbClr w14:val="000000"/>
            </w14:solidFill>
            <w14:prstDash w14:val="solid"/>
            <w14:miter w14:val="0"/>
          </w14:textOutline>
        </w:rPr>
        <w:t>5．开标</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392" w:firstLineChars="200"/>
        <w:jc w:val="left"/>
        <w:textAlignment w:val="baseline"/>
        <w:outlineLvl w:val="0"/>
        <w:rPr>
          <w:rFonts w:ascii="宋体" w:hAnsi="宋体" w:eastAsia="宋体" w:cs="宋体"/>
          <w:spacing w:val="-7"/>
          <w:sz w:val="21"/>
          <w:szCs w:val="21"/>
        </w:rPr>
      </w:pPr>
      <w:bookmarkStart w:id="93" w:name="_Toc1636"/>
      <w:r>
        <w:rPr>
          <w:rFonts w:ascii="宋体" w:hAnsi="宋体" w:eastAsia="宋体" w:cs="宋体"/>
          <w:spacing w:val="-7"/>
          <w:sz w:val="21"/>
          <w:szCs w:val="21"/>
        </w:rPr>
        <w:t>若采用双信封形式，第5.1款采用以下条款：</w:t>
      </w:r>
      <w:bookmarkEnd w:id="93"/>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outlineLvl w:val="0"/>
        <w:rPr>
          <w:rFonts w:ascii="宋体" w:hAnsi="宋体" w:eastAsia="宋体" w:cs="宋体"/>
          <w:sz w:val="21"/>
          <w:szCs w:val="21"/>
        </w:rPr>
      </w:pPr>
      <w:bookmarkStart w:id="94" w:name="_Toc1826"/>
      <w:r>
        <w:rPr>
          <w:rFonts w:ascii="宋体" w:hAnsi="宋体" w:eastAsia="宋体" w:cs="宋体"/>
          <w:spacing w:val="-1"/>
          <w:sz w:val="21"/>
          <w:szCs w:val="21"/>
          <w14:textOutline w14:w="3831" w14:cap="flat" w14:cmpd="sng">
            <w14:solidFill>
              <w14:srgbClr w14:val="000000"/>
            </w14:solidFill>
            <w14:prstDash w14:val="solid"/>
            <w14:miter w14:val="0"/>
          </w14:textOutline>
        </w:rPr>
        <w:t>5.1．开标时间和地点</w:t>
      </w:r>
      <w:bookmarkEnd w:id="94"/>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招标人在本章第4.2.1项规定的投标截止时间（开标时间）和投标人须知前附表规定的地点对收到的投标文件第一信封（商务和技术文件）公开开标，并邀请所有投标人的法定代表人或其委托代理人准时参加。</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04" w:firstLineChars="200"/>
        <w:jc w:val="left"/>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招标人在投标人须知前附表规定的时间和地点对投标文件第二信封（报价文件）公开开标，并邀请所有投标人的法定代表人或其委托代理人准时参加。</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04" w:firstLineChars="200"/>
        <w:jc w:val="left"/>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本项目实行远程不见面开标，投标人不必抵达开标现场参加开标会议。</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04" w:firstLineChars="200"/>
        <w:jc w:val="left"/>
        <w:textAlignment w:val="baseline"/>
        <w:rPr>
          <w:rFonts w:hint="eastAsia" w:ascii="宋体" w:hAnsi="宋体" w:eastAsia="宋体" w:cs="宋体"/>
          <w:spacing w:val="-4"/>
          <w:sz w:val="21"/>
          <w:szCs w:val="21"/>
        </w:rPr>
      </w:pPr>
      <w:r>
        <w:rPr>
          <w:rFonts w:hint="eastAsia" w:ascii="宋体" w:hAnsi="宋体" w:eastAsia="宋体" w:cs="宋体"/>
          <w:spacing w:val="-4"/>
          <w:sz w:val="21"/>
          <w:szCs w:val="21"/>
        </w:rPr>
        <w:t>投标人代表须用加密电子投标文件的CA数字证书（法人章、单位公章），通过不见面开标系统完成签到、投标文件解密及确认开标等。</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06" w:firstLineChars="200"/>
        <w:jc w:val="left"/>
        <w:textAlignment w:val="baseline"/>
        <w:rPr>
          <w:rFonts w:hint="eastAsia" w:ascii="宋体" w:hAnsi="宋体" w:eastAsia="宋体" w:cs="宋体"/>
          <w:b/>
          <w:bCs/>
          <w:spacing w:val="-4"/>
          <w:sz w:val="21"/>
          <w:szCs w:val="21"/>
        </w:rPr>
      </w:pPr>
      <w:r>
        <w:rPr>
          <w:rFonts w:hint="eastAsia" w:ascii="宋体" w:hAnsi="宋体" w:eastAsia="宋体" w:cs="宋体"/>
          <w:b/>
          <w:bCs/>
          <w:spacing w:val="-4"/>
          <w:sz w:val="21"/>
          <w:szCs w:val="21"/>
          <w:lang w:val="en-US" w:eastAsia="zh-CN"/>
        </w:rPr>
        <w:t>本项目采用远程不见面交易的模式，开标当日，投标人无需到开标现场参加开标会议，投标人应当在投标截止时间前，登录到洛阳市电子招投标交易平台（http://</w:t>
      </w:r>
      <w:r>
        <w:rPr>
          <w:rFonts w:hint="eastAsia" w:ascii="宋体" w:hAnsi="宋体" w:eastAsia="宋体" w:cs="宋体"/>
          <w:b/>
          <w:bCs/>
          <w:spacing w:val="-4"/>
          <w:sz w:val="21"/>
          <w:szCs w:val="21"/>
          <w:lang w:val="en-US" w:eastAsia="zh-CN"/>
        </w:rPr>
        <w:fldChar w:fldCharType="begin"/>
      </w:r>
      <w:r>
        <w:rPr>
          <w:rFonts w:hint="eastAsia" w:ascii="宋体" w:hAnsi="宋体" w:eastAsia="宋体" w:cs="宋体"/>
          <w:b/>
          <w:bCs/>
          <w:spacing w:val="-4"/>
          <w:sz w:val="21"/>
          <w:szCs w:val="21"/>
          <w:lang w:val="en-US" w:eastAsia="zh-CN"/>
        </w:rPr>
        <w:instrText xml:space="preserve"> HYPERLINK "61.168.99.35" </w:instrText>
      </w:r>
      <w:r>
        <w:rPr>
          <w:rFonts w:hint="eastAsia" w:ascii="宋体" w:hAnsi="宋体" w:eastAsia="宋体" w:cs="宋体"/>
          <w:b/>
          <w:bCs/>
          <w:spacing w:val="-4"/>
          <w:sz w:val="21"/>
          <w:szCs w:val="21"/>
          <w:lang w:val="en-US" w:eastAsia="zh-CN"/>
        </w:rPr>
        <w:fldChar w:fldCharType="separate"/>
      </w:r>
      <w:r>
        <w:rPr>
          <w:rFonts w:hint="eastAsia" w:ascii="宋体" w:hAnsi="宋体" w:eastAsia="宋体" w:cs="宋体"/>
          <w:b/>
          <w:bCs/>
          <w:spacing w:val="-4"/>
          <w:sz w:val="21"/>
          <w:szCs w:val="21"/>
          <w:lang w:val="en-US" w:eastAsia="zh-CN"/>
        </w:rPr>
        <w:t>61.168.99.35</w:t>
      </w:r>
      <w:r>
        <w:rPr>
          <w:rFonts w:hint="eastAsia" w:ascii="宋体" w:hAnsi="宋体" w:eastAsia="宋体" w:cs="宋体"/>
          <w:b/>
          <w:bCs/>
          <w:spacing w:val="-4"/>
          <w:sz w:val="21"/>
          <w:szCs w:val="21"/>
          <w:lang w:val="en-US" w:eastAsia="zh-CN"/>
        </w:rPr>
        <w:fldChar w:fldCharType="end"/>
      </w:r>
      <w:r>
        <w:rPr>
          <w:rFonts w:hint="eastAsia" w:ascii="宋体" w:hAnsi="宋体" w:eastAsia="宋体" w:cs="宋体"/>
          <w:b/>
          <w:bCs/>
          <w:spacing w:val="-4"/>
          <w:sz w:val="21"/>
          <w:szCs w:val="21"/>
          <w:lang w:val="en-US" w:eastAsia="zh-CN"/>
        </w:rPr>
        <w:t>/TPBidder），点击右上方【不见面开标大厅】按钮进入，在线准时参加开标活动并进行投标文件解密等。因投标人原因未能解密、解密失败或解密超时的将被拒绝。请参照洛阳市公共资源交易中心首页-办事指南-下载中心-操作手册-《洛阳市公共资源交易中心不见面开标大厅操作手册（投标人）》</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outlineLvl w:val="0"/>
        <w:rPr>
          <w:rFonts w:hint="eastAsia" w:ascii="宋体" w:hAnsi="宋体" w:eastAsia="宋体" w:cs="宋体"/>
          <w:sz w:val="21"/>
          <w:szCs w:val="21"/>
          <w:lang w:eastAsia="zh-CN"/>
        </w:rPr>
      </w:pPr>
      <w:bookmarkStart w:id="95" w:name="_Toc1151"/>
      <w:r>
        <w:rPr>
          <w:rFonts w:ascii="宋体" w:hAnsi="宋体" w:eastAsia="宋体" w:cs="宋体"/>
          <w:spacing w:val="-1"/>
          <w:sz w:val="21"/>
          <w:szCs w:val="21"/>
          <w14:textOutline w14:w="3831" w14:cap="flat" w14:cmpd="sng">
            <w14:solidFill>
              <w14:srgbClr w14:val="000000"/>
            </w14:solidFill>
            <w14:prstDash w14:val="solid"/>
            <w14:miter w14:val="0"/>
          </w14:textOutline>
        </w:rPr>
        <w:t>5.2．开标程序</w:t>
      </w:r>
      <w:bookmarkEnd w:id="95"/>
      <w:r>
        <w:rPr>
          <w:rFonts w:hint="eastAsia" w:ascii="宋体" w:hAnsi="宋体" w:cs="宋体"/>
          <w:spacing w:val="-1"/>
          <w:sz w:val="21"/>
          <w:szCs w:val="21"/>
          <w:lang w:eastAsia="zh-CN"/>
          <w14:textOutline w14:w="3831" w14:cap="flat" w14:cmpd="sng">
            <w14:solidFill>
              <w14:srgbClr w14:val="000000"/>
            </w14:solidFill>
            <w14:prstDash w14:val="solid"/>
            <w14:miter w14:val="0"/>
          </w14:textOutline>
        </w:rPr>
        <w:t>（以下均为现场开标形式，本项目不适用）</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rPr>
          <w:rFonts w:ascii="宋体" w:hAnsi="宋体" w:eastAsia="宋体" w:cs="宋体"/>
          <w:sz w:val="21"/>
          <w:szCs w:val="21"/>
        </w:rPr>
      </w:pPr>
      <w:r>
        <w:rPr>
          <w:rFonts w:ascii="宋体" w:hAnsi="宋体" w:eastAsia="宋体" w:cs="宋体"/>
          <w:position w:val="14"/>
          <w:sz w:val="21"/>
          <w:szCs w:val="21"/>
        </w:rPr>
        <w:t>5.2.1主持人按下列程序对投标文件第一个</w:t>
      </w:r>
      <w:r>
        <w:rPr>
          <w:rFonts w:ascii="宋体" w:hAnsi="宋体" w:eastAsia="宋体" w:cs="宋体"/>
          <w:spacing w:val="-1"/>
          <w:position w:val="14"/>
          <w:sz w:val="21"/>
          <w:szCs w:val="21"/>
        </w:rPr>
        <w:t>信封（商务及技术文件）进行开标：</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sz w:val="21"/>
          <w:szCs w:val="21"/>
        </w:rPr>
        <w:t>（1）宣布开标纪律；</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sz w:val="21"/>
          <w:szCs w:val="21"/>
        </w:rPr>
        <w:t>（2）公布在投标截止时间前递交投标文件的投标人数量；</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1" w:firstLine="408" w:firstLineChars="200"/>
        <w:jc w:val="left"/>
        <w:textAlignment w:val="baseline"/>
        <w:rPr>
          <w:rFonts w:ascii="宋体" w:hAnsi="宋体" w:eastAsia="宋体" w:cs="宋体"/>
          <w:sz w:val="21"/>
          <w:szCs w:val="21"/>
        </w:rPr>
      </w:pPr>
      <w:r>
        <w:rPr>
          <w:rFonts w:ascii="宋体" w:hAnsi="宋体" w:eastAsia="宋体" w:cs="宋体"/>
          <w:spacing w:val="-3"/>
          <w:position w:val="15"/>
          <w:sz w:val="21"/>
          <w:szCs w:val="21"/>
        </w:rPr>
        <w:t>（3）按照投标人须知前附表规定的开标顺序当</w:t>
      </w:r>
      <w:r>
        <w:rPr>
          <w:rFonts w:ascii="宋体" w:hAnsi="宋体" w:eastAsia="宋体" w:cs="宋体"/>
          <w:spacing w:val="-4"/>
          <w:position w:val="15"/>
          <w:sz w:val="21"/>
          <w:szCs w:val="21"/>
        </w:rPr>
        <w:t>众开标，公布标段名称、投标人名称、投标保证金的递</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sz w:val="21"/>
          <w:szCs w:val="21"/>
        </w:rPr>
        <w:t>交情况、工期及其他内容，并记录在案；</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position w:val="14"/>
          <w:sz w:val="21"/>
          <w:szCs w:val="21"/>
        </w:rPr>
        <w:t>（4）招标人代表、记录人等有关人员在开标记录上签字确认；</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z w:val="21"/>
          <w:szCs w:val="21"/>
        </w:rPr>
      </w:pPr>
      <w:r>
        <w:rPr>
          <w:rFonts w:ascii="宋体" w:hAnsi="宋体" w:eastAsia="宋体" w:cs="宋体"/>
          <w:spacing w:val="-4"/>
          <w:sz w:val="21"/>
          <w:szCs w:val="21"/>
        </w:rPr>
        <w:t>（5）开标结束。</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396" w:firstLineChars="200"/>
        <w:jc w:val="left"/>
        <w:textAlignment w:val="baseline"/>
        <w:rPr>
          <w:rFonts w:ascii="宋体" w:hAnsi="宋体" w:eastAsia="宋体" w:cs="宋体"/>
          <w:sz w:val="21"/>
          <w:szCs w:val="21"/>
        </w:rPr>
      </w:pPr>
      <w:r>
        <w:rPr>
          <w:rFonts w:ascii="宋体" w:hAnsi="宋体" w:eastAsia="宋体" w:cs="宋体"/>
          <w:spacing w:val="-6"/>
          <w:position w:val="15"/>
          <w:sz w:val="21"/>
          <w:szCs w:val="21"/>
        </w:rPr>
        <w:t>5.2.2在投标文件第一个信封（商务及技术文件）开标现场，投标文件第二个信封（报价文件）不予开</w:t>
      </w:r>
      <w:r>
        <w:rPr>
          <w:rFonts w:hint="eastAsia" w:ascii="宋体" w:hAnsi="宋体" w:cs="宋体"/>
          <w:spacing w:val="-6"/>
          <w:position w:val="15"/>
          <w:sz w:val="21"/>
          <w:szCs w:val="21"/>
          <w:lang w:eastAsia="zh-CN"/>
        </w:rPr>
        <w:t>封。</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position w:val="15"/>
          <w:sz w:val="21"/>
          <w:szCs w:val="21"/>
        </w:rPr>
        <w:t>5.2.3招标人将按照本章第5.1款规定的时间和地点对投标文件第二个信封</w:t>
      </w:r>
      <w:r>
        <w:rPr>
          <w:rFonts w:ascii="宋体" w:hAnsi="宋体" w:eastAsia="宋体" w:cs="宋体"/>
          <w:spacing w:val="-3"/>
          <w:position w:val="15"/>
          <w:sz w:val="21"/>
          <w:szCs w:val="21"/>
        </w:rPr>
        <w:t>（报价文件）进行开标。主</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8" w:firstLineChars="200"/>
        <w:jc w:val="left"/>
        <w:textAlignment w:val="baseline"/>
        <w:rPr>
          <w:rFonts w:ascii="宋体" w:hAnsi="宋体" w:eastAsia="宋体" w:cs="宋体"/>
          <w:sz w:val="21"/>
          <w:szCs w:val="21"/>
        </w:rPr>
      </w:pPr>
      <w:r>
        <w:rPr>
          <w:rFonts w:ascii="宋体" w:hAnsi="宋体" w:eastAsia="宋体" w:cs="宋体"/>
          <w:spacing w:val="-3"/>
          <w:sz w:val="21"/>
          <w:szCs w:val="21"/>
        </w:rPr>
        <w:t>持人按下列程序进行开标：</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sz w:val="21"/>
          <w:szCs w:val="21"/>
        </w:rPr>
        <w:t>（1）宣布开标纪律；</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2" w:firstLine="412" w:firstLineChars="200"/>
        <w:jc w:val="left"/>
        <w:textAlignment w:val="baseline"/>
        <w:rPr>
          <w:rFonts w:ascii="宋体" w:hAnsi="宋体" w:eastAsia="宋体" w:cs="宋体"/>
          <w:sz w:val="21"/>
          <w:szCs w:val="21"/>
        </w:rPr>
      </w:pPr>
      <w:r>
        <w:rPr>
          <w:rFonts w:ascii="宋体" w:hAnsi="宋体" w:eastAsia="宋体" w:cs="宋体"/>
          <w:spacing w:val="-2"/>
          <w:position w:val="15"/>
          <w:sz w:val="21"/>
          <w:szCs w:val="21"/>
        </w:rPr>
        <w:t>（2）当众拆开投标文件第一个信封（商务及技术文件</w:t>
      </w:r>
      <w:r>
        <w:rPr>
          <w:rFonts w:ascii="宋体" w:hAnsi="宋体" w:eastAsia="宋体" w:cs="宋体"/>
          <w:spacing w:val="-3"/>
          <w:position w:val="15"/>
          <w:sz w:val="21"/>
          <w:szCs w:val="21"/>
        </w:rPr>
        <w:t>）评审结果的密封袋，宣布通过投标文件第一个</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0" w:firstLineChars="200"/>
        <w:jc w:val="left"/>
        <w:textAlignment w:val="baseline"/>
        <w:rPr>
          <w:rFonts w:ascii="宋体" w:hAnsi="宋体" w:eastAsia="宋体" w:cs="宋体"/>
          <w:sz w:val="21"/>
          <w:szCs w:val="21"/>
        </w:rPr>
      </w:pPr>
      <w:r>
        <w:rPr>
          <w:rFonts w:ascii="宋体" w:hAnsi="宋体" w:eastAsia="宋体" w:cs="宋体"/>
          <w:spacing w:val="-5"/>
          <w:sz w:val="21"/>
          <w:szCs w:val="21"/>
        </w:rPr>
        <w:t>信封（商务及技术文件）评审的投标人名单；</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8" w:firstLineChars="200"/>
        <w:jc w:val="left"/>
        <w:textAlignment w:val="baseline"/>
        <w:rPr>
          <w:rFonts w:ascii="宋体" w:hAnsi="宋体" w:eastAsia="宋体" w:cs="宋体"/>
          <w:sz w:val="21"/>
          <w:szCs w:val="21"/>
        </w:rPr>
      </w:pPr>
      <w:r>
        <w:rPr>
          <w:rFonts w:ascii="宋体" w:hAnsi="宋体" w:eastAsia="宋体" w:cs="宋体"/>
          <w:spacing w:val="-3"/>
          <w:sz w:val="21"/>
          <w:szCs w:val="21"/>
        </w:rPr>
        <w:t>（3）按照投标人须知前附表规定的开标顺序当众开标，开标人只拆封通过</w:t>
      </w:r>
      <w:r>
        <w:rPr>
          <w:rFonts w:ascii="宋体" w:hAnsi="宋体" w:eastAsia="宋体" w:cs="宋体"/>
          <w:spacing w:val="-4"/>
          <w:sz w:val="21"/>
          <w:szCs w:val="21"/>
        </w:rPr>
        <w:t>投标文件第一个信封（商务</w:t>
      </w:r>
      <w:r>
        <w:rPr>
          <w:rFonts w:ascii="宋体" w:hAnsi="宋体" w:eastAsia="宋体" w:cs="宋体"/>
          <w:spacing w:val="-1"/>
          <w:sz w:val="21"/>
          <w:szCs w:val="21"/>
        </w:rPr>
        <w:t>及技术文件）评审的投标文件第二个信封（报价文件</w:t>
      </w:r>
      <w:r>
        <w:rPr>
          <w:rFonts w:ascii="宋体" w:hAnsi="宋体" w:eastAsia="宋体" w:cs="宋体"/>
          <w:spacing w:val="-26"/>
          <w:sz w:val="21"/>
          <w:szCs w:val="21"/>
        </w:rPr>
        <w:t>），</w:t>
      </w:r>
      <w:r>
        <w:rPr>
          <w:rFonts w:ascii="宋体" w:hAnsi="宋体" w:eastAsia="宋体" w:cs="宋体"/>
          <w:spacing w:val="-1"/>
          <w:sz w:val="21"/>
          <w:szCs w:val="21"/>
        </w:rPr>
        <w:t>公</w:t>
      </w:r>
      <w:r>
        <w:rPr>
          <w:rFonts w:ascii="宋体" w:hAnsi="宋体" w:eastAsia="宋体" w:cs="宋体"/>
          <w:spacing w:val="-2"/>
          <w:sz w:val="21"/>
          <w:szCs w:val="21"/>
        </w:rPr>
        <w:t>布标段名称、投标人名称、投标报价及其他内</w:t>
      </w:r>
      <w:r>
        <w:rPr>
          <w:rFonts w:ascii="宋体" w:hAnsi="宋体" w:eastAsia="宋体" w:cs="宋体"/>
          <w:spacing w:val="-1"/>
          <w:sz w:val="21"/>
          <w:szCs w:val="21"/>
        </w:rPr>
        <w:t>容，并记录在案；</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position w:val="15"/>
          <w:sz w:val="21"/>
          <w:szCs w:val="21"/>
        </w:rPr>
        <w:t>（4）招标人代表、记录人等有关人员在开标记录上签字确认；</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sz w:val="21"/>
          <w:szCs w:val="21"/>
        </w:rPr>
        <w:t>（5）开标结束。</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58" w:firstLine="412" w:firstLineChars="200"/>
        <w:jc w:val="left"/>
        <w:textAlignment w:val="baseline"/>
        <w:rPr>
          <w:rFonts w:ascii="宋体" w:hAnsi="宋体" w:eastAsia="宋体" w:cs="宋体"/>
          <w:sz w:val="21"/>
          <w:szCs w:val="21"/>
        </w:rPr>
      </w:pPr>
      <w:r>
        <w:rPr>
          <w:rFonts w:ascii="宋体" w:hAnsi="宋体" w:eastAsia="宋体" w:cs="宋体"/>
          <w:spacing w:val="-2"/>
          <w:sz w:val="21"/>
          <w:szCs w:val="21"/>
        </w:rPr>
        <w:t>5.2.4若采用合理低价法或综合评分法，在投标文件第二个信封（报价文件）开标现场，招标人将按第</w:t>
      </w:r>
      <w:r>
        <w:rPr>
          <w:rFonts w:ascii="宋体" w:hAnsi="宋体" w:eastAsia="宋体" w:cs="宋体"/>
          <w:sz w:val="21"/>
          <w:szCs w:val="21"/>
        </w:rPr>
        <w:t>三章“评标办法”规定的原则计算并宣布评标基准价。若招标人发现投标文件出现以下任一情况，其投标</w:t>
      </w:r>
      <w:r>
        <w:rPr>
          <w:rFonts w:ascii="宋体" w:hAnsi="宋体" w:eastAsia="宋体" w:cs="宋体"/>
          <w:spacing w:val="-1"/>
          <w:sz w:val="21"/>
          <w:szCs w:val="21"/>
        </w:rPr>
        <w:t>报价将不再参加评标基准价的计算：</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sz w:val="21"/>
          <w:szCs w:val="21"/>
        </w:rPr>
        <w:t>（1）未在投标函上填写投标总价；</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position w:val="15"/>
          <w:sz w:val="21"/>
          <w:szCs w:val="21"/>
        </w:rPr>
        <w:t>（2）投标报价中的报价超出招标人公布的最高投标限价（如有</w:t>
      </w:r>
      <w:r>
        <w:rPr>
          <w:rFonts w:ascii="宋体" w:hAnsi="宋体" w:eastAsia="宋体" w:cs="宋体"/>
          <w:spacing w:val="-5"/>
          <w:position w:val="15"/>
          <w:sz w:val="21"/>
          <w:szCs w:val="21"/>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sz w:val="21"/>
          <w:szCs w:val="21"/>
        </w:rPr>
        <w:t>（3）投标报价中报价的大写金额无法确定具体数值；</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8" w:firstLineChars="200"/>
        <w:jc w:val="left"/>
        <w:textAlignment w:val="baseline"/>
        <w:rPr>
          <w:rFonts w:ascii="宋体" w:hAnsi="宋体" w:eastAsia="宋体" w:cs="宋体"/>
          <w:sz w:val="21"/>
          <w:szCs w:val="21"/>
        </w:rPr>
      </w:pPr>
      <w:r>
        <w:rPr>
          <w:rFonts w:ascii="宋体" w:hAnsi="宋体" w:eastAsia="宋体" w:cs="宋体"/>
          <w:spacing w:val="-3"/>
          <w:sz w:val="21"/>
          <w:szCs w:val="21"/>
        </w:rPr>
        <w:t>如果投标人认为某一标段的评标基准价计算有误，有权在开标现场</w:t>
      </w:r>
      <w:r>
        <w:rPr>
          <w:rFonts w:ascii="宋体" w:hAnsi="宋体" w:eastAsia="宋体" w:cs="宋体"/>
          <w:spacing w:val="-4"/>
          <w:sz w:val="21"/>
          <w:szCs w:val="21"/>
        </w:rPr>
        <w:t>提出，经招标人当场核实确认之后，</w:t>
      </w:r>
      <w:r>
        <w:rPr>
          <w:rFonts w:ascii="宋体" w:hAnsi="宋体" w:eastAsia="宋体" w:cs="宋体"/>
          <w:spacing w:val="-2"/>
          <w:sz w:val="21"/>
          <w:szCs w:val="21"/>
        </w:rPr>
        <w:t>可重新宣布评标基准价。开标现场宣布的评标基准价除计算有误经评标委员会修正外，在整个评标期间保</w:t>
      </w:r>
      <w:r>
        <w:rPr>
          <w:rFonts w:ascii="宋体" w:hAnsi="宋体" w:eastAsia="宋体" w:cs="宋体"/>
          <w:spacing w:val="-1"/>
          <w:sz w:val="21"/>
          <w:szCs w:val="21"/>
        </w:rPr>
        <w:t>持不变，不随任何因素发生变化。</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57" w:firstLine="396" w:firstLineChars="200"/>
        <w:jc w:val="left"/>
        <w:textAlignment w:val="baseline"/>
        <w:rPr>
          <w:rFonts w:ascii="宋体" w:hAnsi="宋体" w:eastAsia="宋体" w:cs="宋体"/>
          <w:sz w:val="21"/>
          <w:szCs w:val="21"/>
        </w:rPr>
      </w:pPr>
      <w:r>
        <w:rPr>
          <w:rFonts w:ascii="宋体" w:hAnsi="宋体" w:eastAsia="宋体" w:cs="宋体"/>
          <w:spacing w:val="-6"/>
          <w:sz w:val="21"/>
          <w:szCs w:val="21"/>
        </w:rPr>
        <w:t>5.2.5在投标文件第一个信封（商务及技术文件）或第二个信封（报价文件）开标过程中，若招标</w:t>
      </w:r>
      <w:r>
        <w:rPr>
          <w:rFonts w:ascii="宋体" w:hAnsi="宋体" w:eastAsia="宋体" w:cs="宋体"/>
          <w:spacing w:val="-7"/>
          <w:sz w:val="21"/>
          <w:szCs w:val="21"/>
        </w:rPr>
        <w:t>人宣</w:t>
      </w:r>
      <w:r>
        <w:rPr>
          <w:rFonts w:ascii="宋体" w:hAnsi="宋体" w:eastAsia="宋体" w:cs="宋体"/>
          <w:spacing w:val="-4"/>
          <w:sz w:val="21"/>
          <w:szCs w:val="21"/>
        </w:rPr>
        <w:t>读的内容与投标文件不符，投标人有权在开标现场提出疑问，经招标人当场核查确认之后，可重新宣读其</w:t>
      </w:r>
      <w:r>
        <w:rPr>
          <w:rFonts w:ascii="宋体" w:hAnsi="宋体" w:eastAsia="宋体" w:cs="宋体"/>
          <w:spacing w:val="-1"/>
          <w:sz w:val="21"/>
          <w:szCs w:val="21"/>
        </w:rPr>
        <w:t>投标文件。若投标人现场未提出疑问，则认为投标人已确认招标人宣读的内容。</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outlineLvl w:val="0"/>
        <w:rPr>
          <w:rFonts w:ascii="宋体" w:hAnsi="宋体" w:eastAsia="宋体" w:cs="宋体"/>
          <w:sz w:val="21"/>
          <w:szCs w:val="21"/>
        </w:rPr>
      </w:pPr>
      <w:bookmarkStart w:id="96" w:name="_Toc20690"/>
      <w:r>
        <w:rPr>
          <w:rFonts w:ascii="宋体" w:hAnsi="宋体" w:eastAsia="宋体" w:cs="宋体"/>
          <w:spacing w:val="-1"/>
          <w:sz w:val="21"/>
          <w:szCs w:val="21"/>
          <w14:textOutline w14:w="3831" w14:cap="flat" w14:cmpd="sng">
            <w14:solidFill>
              <w14:srgbClr w14:val="000000"/>
            </w14:solidFill>
            <w14:prstDash w14:val="solid"/>
            <w14:miter w14:val="0"/>
          </w14:textOutline>
        </w:rPr>
        <w:t>5.3．开标补救措施</w:t>
      </w:r>
      <w:bookmarkEnd w:id="96"/>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rPr>
          <w:rFonts w:ascii="宋体" w:hAnsi="宋体" w:eastAsia="宋体" w:cs="宋体"/>
          <w:sz w:val="21"/>
          <w:szCs w:val="21"/>
        </w:rPr>
      </w:pPr>
      <w:r>
        <w:rPr>
          <w:rFonts w:ascii="宋体" w:hAnsi="宋体" w:eastAsia="宋体" w:cs="宋体"/>
          <w:position w:val="15"/>
          <w:sz w:val="21"/>
          <w:szCs w:val="21"/>
        </w:rPr>
        <w:t>5.3.1开标过程中因本章第5.3.2项、第5.3.3项所列原因，导致系统无法正常运行，</w:t>
      </w:r>
      <w:r>
        <w:rPr>
          <w:rFonts w:ascii="宋体" w:hAnsi="宋体" w:eastAsia="宋体" w:cs="宋体"/>
          <w:spacing w:val="-1"/>
          <w:position w:val="15"/>
          <w:sz w:val="21"/>
          <w:szCs w:val="21"/>
        </w:rPr>
        <w:t>将按投标人</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ascii="宋体" w:hAnsi="宋体" w:eastAsia="宋体" w:cs="宋体"/>
          <w:sz w:val="21"/>
          <w:szCs w:val="21"/>
        </w:rPr>
      </w:pPr>
      <w:r>
        <w:rPr>
          <w:rFonts w:ascii="宋体" w:hAnsi="宋体" w:eastAsia="宋体" w:cs="宋体"/>
          <w:spacing w:val="-1"/>
          <w:sz w:val="21"/>
          <w:szCs w:val="21"/>
        </w:rPr>
        <w:t>须知前附表的规定采取补救措施。</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rPr>
          <w:rFonts w:ascii="宋体" w:hAnsi="宋体" w:eastAsia="宋体" w:cs="宋体"/>
          <w:sz w:val="21"/>
          <w:szCs w:val="21"/>
        </w:rPr>
      </w:pPr>
      <w:r>
        <w:rPr>
          <w:rFonts w:ascii="宋体" w:hAnsi="宋体" w:eastAsia="宋体" w:cs="宋体"/>
          <w:position w:val="15"/>
          <w:sz w:val="21"/>
          <w:szCs w:val="21"/>
        </w:rPr>
        <w:t>5.3.2因“洛阳市公共资源交易中心网”系统故障导致投标人无法正常上传加密的投标文</w:t>
      </w:r>
      <w:r>
        <w:rPr>
          <w:rFonts w:ascii="宋体" w:hAnsi="宋体" w:eastAsia="宋体" w:cs="宋体"/>
          <w:spacing w:val="-1"/>
          <w:position w:val="15"/>
          <w:sz w:val="21"/>
          <w:szCs w:val="21"/>
        </w:rPr>
        <w:t>件，投标人</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ascii="宋体" w:hAnsi="宋体" w:eastAsia="宋体" w:cs="宋体"/>
          <w:sz w:val="21"/>
          <w:szCs w:val="21"/>
        </w:rPr>
      </w:pPr>
      <w:r>
        <w:rPr>
          <w:rFonts w:ascii="宋体" w:hAnsi="宋体" w:eastAsia="宋体" w:cs="宋体"/>
          <w:sz w:val="21"/>
          <w:szCs w:val="21"/>
        </w:rPr>
        <w:t>应打印并递交洛阳市公共资源交易中心网自动生成的上传失败的异常记录</w:t>
      </w:r>
      <w:r>
        <w:rPr>
          <w:rFonts w:ascii="宋体" w:hAnsi="宋体" w:eastAsia="宋体" w:cs="宋体"/>
          <w:spacing w:val="-1"/>
          <w:sz w:val="21"/>
          <w:szCs w:val="21"/>
        </w:rPr>
        <w:t>单。</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position w:val="14"/>
          <w:sz w:val="21"/>
          <w:szCs w:val="21"/>
        </w:rPr>
        <w:t>5.3.3当出现以下情况时，应对未开标的中止</w:t>
      </w:r>
      <w:r>
        <w:rPr>
          <w:rFonts w:ascii="宋体" w:hAnsi="宋体" w:eastAsia="宋体" w:cs="宋体"/>
          <w:spacing w:val="-3"/>
          <w:position w:val="14"/>
          <w:sz w:val="21"/>
          <w:szCs w:val="21"/>
        </w:rPr>
        <w:t>电子开标，并在恢复正常后及时安排时间开标：</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sz w:val="21"/>
          <w:szCs w:val="21"/>
        </w:rPr>
        <w:t>（1）系统服务器发生故障，无法访问或无法使用系统；</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position w:val="14"/>
          <w:sz w:val="21"/>
          <w:szCs w:val="21"/>
        </w:rPr>
        <w:t>（2）系统的软件或数据库出现错误，不能进行正常操作；</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sz w:val="21"/>
          <w:szCs w:val="21"/>
        </w:rPr>
        <w:t>（3）系统发现有安全漏洞，有潜在的泄密危险；</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sz w:val="21"/>
          <w:szCs w:val="21"/>
        </w:rPr>
        <w:t>（4）出现断电事故且短时间内无法恢复供电；</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sz w:val="21"/>
          <w:szCs w:val="21"/>
        </w:rPr>
        <w:t>（5）其他无法保证招投标过程正常进行的情形。</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outlineLvl w:val="0"/>
        <w:rPr>
          <w:rFonts w:ascii="宋体" w:hAnsi="宋体" w:eastAsia="宋体" w:cs="宋体"/>
          <w:sz w:val="21"/>
          <w:szCs w:val="21"/>
        </w:rPr>
      </w:pPr>
      <w:bookmarkStart w:id="97" w:name="_Toc5382"/>
      <w:r>
        <w:rPr>
          <w:rFonts w:ascii="宋体" w:hAnsi="宋体" w:eastAsia="宋体" w:cs="宋体"/>
          <w:spacing w:val="-1"/>
          <w:sz w:val="21"/>
          <w:szCs w:val="21"/>
          <w14:textOutline w14:w="3831" w14:cap="flat" w14:cmpd="sng">
            <w14:solidFill>
              <w14:srgbClr w14:val="000000"/>
            </w14:solidFill>
            <w14:prstDash w14:val="solid"/>
            <w14:miter w14:val="0"/>
          </w14:textOutline>
        </w:rPr>
        <w:t>5.4．开标异议</w:t>
      </w:r>
      <w:bookmarkEnd w:id="97"/>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z w:val="21"/>
          <w:szCs w:val="21"/>
        </w:rPr>
      </w:pPr>
      <w:r>
        <w:rPr>
          <w:rFonts w:ascii="宋体" w:hAnsi="宋体" w:eastAsia="宋体" w:cs="宋体"/>
          <w:spacing w:val="-4"/>
          <w:position w:val="14"/>
          <w:sz w:val="21"/>
          <w:szCs w:val="21"/>
        </w:rPr>
        <w:t>投标人对开标有异议的，应当在开标现场提出，招标人当场作出答</w:t>
      </w:r>
      <w:r>
        <w:rPr>
          <w:rFonts w:ascii="宋体" w:hAnsi="宋体" w:eastAsia="宋体" w:cs="宋体"/>
          <w:spacing w:val="-5"/>
          <w:position w:val="14"/>
          <w:sz w:val="21"/>
          <w:szCs w:val="21"/>
        </w:rPr>
        <w:t>复，并制作记录，招标人代表、记</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ascii="宋体" w:hAnsi="宋体" w:eastAsia="宋体" w:cs="宋体"/>
          <w:spacing w:val="-2"/>
          <w:sz w:val="21"/>
          <w:szCs w:val="21"/>
        </w:rPr>
      </w:pPr>
      <w:r>
        <w:rPr>
          <w:rFonts w:ascii="宋体" w:hAnsi="宋体" w:eastAsia="宋体" w:cs="宋体"/>
          <w:spacing w:val="-2"/>
          <w:sz w:val="21"/>
          <w:szCs w:val="21"/>
        </w:rPr>
        <w:t>录人等有关人员在记录上签字确认。</w:t>
      </w:r>
      <w:bookmarkStart w:id="98" w:name="bookmark15"/>
      <w:bookmarkEnd w:id="98"/>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6．评标</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outlineLvl w:val="0"/>
        <w:rPr>
          <w:rFonts w:ascii="宋体" w:hAnsi="宋体" w:eastAsia="宋体" w:cs="宋体"/>
          <w:sz w:val="21"/>
          <w:szCs w:val="21"/>
        </w:rPr>
      </w:pPr>
      <w:bookmarkStart w:id="99" w:name="_Toc10636"/>
      <w:r>
        <w:rPr>
          <w:rFonts w:ascii="宋体" w:hAnsi="宋体" w:eastAsia="宋体" w:cs="宋体"/>
          <w:spacing w:val="-1"/>
          <w:sz w:val="21"/>
          <w:szCs w:val="21"/>
          <w14:textOutline w14:w="3831" w14:cap="flat" w14:cmpd="sng">
            <w14:solidFill>
              <w14:srgbClr w14:val="000000"/>
            </w14:solidFill>
            <w14:prstDash w14:val="solid"/>
            <w14:miter w14:val="0"/>
          </w14:textOutline>
        </w:rPr>
        <w:t>6.1．评标委员会</w:t>
      </w:r>
      <w:bookmarkEnd w:id="99"/>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57" w:firstLine="412" w:firstLineChars="200"/>
        <w:jc w:val="left"/>
        <w:textAlignment w:val="baseline"/>
        <w:rPr>
          <w:rFonts w:ascii="宋体" w:hAnsi="宋体" w:eastAsia="宋体" w:cs="宋体"/>
          <w:sz w:val="21"/>
          <w:szCs w:val="21"/>
        </w:rPr>
      </w:pPr>
      <w:r>
        <w:rPr>
          <w:rFonts w:ascii="宋体" w:hAnsi="宋体" w:eastAsia="宋体" w:cs="宋体"/>
          <w:spacing w:val="-2"/>
          <w:position w:val="15"/>
          <w:sz w:val="21"/>
          <w:szCs w:val="21"/>
        </w:rPr>
        <w:t>6.1.1评标由招标人依法组建的评标委员会负责。评标委员会由招标人代表以及有关技术、经济等方面</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ascii="宋体" w:hAnsi="宋体" w:eastAsia="宋体" w:cs="宋体"/>
          <w:sz w:val="21"/>
          <w:szCs w:val="21"/>
        </w:rPr>
      </w:pPr>
      <w:r>
        <w:rPr>
          <w:rFonts w:ascii="宋体" w:hAnsi="宋体" w:eastAsia="宋体" w:cs="宋体"/>
          <w:sz w:val="21"/>
          <w:szCs w:val="21"/>
        </w:rPr>
        <w:t>的专家组成。评标委员会成员人数以及技术、经济等</w:t>
      </w:r>
      <w:r>
        <w:rPr>
          <w:rFonts w:ascii="宋体" w:hAnsi="宋体" w:eastAsia="宋体" w:cs="宋体"/>
          <w:spacing w:val="-1"/>
          <w:sz w:val="21"/>
          <w:szCs w:val="21"/>
        </w:rPr>
        <w:t>方面专家的确定方式见投标人须知前附表。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sz w:val="21"/>
          <w:szCs w:val="21"/>
        </w:rPr>
        <w:t>6.1.2评标委员会成员有下列情形之一的，</w:t>
      </w:r>
      <w:r>
        <w:rPr>
          <w:rFonts w:ascii="宋体" w:hAnsi="宋体" w:eastAsia="宋体" w:cs="宋体"/>
          <w:spacing w:val="-2"/>
          <w:sz w:val="21"/>
          <w:szCs w:val="21"/>
        </w:rPr>
        <w:t>应主动提出回避：</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position w:val="15"/>
          <w:sz w:val="21"/>
          <w:szCs w:val="21"/>
        </w:rPr>
        <w:t>（1）为负责招标项目监督管理的交通运输主管部门的工作人员；</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sz w:val="21"/>
          <w:szCs w:val="21"/>
        </w:rPr>
        <w:t>（2）与投标人法定代表人或其委托代理人有近亲属关系；</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sz w:val="21"/>
          <w:szCs w:val="21"/>
        </w:rPr>
        <w:t>（3）为投标人的工作人员或退休人员；</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z w:val="21"/>
          <w:szCs w:val="21"/>
        </w:rPr>
      </w:pPr>
      <w:r>
        <w:rPr>
          <w:rFonts w:ascii="宋体" w:hAnsi="宋体" w:eastAsia="宋体" w:cs="宋体"/>
          <w:spacing w:val="-4"/>
          <w:sz w:val="21"/>
          <w:szCs w:val="21"/>
        </w:rPr>
        <w:t>（4）与投标人有其他利害关系，可能影响评标活动公正性；</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rPr>
          <w:rFonts w:ascii="宋体" w:hAnsi="宋体" w:eastAsia="宋体" w:cs="宋体"/>
          <w:sz w:val="21"/>
          <w:szCs w:val="21"/>
        </w:rPr>
      </w:pPr>
      <w:r>
        <w:rPr>
          <w:rFonts w:ascii="宋体" w:hAnsi="宋体" w:eastAsia="宋体" w:cs="宋体"/>
          <w:sz w:val="21"/>
          <w:szCs w:val="21"/>
        </w:rPr>
        <w:t>（5）在与招标投标有关的活动中有过违法违规行为、曾受过行</w:t>
      </w:r>
      <w:r>
        <w:rPr>
          <w:rFonts w:ascii="宋体" w:hAnsi="宋体" w:eastAsia="宋体" w:cs="宋体"/>
          <w:spacing w:val="-1"/>
          <w:sz w:val="21"/>
          <w:szCs w:val="21"/>
        </w:rPr>
        <w:t>政处罚或刑事处罚的。</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position w:val="15"/>
          <w:sz w:val="21"/>
          <w:szCs w:val="21"/>
        </w:rPr>
        <w:t>6.1.3评标过程中，评标委员会成员有回避事由、擅离职守或因健康等原因不能继续评标的，招标人</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ascii="宋体" w:hAnsi="宋体" w:eastAsia="宋体" w:cs="宋体"/>
          <w:sz w:val="21"/>
          <w:szCs w:val="21"/>
        </w:rPr>
      </w:pPr>
      <w:r>
        <w:rPr>
          <w:rFonts w:ascii="宋体" w:hAnsi="宋体" w:eastAsia="宋体" w:cs="宋体"/>
          <w:sz w:val="21"/>
          <w:szCs w:val="21"/>
        </w:rPr>
        <w:t>有权更换。被更换的评标委员会成员作出的评审结论无效，由更换后的评标委员会成员重新进行评审。</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outlineLvl w:val="0"/>
        <w:rPr>
          <w:rFonts w:ascii="宋体" w:hAnsi="宋体" w:eastAsia="宋体" w:cs="宋体"/>
          <w:sz w:val="21"/>
          <w:szCs w:val="21"/>
        </w:rPr>
      </w:pPr>
      <w:bookmarkStart w:id="100" w:name="_Toc29318"/>
      <w:r>
        <w:rPr>
          <w:rFonts w:ascii="宋体" w:hAnsi="宋体" w:eastAsia="宋体" w:cs="宋体"/>
          <w:spacing w:val="-1"/>
          <w:sz w:val="21"/>
          <w:szCs w:val="21"/>
          <w14:textOutline w14:w="3831" w14:cap="flat" w14:cmpd="sng">
            <w14:solidFill>
              <w14:srgbClr w14:val="000000"/>
            </w14:solidFill>
            <w14:prstDash w14:val="solid"/>
            <w14:miter w14:val="0"/>
          </w14:textOutline>
        </w:rPr>
        <w:t>6.2．评标原则</w:t>
      </w:r>
      <w:bookmarkEnd w:id="100"/>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sz w:val="21"/>
          <w:szCs w:val="21"/>
        </w:rPr>
        <w:t>评标活动遵循公平、公正、科学和择优的原则。</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outlineLvl w:val="0"/>
        <w:rPr>
          <w:rFonts w:ascii="宋体" w:hAnsi="宋体" w:eastAsia="宋体" w:cs="宋体"/>
          <w:sz w:val="21"/>
          <w:szCs w:val="21"/>
        </w:rPr>
      </w:pPr>
      <w:bookmarkStart w:id="101" w:name="_Toc17960"/>
      <w:r>
        <w:rPr>
          <w:rFonts w:ascii="宋体" w:hAnsi="宋体" w:eastAsia="宋体" w:cs="宋体"/>
          <w:spacing w:val="-1"/>
          <w:sz w:val="21"/>
          <w:szCs w:val="21"/>
          <w14:textOutline w14:w="3831" w14:cap="flat" w14:cmpd="sng">
            <w14:solidFill>
              <w14:srgbClr w14:val="000000"/>
            </w14:solidFill>
            <w14:prstDash w14:val="solid"/>
            <w14:miter w14:val="0"/>
          </w14:textOutline>
        </w:rPr>
        <w:t>6.3．评标</w:t>
      </w:r>
      <w:bookmarkEnd w:id="101"/>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position w:val="15"/>
          <w:sz w:val="21"/>
          <w:szCs w:val="21"/>
        </w:rPr>
        <w:t>6.3.1评标委员会按照第三章“评标办法”规定的方法、评审因素、标准和程序对投标文件进行评审。</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ascii="宋体" w:hAnsi="宋体" w:eastAsia="宋体" w:cs="宋体"/>
          <w:sz w:val="21"/>
          <w:szCs w:val="21"/>
        </w:rPr>
      </w:pPr>
      <w:r>
        <w:rPr>
          <w:rFonts w:ascii="宋体" w:hAnsi="宋体" w:eastAsia="宋体" w:cs="宋体"/>
          <w:spacing w:val="-4"/>
          <w:sz w:val="21"/>
          <w:szCs w:val="21"/>
        </w:rPr>
        <w:t>第三章“评标办法”没有规定的方法、评审因素和标准，不作为评标依据。</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56" w:firstLine="408" w:firstLineChars="200"/>
        <w:jc w:val="left"/>
        <w:textAlignment w:val="baseline"/>
        <w:rPr>
          <w:rFonts w:ascii="宋体" w:hAnsi="宋体" w:eastAsia="宋体" w:cs="宋体"/>
          <w:sz w:val="21"/>
          <w:szCs w:val="21"/>
        </w:rPr>
      </w:pPr>
      <w:r>
        <w:rPr>
          <w:rFonts w:ascii="宋体" w:hAnsi="宋体" w:eastAsia="宋体" w:cs="宋体"/>
          <w:spacing w:val="-3"/>
          <w:position w:val="15"/>
          <w:sz w:val="21"/>
          <w:szCs w:val="21"/>
        </w:rPr>
        <w:t>6.3.2评标完成后，评标委员会应当向招标人提交书面评标报告和中标候选人名单。评标委员会推荐中</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ascii="宋体" w:hAnsi="宋体" w:eastAsia="宋体" w:cs="宋体"/>
          <w:sz w:val="21"/>
          <w:szCs w:val="21"/>
        </w:rPr>
      </w:pPr>
      <w:r>
        <w:rPr>
          <w:rFonts w:ascii="宋体" w:hAnsi="宋体" w:eastAsia="宋体" w:cs="宋体"/>
          <w:spacing w:val="-1"/>
          <w:sz w:val="21"/>
          <w:szCs w:val="21"/>
        </w:rPr>
        <w:t>标候选人的人数见投标人须知前附表。</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bookmarkStart w:id="102" w:name="bookmark16"/>
      <w:bookmarkEnd w:id="102"/>
      <w:r>
        <w:rPr>
          <w:rFonts w:ascii="宋体" w:hAnsi="宋体" w:eastAsia="宋体" w:cs="宋体"/>
          <w:spacing w:val="-1"/>
          <w:sz w:val="21"/>
          <w:szCs w:val="21"/>
          <w14:textOutline w14:w="3831" w14:cap="flat" w14:cmpd="sng">
            <w14:solidFill>
              <w14:srgbClr w14:val="000000"/>
            </w14:solidFill>
            <w14:prstDash w14:val="solid"/>
            <w14:miter w14:val="0"/>
          </w14:textOutline>
        </w:rPr>
        <w:t>7．合同授予</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outlineLvl w:val="0"/>
        <w:rPr>
          <w:rFonts w:ascii="宋体" w:hAnsi="宋体" w:eastAsia="宋体" w:cs="宋体"/>
          <w:sz w:val="21"/>
          <w:szCs w:val="21"/>
        </w:rPr>
      </w:pPr>
      <w:bookmarkStart w:id="103" w:name="_Toc14594"/>
      <w:r>
        <w:rPr>
          <w:rFonts w:ascii="宋体" w:hAnsi="宋体" w:eastAsia="宋体" w:cs="宋体"/>
          <w:sz w:val="21"/>
          <w:szCs w:val="21"/>
          <w14:textOutline w14:w="3831" w14:cap="flat" w14:cmpd="sng">
            <w14:solidFill>
              <w14:srgbClr w14:val="000000"/>
            </w14:solidFill>
            <w14:prstDash w14:val="solid"/>
            <w14:miter w14:val="0"/>
          </w14:textOutline>
        </w:rPr>
        <w:t>7.1．中标候选人公示</w:t>
      </w:r>
      <w:bookmarkEnd w:id="103"/>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8" w:firstLineChars="200"/>
        <w:jc w:val="left"/>
        <w:textAlignment w:val="baseline"/>
        <w:rPr>
          <w:rFonts w:ascii="宋体" w:hAnsi="宋体" w:eastAsia="宋体" w:cs="宋体"/>
          <w:sz w:val="21"/>
          <w:szCs w:val="21"/>
        </w:rPr>
      </w:pPr>
      <w:r>
        <w:rPr>
          <w:rFonts w:ascii="宋体" w:hAnsi="宋体" w:eastAsia="宋体" w:cs="宋体"/>
          <w:spacing w:val="-3"/>
          <w:position w:val="15"/>
          <w:sz w:val="21"/>
          <w:szCs w:val="21"/>
        </w:rPr>
        <w:t>招标人在收到评标报告之日起3日内，按照投标人须知前附表规定的公示媒介和期限公示中标候选人，</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ascii="宋体" w:hAnsi="宋体" w:eastAsia="宋体" w:cs="宋体"/>
          <w:sz w:val="21"/>
          <w:szCs w:val="21"/>
        </w:rPr>
      </w:pPr>
      <w:r>
        <w:rPr>
          <w:rFonts w:ascii="宋体" w:hAnsi="宋体" w:eastAsia="宋体" w:cs="宋体"/>
          <w:spacing w:val="-5"/>
          <w:sz w:val="21"/>
          <w:szCs w:val="21"/>
        </w:rPr>
        <w:t>公示期不得少于3日，公示内容包括：</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8" w:firstLineChars="200"/>
        <w:jc w:val="left"/>
        <w:textAlignment w:val="baseline"/>
        <w:rPr>
          <w:rFonts w:ascii="宋体" w:hAnsi="宋体" w:eastAsia="宋体" w:cs="宋体"/>
          <w:sz w:val="21"/>
          <w:szCs w:val="21"/>
        </w:rPr>
      </w:pPr>
      <w:r>
        <w:rPr>
          <w:rFonts w:ascii="宋体" w:hAnsi="宋体" w:eastAsia="宋体" w:cs="宋体"/>
          <w:spacing w:val="-3"/>
          <w:sz w:val="21"/>
          <w:szCs w:val="21"/>
        </w:rPr>
        <w:t>（1）中标候选人排序、名称、投标报价，对工程</w:t>
      </w:r>
      <w:r>
        <w:rPr>
          <w:rFonts w:hint="eastAsia" w:ascii="宋体" w:hAnsi="宋体" w:cs="宋体"/>
          <w:spacing w:val="-3"/>
          <w:sz w:val="21"/>
          <w:szCs w:val="21"/>
          <w:lang w:eastAsia="zh-CN"/>
        </w:rPr>
        <w:t>质量目标</w:t>
      </w:r>
      <w:r>
        <w:rPr>
          <w:rFonts w:ascii="宋体" w:hAnsi="宋体" w:eastAsia="宋体" w:cs="宋体"/>
          <w:spacing w:val="-3"/>
          <w:sz w:val="21"/>
          <w:szCs w:val="21"/>
        </w:rPr>
        <w:t>、安全目标和工期的响应情况；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rPr>
          <w:rFonts w:ascii="宋体" w:hAnsi="宋体" w:eastAsia="宋体" w:cs="宋体"/>
          <w:sz w:val="21"/>
          <w:szCs w:val="21"/>
        </w:rPr>
      </w:pPr>
      <w:r>
        <w:rPr>
          <w:rFonts w:ascii="宋体" w:hAnsi="宋体" w:eastAsia="宋体" w:cs="宋体"/>
          <w:sz w:val="21"/>
          <w:szCs w:val="21"/>
        </w:rPr>
        <w:t>（2）中标候选人在投标文件中承诺的项目经理和项目总工姓名、个人业</w:t>
      </w:r>
      <w:r>
        <w:rPr>
          <w:rFonts w:ascii="宋体" w:hAnsi="宋体" w:eastAsia="宋体" w:cs="宋体"/>
          <w:spacing w:val="-1"/>
          <w:sz w:val="21"/>
          <w:szCs w:val="21"/>
        </w:rPr>
        <w:t>绩、相关证书名称和编号；</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sz w:val="21"/>
          <w:szCs w:val="21"/>
        </w:rPr>
        <w:t>（3）中标候选人在投标文件中填报的项目业绩；</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sz w:val="21"/>
          <w:szCs w:val="21"/>
        </w:rPr>
        <w:t>（4）被否决投标的投标人名称、否决依据和原因；</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r>
        <w:rPr>
          <w:rFonts w:ascii="宋体" w:hAnsi="宋体" w:eastAsia="宋体" w:cs="宋体"/>
          <w:spacing w:val="-1"/>
          <w:sz w:val="21"/>
          <w:szCs w:val="21"/>
        </w:rPr>
        <w:t>（5）提出异议的渠道和方式；</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sz w:val="21"/>
          <w:szCs w:val="21"/>
        </w:rPr>
        <w:t>（6）投标人须知前附表规定公示的其他内容。</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outlineLvl w:val="0"/>
        <w:rPr>
          <w:rFonts w:ascii="宋体" w:hAnsi="宋体" w:eastAsia="宋体" w:cs="宋体"/>
          <w:sz w:val="21"/>
          <w:szCs w:val="21"/>
        </w:rPr>
      </w:pPr>
      <w:bookmarkStart w:id="104" w:name="_Toc27360"/>
      <w:r>
        <w:rPr>
          <w:rFonts w:ascii="宋体" w:hAnsi="宋体" w:eastAsia="宋体" w:cs="宋体"/>
          <w:spacing w:val="-1"/>
          <w:sz w:val="21"/>
          <w:szCs w:val="21"/>
          <w14:textOutline w14:w="3831" w14:cap="flat" w14:cmpd="sng">
            <w14:solidFill>
              <w14:srgbClr w14:val="000000"/>
            </w14:solidFill>
            <w14:prstDash w14:val="solid"/>
            <w14:miter w14:val="0"/>
          </w14:textOutline>
        </w:rPr>
        <w:t>7.2．评标结果异议</w:t>
      </w:r>
      <w:bookmarkEnd w:id="104"/>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rPr>
          <w:rFonts w:ascii="宋体" w:hAnsi="宋体" w:eastAsia="宋体" w:cs="宋体"/>
          <w:sz w:val="21"/>
          <w:szCs w:val="21"/>
        </w:rPr>
      </w:pPr>
      <w:r>
        <w:rPr>
          <w:rFonts w:ascii="宋体" w:hAnsi="宋体" w:eastAsia="宋体" w:cs="宋体"/>
          <w:position w:val="15"/>
          <w:sz w:val="21"/>
          <w:szCs w:val="21"/>
        </w:rPr>
        <w:t>投标人或其他利害关系人对依法必须进行招标的项目的评标结果有异议的，应在中标候</w:t>
      </w:r>
      <w:r>
        <w:rPr>
          <w:rFonts w:ascii="宋体" w:hAnsi="宋体" w:eastAsia="宋体" w:cs="宋体"/>
          <w:spacing w:val="-1"/>
          <w:position w:val="15"/>
          <w:sz w:val="21"/>
          <w:szCs w:val="21"/>
        </w:rPr>
        <w:t>选人公示期间</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ascii="宋体" w:hAnsi="宋体" w:eastAsia="宋体" w:cs="宋体"/>
          <w:sz w:val="21"/>
          <w:szCs w:val="21"/>
        </w:rPr>
      </w:pPr>
      <w:r>
        <w:rPr>
          <w:rFonts w:ascii="宋体" w:hAnsi="宋体" w:eastAsia="宋体" w:cs="宋体"/>
          <w:spacing w:val="-4"/>
          <w:sz w:val="21"/>
          <w:szCs w:val="21"/>
        </w:rPr>
        <w:t>提出。招标人将在收到异议之日起3日内作出答复；作出答复前，将暂停招标投标活动。</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outlineLvl w:val="0"/>
        <w:rPr>
          <w:rFonts w:ascii="宋体" w:hAnsi="宋体" w:eastAsia="宋体" w:cs="宋体"/>
          <w:sz w:val="21"/>
          <w:szCs w:val="21"/>
        </w:rPr>
      </w:pPr>
      <w:bookmarkStart w:id="105" w:name="_Toc31474"/>
      <w:r>
        <w:rPr>
          <w:rFonts w:ascii="宋体" w:hAnsi="宋体" w:eastAsia="宋体" w:cs="宋体"/>
          <w:sz w:val="21"/>
          <w:szCs w:val="21"/>
          <w14:textOutline w14:w="3831" w14:cap="flat" w14:cmpd="sng">
            <w14:solidFill>
              <w14:srgbClr w14:val="000000"/>
            </w14:solidFill>
            <w14:prstDash w14:val="solid"/>
            <w14:miter w14:val="0"/>
          </w14:textOutline>
        </w:rPr>
        <w:t>7.3．中标候选人履约能力审查</w:t>
      </w:r>
      <w:bookmarkEnd w:id="105"/>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position w:val="15"/>
          <w:sz w:val="21"/>
          <w:szCs w:val="21"/>
        </w:rPr>
        <w:t>中标候选人的经营、财务状况发生较大变化或存</w:t>
      </w:r>
      <w:r>
        <w:rPr>
          <w:rFonts w:ascii="宋体" w:hAnsi="宋体" w:eastAsia="宋体" w:cs="宋体"/>
          <w:spacing w:val="-3"/>
          <w:position w:val="15"/>
          <w:sz w:val="21"/>
          <w:szCs w:val="21"/>
        </w:rPr>
        <w:t>在违法行为，招标人认为可能影响其履约能力的，将</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ascii="宋体" w:hAnsi="宋体" w:eastAsia="宋体" w:cs="宋体"/>
          <w:sz w:val="21"/>
          <w:szCs w:val="21"/>
        </w:rPr>
      </w:pPr>
      <w:r>
        <w:rPr>
          <w:rFonts w:ascii="宋体" w:hAnsi="宋体" w:eastAsia="宋体" w:cs="宋体"/>
          <w:sz w:val="21"/>
          <w:szCs w:val="21"/>
        </w:rPr>
        <w:t>在发出中标通知书前提请原评标委员会按照招标文</w:t>
      </w:r>
      <w:r>
        <w:rPr>
          <w:rFonts w:ascii="宋体" w:hAnsi="宋体" w:eastAsia="宋体" w:cs="宋体"/>
          <w:spacing w:val="-1"/>
          <w:sz w:val="21"/>
          <w:szCs w:val="21"/>
        </w:rPr>
        <w:t>件规定的标准和方法进行审查确认。</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outlineLvl w:val="0"/>
        <w:rPr>
          <w:rFonts w:ascii="宋体" w:hAnsi="宋体" w:eastAsia="宋体" w:cs="宋体"/>
          <w:sz w:val="21"/>
          <w:szCs w:val="21"/>
        </w:rPr>
      </w:pPr>
      <w:bookmarkStart w:id="106" w:name="_Toc19180"/>
      <w:r>
        <w:rPr>
          <w:rFonts w:ascii="宋体" w:hAnsi="宋体" w:eastAsia="宋体" w:cs="宋体"/>
          <w:spacing w:val="-1"/>
          <w:sz w:val="21"/>
          <w:szCs w:val="21"/>
          <w14:textOutline w14:w="3831" w14:cap="flat" w14:cmpd="sng">
            <w14:solidFill>
              <w14:srgbClr w14:val="000000"/>
            </w14:solidFill>
            <w14:prstDash w14:val="solid"/>
            <w14:miter w14:val="0"/>
          </w14:textOutline>
        </w:rPr>
        <w:t>7.4．定标</w:t>
      </w:r>
      <w:bookmarkEnd w:id="106"/>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rPr>
          <w:rFonts w:ascii="宋体" w:hAnsi="宋体" w:eastAsia="宋体" w:cs="宋体"/>
          <w:sz w:val="21"/>
          <w:szCs w:val="21"/>
        </w:rPr>
      </w:pPr>
      <w:r>
        <w:rPr>
          <w:rFonts w:ascii="宋体" w:hAnsi="宋体" w:eastAsia="宋体" w:cs="宋体"/>
          <w:sz w:val="21"/>
          <w:szCs w:val="21"/>
        </w:rPr>
        <w:t>按照投标人须知前附表的规定，招标人或招标人授权的评标委员会依法确</w:t>
      </w:r>
      <w:r>
        <w:rPr>
          <w:rFonts w:ascii="宋体" w:hAnsi="宋体" w:eastAsia="宋体" w:cs="宋体"/>
          <w:spacing w:val="-1"/>
          <w:sz w:val="21"/>
          <w:szCs w:val="21"/>
        </w:rPr>
        <w:t>定中标人。</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outlineLvl w:val="0"/>
        <w:rPr>
          <w:rFonts w:ascii="宋体" w:hAnsi="宋体" w:eastAsia="宋体" w:cs="宋体"/>
          <w:sz w:val="21"/>
          <w:szCs w:val="21"/>
        </w:rPr>
      </w:pPr>
      <w:bookmarkStart w:id="107" w:name="_Toc18142"/>
      <w:r>
        <w:rPr>
          <w:rFonts w:ascii="宋体" w:hAnsi="宋体" w:eastAsia="宋体" w:cs="宋体"/>
          <w:sz w:val="21"/>
          <w:szCs w:val="21"/>
          <w14:textOutline w14:w="3831" w14:cap="flat" w14:cmpd="sng">
            <w14:solidFill>
              <w14:srgbClr w14:val="000000"/>
            </w14:solidFill>
            <w14:prstDash w14:val="solid"/>
            <w14:miter w14:val="0"/>
          </w14:textOutline>
        </w:rPr>
        <w:t>7.5．中标通知</w:t>
      </w:r>
      <w:bookmarkEnd w:id="107"/>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rPr>
          <w:rFonts w:ascii="宋体" w:hAnsi="宋体" w:eastAsia="宋体" w:cs="宋体"/>
          <w:sz w:val="21"/>
          <w:szCs w:val="21"/>
        </w:rPr>
      </w:pPr>
      <w:r>
        <w:rPr>
          <w:rFonts w:ascii="宋体" w:hAnsi="宋体" w:eastAsia="宋体" w:cs="宋体"/>
          <w:position w:val="15"/>
          <w:sz w:val="21"/>
          <w:szCs w:val="21"/>
        </w:rPr>
        <w:t>在本章第3.3款规定的投标有效期内，招标人</w:t>
      </w:r>
      <w:r>
        <w:rPr>
          <w:rFonts w:ascii="宋体" w:hAnsi="宋体" w:eastAsia="宋体" w:cs="宋体"/>
          <w:spacing w:val="-1"/>
          <w:position w:val="15"/>
          <w:sz w:val="21"/>
          <w:szCs w:val="21"/>
        </w:rPr>
        <w:t>以投标人须知前附表规定的形式向中标人发出中标通知</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ascii="宋体" w:hAnsi="宋体" w:eastAsia="宋体" w:cs="宋体"/>
          <w:sz w:val="21"/>
          <w:szCs w:val="21"/>
        </w:rPr>
      </w:pPr>
      <w:r>
        <w:rPr>
          <w:rFonts w:ascii="宋体" w:hAnsi="宋体" w:eastAsia="宋体" w:cs="宋体"/>
          <w:spacing w:val="-1"/>
          <w:sz w:val="21"/>
          <w:szCs w:val="21"/>
        </w:rPr>
        <w:t>书，同时将中标结果通知未中标的投标人。</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outlineLvl w:val="0"/>
        <w:rPr>
          <w:rFonts w:ascii="宋体" w:hAnsi="宋体" w:eastAsia="宋体" w:cs="宋体"/>
          <w:sz w:val="21"/>
          <w:szCs w:val="21"/>
        </w:rPr>
      </w:pPr>
      <w:bookmarkStart w:id="108" w:name="_Toc2587"/>
      <w:r>
        <w:rPr>
          <w:rFonts w:ascii="宋体" w:hAnsi="宋体" w:eastAsia="宋体" w:cs="宋体"/>
          <w:sz w:val="21"/>
          <w:szCs w:val="21"/>
          <w14:textOutline w14:w="3831" w14:cap="flat" w14:cmpd="sng">
            <w14:solidFill>
              <w14:srgbClr w14:val="000000"/>
            </w14:solidFill>
            <w14:prstDash w14:val="solid"/>
            <w14:miter w14:val="0"/>
          </w14:textOutline>
        </w:rPr>
        <w:t>7.6．中标结果公告</w:t>
      </w:r>
      <w:bookmarkEnd w:id="108"/>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8" w:firstLineChars="200"/>
        <w:jc w:val="left"/>
        <w:textAlignment w:val="baseline"/>
        <w:rPr>
          <w:rFonts w:ascii="宋体" w:hAnsi="宋体" w:eastAsia="宋体" w:cs="宋体"/>
          <w:sz w:val="21"/>
          <w:szCs w:val="21"/>
        </w:rPr>
      </w:pPr>
      <w:r>
        <w:rPr>
          <w:rFonts w:ascii="宋体" w:hAnsi="宋体" w:eastAsia="宋体" w:cs="宋体"/>
          <w:spacing w:val="-3"/>
          <w:position w:val="15"/>
          <w:sz w:val="21"/>
          <w:szCs w:val="21"/>
        </w:rPr>
        <w:t>招标人在确定中标人之日起3日内，按照投</w:t>
      </w:r>
      <w:r>
        <w:rPr>
          <w:rFonts w:ascii="宋体" w:hAnsi="宋体" w:eastAsia="宋体" w:cs="宋体"/>
          <w:spacing w:val="-4"/>
          <w:position w:val="15"/>
          <w:sz w:val="21"/>
          <w:szCs w:val="21"/>
        </w:rPr>
        <w:t>标人须知前附表规定的公告媒介和期限公告中标结果，公</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ascii="宋体" w:hAnsi="宋体" w:eastAsia="宋体" w:cs="宋体"/>
          <w:sz w:val="21"/>
          <w:szCs w:val="21"/>
        </w:rPr>
      </w:pPr>
      <w:r>
        <w:rPr>
          <w:rFonts w:ascii="宋体" w:hAnsi="宋体" w:eastAsia="宋体" w:cs="宋体"/>
          <w:spacing w:val="-4"/>
          <w:sz w:val="21"/>
          <w:szCs w:val="21"/>
        </w:rPr>
        <w:t>告期不得少于3日。公告内容包括中标人名称、中标价。</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outlineLvl w:val="0"/>
        <w:rPr>
          <w:rFonts w:hint="default" w:ascii="宋体" w:hAnsi="宋体" w:eastAsia="宋体" w:cs="宋体"/>
          <w:sz w:val="21"/>
          <w:szCs w:val="21"/>
          <w:lang w:val="en-US" w:eastAsia="zh-CN"/>
        </w:rPr>
      </w:pPr>
      <w:bookmarkStart w:id="109" w:name="_Toc27416"/>
      <w:r>
        <w:rPr>
          <w:rFonts w:ascii="宋体" w:hAnsi="宋体" w:eastAsia="宋体" w:cs="宋体"/>
          <w:spacing w:val="-1"/>
          <w:sz w:val="21"/>
          <w:szCs w:val="21"/>
          <w14:textOutline w14:w="3831" w14:cap="flat" w14:cmpd="sng">
            <w14:solidFill>
              <w14:srgbClr w14:val="000000"/>
            </w14:solidFill>
            <w14:prstDash w14:val="solid"/>
            <w14:miter w14:val="0"/>
          </w14:textOutline>
        </w:rPr>
        <w:t>7.7．履约保证金</w:t>
      </w:r>
      <w:r>
        <w:rPr>
          <w:rFonts w:hint="eastAsia" w:ascii="宋体" w:hAnsi="宋体" w:eastAsia="宋体" w:cs="宋体"/>
          <w:spacing w:val="-1"/>
          <w:sz w:val="21"/>
          <w:szCs w:val="21"/>
          <w:lang w:eastAsia="zh-CN"/>
          <w14:textOutline w14:w="3831" w14:cap="flat" w14:cmpd="sng">
            <w14:solidFill>
              <w14:srgbClr w14:val="000000"/>
            </w14:solidFill>
            <w14:prstDash w14:val="solid"/>
            <w14:miter w14:val="0"/>
          </w14:textOutline>
        </w:rPr>
        <w:t>（</w:t>
      </w:r>
      <w:r>
        <w:rPr>
          <w:rFonts w:hint="eastAsia" w:ascii="宋体" w:hAnsi="宋体" w:eastAsia="宋体" w:cs="宋体"/>
          <w:spacing w:val="-1"/>
          <w:sz w:val="21"/>
          <w:szCs w:val="21"/>
          <w:lang w:val="en-US" w:eastAsia="zh-CN"/>
          <w14:textOutline w14:w="3831" w14:cap="flat" w14:cmpd="sng">
            <w14:solidFill>
              <w14:srgbClr w14:val="000000"/>
            </w14:solidFill>
            <w14:prstDash w14:val="solid"/>
            <w14:miter w14:val="0"/>
          </w14:textOutline>
        </w:rPr>
        <w:t>本项目不适用）</w:t>
      </w:r>
      <w:bookmarkEnd w:id="109"/>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7.7.1在签订合同前，中标人应按投标人须知前附表规定的形式、金额和招标文件第四章“合同条款及格式”规定的或事先经过招标人书面认可的履约保证金格式向招标人提交履约保证金。除投标人须知前附表另有规定外，履约保证金为中标合同金额的5%。</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采用电子保函时，应由符合投标人须知前附表规定开具，所需的费用由中标人承担，中标人应保证电子保函有效。</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7.7.2中标人不能按本章第7.7.1项要求提交履约保证金的，视为放弃中标，其投标保证金不予退还，</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ascii="宋体" w:hAnsi="宋体" w:eastAsia="宋体" w:cs="宋体"/>
          <w:spacing w:val="-4"/>
          <w:sz w:val="21"/>
          <w:szCs w:val="21"/>
        </w:rPr>
      </w:pPr>
      <w:r>
        <w:rPr>
          <w:rFonts w:ascii="宋体" w:hAnsi="宋体" w:eastAsia="宋体" w:cs="宋体"/>
          <w:spacing w:val="-4"/>
          <w:sz w:val="21"/>
          <w:szCs w:val="21"/>
        </w:rPr>
        <w:t>给招标人造成的损失超过投标保证金数额的，中标人还应当对超过部分予以赔偿。</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outlineLvl w:val="0"/>
        <w:rPr>
          <w:rFonts w:ascii="宋体" w:hAnsi="宋体" w:eastAsia="宋体" w:cs="宋体"/>
          <w:spacing w:val="-1"/>
          <w:sz w:val="21"/>
          <w:szCs w:val="21"/>
          <w14:textOutline w14:w="3831" w14:cap="flat" w14:cmpd="sng">
            <w14:solidFill>
              <w14:srgbClr w14:val="000000"/>
            </w14:solidFill>
            <w14:prstDash w14:val="solid"/>
            <w14:miter w14:val="0"/>
          </w14:textOutline>
        </w:rPr>
      </w:pPr>
      <w:bookmarkStart w:id="110" w:name="_Toc6190"/>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outlineLvl w:val="0"/>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7.8．签订合同</w:t>
      </w:r>
      <w:bookmarkEnd w:id="110"/>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7.8.1招标人和中标人应当在中标通知书发出之日起</w:t>
      </w:r>
      <w:r>
        <w:rPr>
          <w:rFonts w:hint="eastAsia" w:ascii="宋体" w:hAnsi="宋体" w:cs="宋体"/>
          <w:spacing w:val="-4"/>
          <w:sz w:val="21"/>
          <w:szCs w:val="21"/>
          <w:lang w:val="en-US" w:eastAsia="zh-CN"/>
        </w:rPr>
        <w:t>30</w:t>
      </w:r>
      <w:r>
        <w:rPr>
          <w:rFonts w:ascii="宋体" w:hAnsi="宋体" w:eastAsia="宋体" w:cs="宋体"/>
          <w:spacing w:val="-4"/>
          <w:sz w:val="21"/>
          <w:szCs w:val="21"/>
        </w:rPr>
        <w:t>日内，根据招标文件和中标人的投标文件签订合同。中标人无正当理由拒签合同，在签订合同时向招标人提出附加条件，或不按照招标文件要求提交履约保证金的，招标人有权取消其中标资格，其投标保证金不予退还；给招标人造成的损失超过投标保证金数额的，中标人还应当对超过部分予以赔偿。</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7.8.2发出中标通知书后，招标人无正当理由拒签合同，或在签订合同时向中标人提出附加条件的，招</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ascii="宋体" w:hAnsi="宋体" w:eastAsia="宋体" w:cs="宋体"/>
          <w:spacing w:val="-4"/>
          <w:sz w:val="21"/>
          <w:szCs w:val="21"/>
        </w:rPr>
      </w:pPr>
      <w:r>
        <w:rPr>
          <w:rFonts w:ascii="宋体" w:hAnsi="宋体" w:eastAsia="宋体" w:cs="宋体"/>
          <w:spacing w:val="-4"/>
          <w:sz w:val="21"/>
          <w:szCs w:val="21"/>
        </w:rPr>
        <w:t>标人向中标人退还投标保证金；给中标人造成损失的，还应当赔偿损失。</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7.8.3签约合同价的确定原则如下：（本项目不适用）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（1）按照评标办法规定对投标报价进行修正后，若修正后的最终投标报价小于开标时的投标函大写金</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ascii="宋体" w:hAnsi="宋体" w:eastAsia="宋体" w:cs="宋体"/>
          <w:spacing w:val="-4"/>
          <w:sz w:val="21"/>
          <w:szCs w:val="21"/>
        </w:rPr>
      </w:pPr>
      <w:r>
        <w:rPr>
          <w:rFonts w:ascii="宋体" w:hAnsi="宋体" w:eastAsia="宋体" w:cs="宋体"/>
          <w:spacing w:val="-4"/>
          <w:sz w:val="21"/>
          <w:szCs w:val="21"/>
        </w:rPr>
        <w:t>额报价，则签订合同时以修正后的最终投标报价为准；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（2）按照评标办法规定对投标报价进行修正后，若修正后的最终投标报价大于开标时的投标函大写金</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ascii="宋体" w:hAnsi="宋体" w:eastAsia="宋体" w:cs="宋体"/>
          <w:spacing w:val="-4"/>
          <w:sz w:val="21"/>
          <w:szCs w:val="21"/>
        </w:rPr>
      </w:pPr>
      <w:r>
        <w:rPr>
          <w:rFonts w:ascii="宋体" w:hAnsi="宋体" w:eastAsia="宋体" w:cs="宋体"/>
          <w:spacing w:val="-4"/>
          <w:sz w:val="21"/>
          <w:szCs w:val="21"/>
        </w:rPr>
        <w:t>额报价，则签订合同时以开标时的投标函大写金额报价为准，同时按比例修正相应子目的单价或合价。</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7.8.4联合体中标的，联合体各方应共同与招标人签订合同，就中标项目向招标人承担连带责任。（本项目不适用）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jc w:val="left"/>
        <w:textAlignment w:val="baseline"/>
        <w:rPr>
          <w:rFonts w:ascii="宋体" w:hAnsi="宋体" w:eastAsia="宋体" w:cs="宋体"/>
          <w:spacing w:val="-4"/>
          <w:sz w:val="21"/>
          <w:szCs w:val="21"/>
        </w:rPr>
      </w:pPr>
      <w:r>
        <w:rPr>
          <w:rFonts w:ascii="宋体" w:hAnsi="宋体" w:eastAsia="宋体" w:cs="宋体"/>
          <w:spacing w:val="-4"/>
          <w:sz w:val="21"/>
          <w:szCs w:val="21"/>
        </w:rPr>
        <w:t>7.8.5招标人和中标人在签订合同协议书的同时，须按照本招标文件规定的格式和要求签订廉政合同及</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ascii="宋体" w:hAnsi="宋体" w:eastAsia="宋体" w:cs="宋体"/>
          <w:spacing w:val="-4"/>
          <w:sz w:val="21"/>
          <w:szCs w:val="21"/>
        </w:rPr>
      </w:pPr>
      <w:r>
        <w:rPr>
          <w:rFonts w:ascii="宋体" w:hAnsi="宋体" w:eastAsia="宋体" w:cs="宋体"/>
          <w:spacing w:val="-4"/>
          <w:sz w:val="21"/>
          <w:szCs w:val="21"/>
        </w:rPr>
        <w:t>安全生产合同，明确双方在廉政建设和安全生产方面的权利和义务以及应承担的违约责任。</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rPr>
          <w:rFonts w:ascii="宋体" w:hAnsi="宋体" w:eastAsia="宋体" w:cs="宋体"/>
          <w:sz w:val="21"/>
          <w:szCs w:val="21"/>
        </w:rPr>
      </w:pPr>
      <w:bookmarkStart w:id="111" w:name="bookmark17"/>
      <w:bookmarkEnd w:id="111"/>
      <w:r>
        <w:rPr>
          <w:rFonts w:ascii="宋体" w:hAnsi="宋体" w:eastAsia="宋体" w:cs="宋体"/>
          <w:sz w:val="21"/>
          <w:szCs w:val="21"/>
          <w14:textOutline w14:w="3831" w14:cap="flat" w14:cmpd="sng">
            <w14:solidFill>
              <w14:srgbClr w14:val="000000"/>
            </w14:solidFill>
            <w14:prstDash w14:val="solid"/>
            <w14:miter w14:val="0"/>
          </w14:textOutline>
        </w:rPr>
        <w:t>8．纪律和监督</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outlineLvl w:val="0"/>
        <w:rPr>
          <w:rFonts w:ascii="宋体" w:hAnsi="宋体" w:eastAsia="宋体" w:cs="宋体"/>
          <w:sz w:val="21"/>
          <w:szCs w:val="21"/>
        </w:rPr>
      </w:pPr>
      <w:bookmarkStart w:id="112" w:name="_Toc28725"/>
      <w:r>
        <w:rPr>
          <w:rFonts w:ascii="宋体" w:hAnsi="宋体" w:eastAsia="宋体" w:cs="宋体"/>
          <w:sz w:val="21"/>
          <w:szCs w:val="21"/>
          <w14:textOutline w14:w="3831" w14:cap="flat" w14:cmpd="sng">
            <w14:solidFill>
              <w14:srgbClr w14:val="000000"/>
            </w14:solidFill>
            <w14:prstDash w14:val="solid"/>
            <w14:miter w14:val="0"/>
          </w14:textOutline>
        </w:rPr>
        <w:t>8.1．对招标人的纪律要求</w:t>
      </w:r>
      <w:bookmarkEnd w:id="112"/>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rPr>
          <w:rFonts w:ascii="宋体" w:hAnsi="宋体" w:eastAsia="宋体" w:cs="宋体"/>
          <w:sz w:val="21"/>
          <w:szCs w:val="21"/>
        </w:rPr>
      </w:pPr>
      <w:r>
        <w:rPr>
          <w:rFonts w:ascii="宋体" w:hAnsi="宋体" w:eastAsia="宋体" w:cs="宋体"/>
          <w:position w:val="15"/>
          <w:sz w:val="21"/>
          <w:szCs w:val="21"/>
        </w:rPr>
        <w:t>招标人不得泄露招标投标活动中应保密的情况和资料，不得与投标人串通损害国家利益、社</w:t>
      </w:r>
      <w:r>
        <w:rPr>
          <w:rFonts w:ascii="宋体" w:hAnsi="宋体" w:eastAsia="宋体" w:cs="宋体"/>
          <w:spacing w:val="-1"/>
          <w:position w:val="15"/>
          <w:sz w:val="21"/>
          <w:szCs w:val="21"/>
        </w:rPr>
        <w:t>会公共利</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ascii="宋体" w:hAnsi="宋体" w:eastAsia="宋体" w:cs="宋体"/>
          <w:sz w:val="21"/>
          <w:szCs w:val="21"/>
        </w:rPr>
      </w:pPr>
      <w:r>
        <w:rPr>
          <w:rFonts w:ascii="宋体" w:hAnsi="宋体" w:eastAsia="宋体" w:cs="宋体"/>
          <w:spacing w:val="-3"/>
          <w:sz w:val="21"/>
          <w:szCs w:val="21"/>
        </w:rPr>
        <w:t>益或他人合法权益。</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outlineLvl w:val="0"/>
        <w:rPr>
          <w:rFonts w:ascii="宋体" w:hAnsi="宋体" w:eastAsia="宋体" w:cs="宋体"/>
          <w:sz w:val="21"/>
          <w:szCs w:val="21"/>
        </w:rPr>
      </w:pPr>
      <w:bookmarkStart w:id="113" w:name="_Toc7159"/>
      <w:r>
        <w:rPr>
          <w:rFonts w:ascii="宋体" w:hAnsi="宋体" w:eastAsia="宋体" w:cs="宋体"/>
          <w:sz w:val="21"/>
          <w:szCs w:val="21"/>
          <w14:textOutline w14:w="3831" w14:cap="flat" w14:cmpd="sng">
            <w14:solidFill>
              <w14:srgbClr w14:val="000000"/>
            </w14:solidFill>
            <w14:prstDash w14:val="solid"/>
            <w14:miter w14:val="0"/>
          </w14:textOutline>
        </w:rPr>
        <w:t>8.2．对投标人的纪律要求</w:t>
      </w:r>
      <w:bookmarkEnd w:id="113"/>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2" w:firstLineChars="200"/>
        <w:jc w:val="left"/>
        <w:textAlignment w:val="baseline"/>
        <w:rPr>
          <w:rFonts w:ascii="宋体" w:hAnsi="宋体" w:eastAsia="宋体" w:cs="宋体"/>
          <w:sz w:val="21"/>
          <w:szCs w:val="21"/>
        </w:rPr>
      </w:pPr>
      <w:r>
        <w:rPr>
          <w:rFonts w:ascii="宋体" w:hAnsi="宋体" w:eastAsia="宋体" w:cs="宋体"/>
          <w:spacing w:val="-2"/>
          <w:position w:val="15"/>
          <w:sz w:val="21"/>
          <w:szCs w:val="21"/>
        </w:rPr>
        <w:t>投标人不得相互串通投标或与招标人串通投标，不得向招标人或评标委员会成员行贿谋取中标，不得</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ascii="宋体" w:hAnsi="宋体" w:eastAsia="宋体" w:cs="宋体"/>
          <w:sz w:val="21"/>
          <w:szCs w:val="21"/>
        </w:rPr>
      </w:pPr>
      <w:r>
        <w:rPr>
          <w:rFonts w:ascii="宋体" w:hAnsi="宋体" w:eastAsia="宋体" w:cs="宋体"/>
          <w:spacing w:val="-5"/>
          <w:sz w:val="21"/>
          <w:szCs w:val="21"/>
        </w:rPr>
        <w:t>以他人名义投标或以其他方式弄虚作假骗取中标；投标人不得以任何方式干扰、影</w:t>
      </w:r>
      <w:r>
        <w:rPr>
          <w:rFonts w:ascii="宋体" w:hAnsi="宋体" w:eastAsia="宋体" w:cs="宋体"/>
          <w:spacing w:val="-6"/>
          <w:sz w:val="21"/>
          <w:szCs w:val="21"/>
        </w:rPr>
        <w:t>响评标工作。</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outlineLvl w:val="0"/>
        <w:rPr>
          <w:rFonts w:ascii="宋体" w:hAnsi="宋体" w:eastAsia="宋体" w:cs="宋体"/>
          <w:sz w:val="21"/>
          <w:szCs w:val="21"/>
        </w:rPr>
      </w:pPr>
      <w:bookmarkStart w:id="114" w:name="_Toc18463"/>
      <w:r>
        <w:rPr>
          <w:rFonts w:ascii="宋体" w:hAnsi="宋体" w:eastAsia="宋体" w:cs="宋体"/>
          <w:sz w:val="21"/>
          <w:szCs w:val="21"/>
          <w14:textOutline w14:w="3831" w14:cap="flat" w14:cmpd="sng">
            <w14:solidFill>
              <w14:srgbClr w14:val="000000"/>
            </w14:solidFill>
            <w14:prstDash w14:val="solid"/>
            <w14:miter w14:val="0"/>
          </w14:textOutline>
        </w:rPr>
        <w:t>8.3．对评标委员会成员的纪律要求</w:t>
      </w:r>
      <w:bookmarkEnd w:id="114"/>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83" w:firstLine="420" w:firstLineChars="200"/>
        <w:jc w:val="left"/>
        <w:textAlignment w:val="baseline"/>
        <w:rPr>
          <w:rFonts w:ascii="宋体" w:hAnsi="宋体" w:eastAsia="宋体" w:cs="宋体"/>
          <w:sz w:val="21"/>
          <w:szCs w:val="21"/>
        </w:rPr>
      </w:pPr>
      <w:r>
        <w:rPr>
          <w:rFonts w:ascii="宋体" w:hAnsi="宋体" w:eastAsia="宋体" w:cs="宋体"/>
          <w:sz w:val="21"/>
          <w:szCs w:val="21"/>
        </w:rPr>
        <w:t>评标委员会成员不得收受他人的财物或其他好处，不得向他人透露对投标文件的评审和比较、</w:t>
      </w:r>
      <w:r>
        <w:rPr>
          <w:rFonts w:ascii="宋体" w:hAnsi="宋体" w:eastAsia="宋体" w:cs="宋体"/>
          <w:spacing w:val="-1"/>
          <w:sz w:val="21"/>
          <w:szCs w:val="21"/>
        </w:rPr>
        <w:t>中标候</w:t>
      </w:r>
      <w:r>
        <w:rPr>
          <w:rFonts w:ascii="宋体" w:hAnsi="宋体" w:eastAsia="宋体" w:cs="宋体"/>
          <w:sz w:val="21"/>
          <w:szCs w:val="21"/>
        </w:rPr>
        <w:t>选人的推荐情况以及评标有关的其他情况。在评标活动中，评标委员会成员应客观、</w:t>
      </w:r>
      <w:r>
        <w:rPr>
          <w:rFonts w:ascii="宋体" w:hAnsi="宋体" w:eastAsia="宋体" w:cs="宋体"/>
          <w:spacing w:val="-1"/>
          <w:sz w:val="21"/>
          <w:szCs w:val="21"/>
        </w:rPr>
        <w:t>公正地履行职责，遵</w:t>
      </w:r>
      <w:r>
        <w:rPr>
          <w:rFonts w:ascii="宋体" w:hAnsi="宋体" w:eastAsia="宋体" w:cs="宋体"/>
          <w:sz w:val="21"/>
          <w:szCs w:val="21"/>
        </w:rPr>
        <w:t>守职业道德，不得擅离职守，影响评标程序正常进行，不得使用第三章“评标办法”没有规定的评审因素</w:t>
      </w:r>
      <w:r>
        <w:rPr>
          <w:rFonts w:ascii="宋体" w:hAnsi="宋体" w:eastAsia="宋体" w:cs="宋体"/>
          <w:spacing w:val="-1"/>
          <w:sz w:val="21"/>
          <w:szCs w:val="21"/>
        </w:rPr>
        <w:t>和标准进行评标。</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outlineLvl w:val="0"/>
        <w:rPr>
          <w:rFonts w:ascii="宋体" w:hAnsi="宋体" w:eastAsia="宋体" w:cs="宋体"/>
          <w:sz w:val="21"/>
          <w:szCs w:val="21"/>
        </w:rPr>
      </w:pPr>
      <w:bookmarkStart w:id="115" w:name="_Toc5261"/>
      <w:r>
        <w:rPr>
          <w:rFonts w:ascii="宋体" w:hAnsi="宋体" w:eastAsia="宋体" w:cs="宋体"/>
          <w:sz w:val="21"/>
          <w:szCs w:val="21"/>
          <w14:textOutline w14:w="3831" w14:cap="flat" w14:cmpd="sng">
            <w14:solidFill>
              <w14:srgbClr w14:val="000000"/>
            </w14:solidFill>
            <w14:prstDash w14:val="solid"/>
            <w14:miter w14:val="0"/>
          </w14:textOutline>
        </w:rPr>
        <w:t>8.4．对与评标活动有关的工作人员的纪律要求</w:t>
      </w:r>
      <w:bookmarkEnd w:id="115"/>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84" w:firstLine="420" w:firstLineChars="200"/>
        <w:jc w:val="left"/>
        <w:textAlignment w:val="baseline"/>
        <w:rPr>
          <w:rFonts w:ascii="宋体" w:hAnsi="宋体" w:eastAsia="宋体" w:cs="宋体"/>
          <w:sz w:val="21"/>
          <w:szCs w:val="21"/>
        </w:rPr>
      </w:pPr>
      <w:r>
        <w:rPr>
          <w:rFonts w:ascii="宋体" w:hAnsi="宋体" w:eastAsia="宋体" w:cs="宋体"/>
          <w:sz w:val="21"/>
          <w:szCs w:val="21"/>
        </w:rPr>
        <w:t>与评标活动有关的工作人员不得收受他人的财物或其他好处，不得向他人透露对投</w:t>
      </w:r>
      <w:r>
        <w:rPr>
          <w:rFonts w:ascii="宋体" w:hAnsi="宋体" w:eastAsia="宋体" w:cs="宋体"/>
          <w:spacing w:val="-1"/>
          <w:sz w:val="21"/>
          <w:szCs w:val="21"/>
        </w:rPr>
        <w:t>标文件的评审和比</w:t>
      </w:r>
      <w:r>
        <w:rPr>
          <w:rFonts w:ascii="宋体" w:hAnsi="宋体" w:eastAsia="宋体" w:cs="宋体"/>
          <w:spacing w:val="-2"/>
          <w:sz w:val="21"/>
          <w:szCs w:val="21"/>
        </w:rPr>
        <w:t>较、中标候选人的推荐情况以及评标有关的其他情况。在评标活动中，与评标活动有关的工作人员不得擅</w:t>
      </w:r>
      <w:r>
        <w:rPr>
          <w:rFonts w:ascii="宋体" w:hAnsi="宋体" w:eastAsia="宋体" w:cs="宋体"/>
          <w:spacing w:val="-1"/>
          <w:sz w:val="21"/>
          <w:szCs w:val="21"/>
        </w:rPr>
        <w:t>离职守，影响评标程序正常进行。</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outlineLvl w:val="0"/>
        <w:rPr>
          <w:rFonts w:ascii="宋体" w:hAnsi="宋体" w:eastAsia="宋体" w:cs="宋体"/>
          <w:sz w:val="21"/>
          <w:szCs w:val="21"/>
        </w:rPr>
      </w:pPr>
      <w:bookmarkStart w:id="116" w:name="_Toc24321"/>
      <w:r>
        <w:rPr>
          <w:rFonts w:ascii="宋体" w:hAnsi="宋体" w:eastAsia="宋体" w:cs="宋体"/>
          <w:sz w:val="21"/>
          <w:szCs w:val="21"/>
          <w14:textOutline w14:w="3831" w14:cap="flat" w14:cmpd="sng">
            <w14:solidFill>
              <w14:srgbClr w14:val="000000"/>
            </w14:solidFill>
            <w14:prstDash w14:val="solid"/>
            <w14:miter w14:val="0"/>
          </w14:textOutline>
        </w:rPr>
        <w:t>8.5．投诉</w:t>
      </w:r>
      <w:bookmarkEnd w:id="116"/>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83" w:firstLine="420" w:firstLineChars="200"/>
        <w:jc w:val="left"/>
        <w:textAlignment w:val="baseline"/>
        <w:rPr>
          <w:rFonts w:ascii="宋体" w:hAnsi="宋体" w:eastAsia="宋体" w:cs="宋体"/>
          <w:sz w:val="21"/>
          <w:szCs w:val="21"/>
        </w:rPr>
      </w:pPr>
      <w:r>
        <w:rPr>
          <w:rFonts w:ascii="宋体" w:hAnsi="宋体" w:eastAsia="宋体" w:cs="宋体"/>
          <w:sz w:val="21"/>
          <w:szCs w:val="21"/>
        </w:rPr>
        <w:t>8.5.1投标人或其他利害关系人认为招标投标活动不符合法律、行政法规规定的，可以自知道或应当知道之日起10日内向有关行政监督部门投诉。投诉应当有明确的请求和必要的证明材料。监督部门的联系方式见投标人须知前附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83" w:firstLine="420" w:firstLineChars="200"/>
        <w:jc w:val="left"/>
        <w:textAlignment w:val="baseline"/>
        <w:rPr>
          <w:rFonts w:ascii="宋体" w:hAnsi="宋体" w:eastAsia="宋体" w:cs="宋体"/>
          <w:sz w:val="21"/>
          <w:szCs w:val="21"/>
        </w:rPr>
      </w:pPr>
      <w:r>
        <w:rPr>
          <w:rFonts w:ascii="宋体" w:hAnsi="宋体" w:eastAsia="宋体" w:cs="宋体"/>
          <w:sz w:val="21"/>
          <w:szCs w:val="21"/>
        </w:rPr>
        <w:t>8.5.2投标人或其他利害关系人对招标文件、开标和评标结果提出投诉的，应按照本章第2.4款、第5.3款和第7.2款的规定先向招标人提出异议。异议答复期间不计算在第8.5.1项规定的期限内。</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rPr>
          <w:rFonts w:ascii="宋体" w:hAnsi="宋体" w:eastAsia="宋体" w:cs="宋体"/>
          <w:sz w:val="21"/>
          <w:szCs w:val="21"/>
        </w:rPr>
      </w:pPr>
      <w:bookmarkStart w:id="117" w:name="bookmark18"/>
      <w:bookmarkEnd w:id="117"/>
      <w:r>
        <w:rPr>
          <w:rFonts w:ascii="宋体" w:hAnsi="宋体" w:eastAsia="宋体" w:cs="宋体"/>
          <w:sz w:val="21"/>
          <w:szCs w:val="21"/>
          <w14:textOutline w14:w="3831" w14:cap="flat" w14:cmpd="sng">
            <w14:solidFill>
              <w14:srgbClr w14:val="000000"/>
            </w14:solidFill>
            <w14:prstDash w14:val="solid"/>
            <w14:miter w14:val="0"/>
          </w14:textOutline>
        </w:rPr>
        <w:t>9．是否采用电子招标投标</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left"/>
        <w:textAlignment w:val="baseline"/>
        <w:rPr>
          <w:rFonts w:ascii="宋体" w:hAnsi="宋体" w:eastAsia="宋体" w:cs="宋体"/>
          <w:sz w:val="21"/>
          <w:szCs w:val="21"/>
        </w:rPr>
      </w:pPr>
      <w:r>
        <w:rPr>
          <w:rFonts w:ascii="宋体" w:hAnsi="宋体" w:eastAsia="宋体" w:cs="宋体"/>
          <w:sz w:val="21"/>
          <w:szCs w:val="21"/>
        </w:rPr>
        <w:t>本招标项目是否采用电子招标投标方式，见投标人</w:t>
      </w:r>
      <w:r>
        <w:rPr>
          <w:rFonts w:ascii="宋体" w:hAnsi="宋体" w:eastAsia="宋体" w:cs="宋体"/>
          <w:spacing w:val="-1"/>
          <w:sz w:val="21"/>
          <w:szCs w:val="21"/>
        </w:rPr>
        <w:t>须知前附表。</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jc w:val="left"/>
        <w:textAlignment w:val="baseline"/>
        <w:rPr>
          <w:rFonts w:ascii="宋体" w:hAnsi="宋体" w:eastAsia="宋体" w:cs="宋体"/>
          <w:sz w:val="21"/>
          <w:szCs w:val="21"/>
        </w:rPr>
      </w:pPr>
      <w:bookmarkStart w:id="118" w:name="bookmark19"/>
      <w:bookmarkEnd w:id="118"/>
      <w:r>
        <w:rPr>
          <w:rFonts w:ascii="宋体" w:hAnsi="宋体" w:eastAsia="宋体" w:cs="宋体"/>
          <w:spacing w:val="-1"/>
          <w:sz w:val="21"/>
          <w:szCs w:val="21"/>
          <w14:textOutline w14:w="3831" w14:cap="flat" w14:cmpd="sng">
            <w14:solidFill>
              <w14:srgbClr w14:val="000000"/>
            </w14:solidFill>
            <w14:prstDash w14:val="solid"/>
            <w14:miter w14:val="0"/>
          </w14:textOutline>
        </w:rPr>
        <w:t>10．需要补充的其他内容</w:t>
      </w:r>
    </w:p>
    <w:p>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396" w:firstLineChars="200"/>
        <w:jc w:val="left"/>
        <w:textAlignment w:val="baseline"/>
        <w:rPr>
          <w:rFonts w:ascii="宋体" w:hAnsi="宋体" w:eastAsia="宋体" w:cs="宋体"/>
          <w:sz w:val="21"/>
          <w:szCs w:val="21"/>
        </w:rPr>
      </w:pPr>
      <w:r>
        <w:rPr>
          <w:rFonts w:ascii="宋体" w:hAnsi="宋体" w:eastAsia="宋体" w:cs="宋体"/>
          <w:spacing w:val="-6"/>
          <w:sz w:val="21"/>
          <w:szCs w:val="21"/>
        </w:rPr>
        <w:t>10.1需要补充的其他内容：见投标人须知前附表。</w:t>
      </w:r>
    </w:p>
    <w:p>
      <w:pPr>
        <w:spacing w:line="220" w:lineRule="auto"/>
        <w:rPr>
          <w:rFonts w:ascii="宋体" w:hAnsi="宋体" w:eastAsia="宋体" w:cs="宋体"/>
          <w:sz w:val="21"/>
          <w:szCs w:val="21"/>
        </w:rPr>
        <w:sectPr>
          <w:footerReference r:id="rId7" w:type="default"/>
          <w:pgSz w:w="11907" w:h="16841"/>
          <w:pgMar w:top="1427" w:right="1073" w:bottom="1216" w:left="1087" w:header="0" w:footer="1055" w:gutter="0"/>
          <w:pgNumType w:fmt="decimal"/>
          <w:cols w:space="720" w:num="1"/>
        </w:sectPr>
      </w:pPr>
    </w:p>
    <w:p>
      <w:pPr>
        <w:spacing w:before="68" w:line="220" w:lineRule="auto"/>
        <w:rPr>
          <w:rFonts w:ascii="宋体" w:hAnsi="宋体" w:eastAsia="宋体" w:cs="宋体"/>
          <w:sz w:val="21"/>
          <w:szCs w:val="21"/>
        </w:rPr>
      </w:pPr>
      <w:r>
        <w:rPr>
          <w:rFonts w:ascii="宋体" w:hAnsi="宋体" w:eastAsia="宋体" w:cs="宋体"/>
          <w:spacing w:val="-2"/>
          <w:sz w:val="21"/>
          <w:szCs w:val="21"/>
          <w14:textOutline w14:w="3831" w14:cap="flat" w14:cmpd="sng">
            <w14:solidFill>
              <w14:srgbClr w14:val="000000"/>
            </w14:solidFill>
            <w14:prstDash w14:val="solid"/>
            <w14:miter w14:val="0"/>
          </w14:textOutline>
        </w:rPr>
        <w:t>附件一开标记录表</w:t>
      </w:r>
    </w:p>
    <w:p>
      <w:pPr>
        <w:pStyle w:val="8"/>
        <w:spacing w:line="393" w:lineRule="auto"/>
      </w:pPr>
    </w:p>
    <w:p>
      <w:pPr>
        <w:spacing w:before="78" w:line="217" w:lineRule="auto"/>
        <w:ind w:left="284"/>
        <w:rPr>
          <w:rFonts w:ascii="仿宋" w:hAnsi="仿宋" w:eastAsia="仿宋" w:cs="仿宋"/>
          <w:sz w:val="24"/>
          <w:szCs w:val="24"/>
        </w:rPr>
      </w:pPr>
      <w:r>
        <w:rPr>
          <w:rFonts w:ascii="仿宋" w:hAnsi="仿宋" w:eastAsia="仿宋" w:cs="仿宋"/>
          <w:spacing w:val="-5"/>
          <w:sz w:val="24"/>
          <w:szCs w:val="24"/>
        </w:rPr>
        <w:t>以“电子交易平台”系统显示为准。</w:t>
      </w:r>
    </w:p>
    <w:p>
      <w:pPr>
        <w:tabs>
          <w:tab w:val="left" w:pos="2528"/>
        </w:tabs>
        <w:spacing w:before="177" w:line="361" w:lineRule="auto"/>
        <w:ind w:left="2106"/>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5"/>
          <w:sz w:val="21"/>
          <w:szCs w:val="21"/>
          <w14:textOutline w14:w="3831" w14:cap="flat" w14:cmpd="sng">
            <w14:solidFill>
              <w14:srgbClr w14:val="000000"/>
            </w14:solidFill>
            <w14:prstDash w14:val="solid"/>
            <w14:miter w14:val="0"/>
          </w14:textOutline>
        </w:rPr>
        <w:t>（项目名称）施工第一个信封（商务及技术文件）</w:t>
      </w:r>
    </w:p>
    <w:p>
      <w:pPr>
        <w:spacing w:line="221" w:lineRule="auto"/>
        <w:ind w:left="4120"/>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开标记录表</w:t>
      </w:r>
    </w:p>
    <w:p>
      <w:pPr>
        <w:pStyle w:val="8"/>
        <w:spacing w:line="246" w:lineRule="auto"/>
      </w:pPr>
    </w:p>
    <w:p>
      <w:pPr>
        <w:pStyle w:val="8"/>
        <w:spacing w:line="247" w:lineRule="auto"/>
      </w:pPr>
    </w:p>
    <w:p>
      <w:pPr>
        <w:spacing w:before="68" w:line="221" w:lineRule="auto"/>
        <w:jc w:val="center"/>
        <w:rPr>
          <w:rFonts w:ascii="宋体" w:hAnsi="宋体" w:eastAsia="宋体" w:cs="宋体"/>
          <w:sz w:val="21"/>
          <w:szCs w:val="21"/>
        </w:rPr>
      </w:pPr>
      <w:r>
        <w:rPr>
          <w:rFonts w:hint="eastAsia" w:ascii="宋体" w:hAnsi="宋体" w:cs="宋体"/>
          <w:spacing w:val="-19"/>
          <w:sz w:val="21"/>
          <w:szCs w:val="21"/>
          <w:lang w:val="en-US" w:eastAsia="zh-CN"/>
        </w:rPr>
        <w:t xml:space="preserve">                                                                         </w:t>
      </w:r>
      <w:r>
        <w:rPr>
          <w:rFonts w:ascii="宋体" w:hAnsi="宋体" w:eastAsia="宋体" w:cs="宋体"/>
          <w:spacing w:val="-19"/>
          <w:sz w:val="21"/>
          <w:szCs w:val="21"/>
        </w:rPr>
        <w:t>开标时间：</w:t>
      </w:r>
      <w:r>
        <w:rPr>
          <w:rFonts w:hint="eastAsia" w:ascii="宋体" w:hAnsi="宋体" w:cs="宋体"/>
          <w:spacing w:val="-19"/>
          <w:sz w:val="21"/>
          <w:szCs w:val="21"/>
          <w:u w:val="single"/>
          <w:lang w:val="en-US" w:eastAsia="zh-CN"/>
        </w:rPr>
        <w:t xml:space="preserve">    </w:t>
      </w:r>
      <w:r>
        <w:rPr>
          <w:rFonts w:ascii="宋体" w:hAnsi="宋体" w:eastAsia="宋体" w:cs="宋体"/>
          <w:spacing w:val="-19"/>
          <w:sz w:val="21"/>
          <w:szCs w:val="21"/>
        </w:rPr>
        <w:t>年</w:t>
      </w:r>
      <w:r>
        <w:rPr>
          <w:rFonts w:hint="eastAsia" w:ascii="宋体" w:hAnsi="宋体" w:cs="宋体"/>
          <w:spacing w:val="-19"/>
          <w:sz w:val="21"/>
          <w:szCs w:val="21"/>
          <w:u w:val="single"/>
          <w:lang w:val="en-US" w:eastAsia="zh-CN"/>
        </w:rPr>
        <w:t xml:space="preserve">    </w:t>
      </w:r>
      <w:r>
        <w:rPr>
          <w:rFonts w:ascii="宋体" w:hAnsi="宋体" w:eastAsia="宋体" w:cs="宋体"/>
          <w:spacing w:val="-19"/>
          <w:sz w:val="21"/>
          <w:szCs w:val="21"/>
        </w:rPr>
        <w:t>月</w:t>
      </w:r>
      <w:r>
        <w:rPr>
          <w:rFonts w:hint="eastAsia" w:ascii="宋体" w:hAnsi="宋体" w:cs="宋体"/>
          <w:spacing w:val="-19"/>
          <w:sz w:val="21"/>
          <w:szCs w:val="21"/>
          <w:u w:val="single"/>
          <w:lang w:val="en-US" w:eastAsia="zh-CN"/>
        </w:rPr>
        <w:t xml:space="preserve">     </w:t>
      </w:r>
      <w:r>
        <w:rPr>
          <w:rFonts w:ascii="宋体" w:hAnsi="宋体" w:eastAsia="宋体" w:cs="宋体"/>
          <w:spacing w:val="-19"/>
          <w:sz w:val="21"/>
          <w:szCs w:val="21"/>
        </w:rPr>
        <w:t>日</w:t>
      </w:r>
      <w:r>
        <w:rPr>
          <w:rFonts w:hint="eastAsia" w:ascii="宋体" w:hAnsi="宋体" w:cs="宋体"/>
          <w:spacing w:val="-19"/>
          <w:sz w:val="21"/>
          <w:szCs w:val="21"/>
          <w:u w:val="single"/>
          <w:lang w:val="en-US" w:eastAsia="zh-CN"/>
        </w:rPr>
        <w:t xml:space="preserve">     </w:t>
      </w:r>
      <w:r>
        <w:rPr>
          <w:rFonts w:ascii="宋体" w:hAnsi="宋体" w:eastAsia="宋体" w:cs="宋体"/>
          <w:spacing w:val="-18"/>
          <w:sz w:val="21"/>
          <w:szCs w:val="21"/>
        </w:rPr>
        <w:t>时</w:t>
      </w:r>
      <w:r>
        <w:rPr>
          <w:rFonts w:hint="eastAsia" w:ascii="宋体" w:hAnsi="宋体" w:cs="宋体"/>
          <w:spacing w:val="-18"/>
          <w:sz w:val="21"/>
          <w:szCs w:val="21"/>
          <w:u w:val="single"/>
          <w:lang w:val="en-US" w:eastAsia="zh-CN"/>
        </w:rPr>
        <w:t xml:space="preserve">    </w:t>
      </w:r>
      <w:r>
        <w:rPr>
          <w:rFonts w:ascii="宋体" w:hAnsi="宋体" w:eastAsia="宋体" w:cs="宋体"/>
          <w:spacing w:val="-10"/>
          <w:sz w:val="21"/>
          <w:szCs w:val="21"/>
        </w:rPr>
        <w:t>分</w:t>
      </w:r>
    </w:p>
    <w:p>
      <w:pPr>
        <w:spacing w:line="127" w:lineRule="exact"/>
      </w:pPr>
    </w:p>
    <w:tbl>
      <w:tblPr>
        <w:tblStyle w:val="68"/>
        <w:tblW w:w="8394"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2"/>
        <w:gridCol w:w="1524"/>
        <w:gridCol w:w="813"/>
        <w:gridCol w:w="1418"/>
        <w:gridCol w:w="1094"/>
        <w:gridCol w:w="993"/>
        <w:gridCol w:w="18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712" w:type="dxa"/>
            <w:vAlign w:val="top"/>
          </w:tcPr>
          <w:p>
            <w:pPr>
              <w:pStyle w:val="72"/>
              <w:keepNext w:val="0"/>
              <w:keepLines w:val="0"/>
              <w:suppressLineNumbers w:val="0"/>
              <w:spacing w:before="171" w:beforeAutospacing="0" w:after="0" w:afterAutospacing="0" w:line="222" w:lineRule="auto"/>
              <w:ind w:left="151" w:right="0"/>
              <w:rPr>
                <w:rFonts w:hint="default"/>
              </w:rPr>
            </w:pPr>
            <w:r>
              <w:rPr>
                <w:rFonts w:hint="default"/>
                <w:spacing w:val="-2"/>
              </w:rPr>
              <w:t>序号</w:t>
            </w:r>
          </w:p>
        </w:tc>
        <w:tc>
          <w:tcPr>
            <w:tcW w:w="1524" w:type="dxa"/>
            <w:vAlign w:val="top"/>
          </w:tcPr>
          <w:p>
            <w:pPr>
              <w:pStyle w:val="72"/>
              <w:keepNext w:val="0"/>
              <w:keepLines w:val="0"/>
              <w:suppressLineNumbers w:val="0"/>
              <w:spacing w:before="171" w:beforeAutospacing="0" w:after="0" w:afterAutospacing="0" w:line="221" w:lineRule="auto"/>
              <w:ind w:left="452" w:right="0"/>
              <w:rPr>
                <w:rFonts w:hint="default"/>
              </w:rPr>
            </w:pPr>
            <w:r>
              <w:rPr>
                <w:rFonts w:hint="default"/>
                <w:spacing w:val="-2"/>
              </w:rPr>
              <w:t>投标人</w:t>
            </w:r>
          </w:p>
        </w:tc>
        <w:tc>
          <w:tcPr>
            <w:tcW w:w="813" w:type="dxa"/>
            <w:vAlign w:val="top"/>
          </w:tcPr>
          <w:p>
            <w:pPr>
              <w:pStyle w:val="72"/>
              <w:keepNext w:val="0"/>
              <w:keepLines w:val="0"/>
              <w:suppressLineNumbers w:val="0"/>
              <w:spacing w:before="33" w:beforeAutospacing="0" w:after="0" w:afterAutospacing="0" w:line="241" w:lineRule="auto"/>
              <w:ind w:left="199" w:right="0"/>
              <w:rPr>
                <w:rFonts w:hint="default"/>
              </w:rPr>
            </w:pPr>
            <w:r>
              <w:rPr>
                <w:rFonts w:hint="default"/>
                <w:spacing w:val="-2"/>
              </w:rPr>
              <w:t>密封</w:t>
            </w:r>
          </w:p>
          <w:p>
            <w:pPr>
              <w:pStyle w:val="72"/>
              <w:keepNext w:val="0"/>
              <w:keepLines w:val="0"/>
              <w:suppressLineNumbers w:val="0"/>
              <w:spacing w:before="0" w:beforeAutospacing="0" w:after="0" w:afterAutospacing="0" w:line="206" w:lineRule="auto"/>
              <w:ind w:left="199" w:right="0"/>
              <w:rPr>
                <w:rFonts w:hint="default"/>
              </w:rPr>
            </w:pPr>
            <w:r>
              <w:rPr>
                <w:rFonts w:hint="default"/>
                <w:spacing w:val="-2"/>
              </w:rPr>
              <w:t>情况</w:t>
            </w:r>
          </w:p>
        </w:tc>
        <w:tc>
          <w:tcPr>
            <w:tcW w:w="1418" w:type="dxa"/>
            <w:vAlign w:val="top"/>
          </w:tcPr>
          <w:p>
            <w:pPr>
              <w:pStyle w:val="72"/>
              <w:keepNext w:val="0"/>
              <w:keepLines w:val="0"/>
              <w:suppressLineNumbers w:val="0"/>
              <w:spacing w:before="33" w:beforeAutospacing="0" w:after="0" w:afterAutospacing="0" w:line="224" w:lineRule="auto"/>
              <w:ind w:left="293" w:right="180" w:hanging="103"/>
              <w:rPr>
                <w:rFonts w:hint="default"/>
              </w:rPr>
            </w:pPr>
            <w:r>
              <w:rPr>
                <w:rFonts w:hint="default"/>
                <w:spacing w:val="-2"/>
              </w:rPr>
              <w:t>投标保证金递交情况</w:t>
            </w:r>
          </w:p>
        </w:tc>
        <w:tc>
          <w:tcPr>
            <w:tcW w:w="1094" w:type="dxa"/>
            <w:vAlign w:val="top"/>
          </w:tcPr>
          <w:p>
            <w:pPr>
              <w:pStyle w:val="72"/>
              <w:keepNext w:val="0"/>
              <w:keepLines w:val="0"/>
              <w:suppressLineNumbers w:val="0"/>
              <w:spacing w:before="171" w:beforeAutospacing="0" w:after="0" w:afterAutospacing="0" w:line="221" w:lineRule="auto"/>
              <w:ind w:left="344" w:right="0"/>
              <w:rPr>
                <w:rFonts w:hint="default"/>
              </w:rPr>
            </w:pPr>
            <w:r>
              <w:rPr>
                <w:rFonts w:hint="default"/>
                <w:spacing w:val="-3"/>
              </w:rPr>
              <w:t>工期</w:t>
            </w:r>
          </w:p>
        </w:tc>
        <w:tc>
          <w:tcPr>
            <w:tcW w:w="993" w:type="dxa"/>
            <w:vAlign w:val="top"/>
          </w:tcPr>
          <w:p>
            <w:pPr>
              <w:pStyle w:val="72"/>
              <w:keepNext w:val="0"/>
              <w:keepLines w:val="0"/>
              <w:suppressLineNumbers w:val="0"/>
              <w:spacing w:before="171" w:beforeAutospacing="0" w:after="0" w:afterAutospacing="0" w:line="222" w:lineRule="auto"/>
              <w:ind w:left="294" w:right="0"/>
              <w:rPr>
                <w:rFonts w:hint="default"/>
              </w:rPr>
            </w:pPr>
            <w:r>
              <w:rPr>
                <w:rFonts w:hint="default"/>
                <w:spacing w:val="-3"/>
              </w:rPr>
              <w:t>备注</w:t>
            </w:r>
          </w:p>
        </w:tc>
        <w:tc>
          <w:tcPr>
            <w:tcW w:w="1840" w:type="dxa"/>
            <w:vAlign w:val="top"/>
          </w:tcPr>
          <w:p>
            <w:pPr>
              <w:pStyle w:val="72"/>
              <w:keepNext w:val="0"/>
              <w:keepLines w:val="0"/>
              <w:suppressLineNumbers w:val="0"/>
              <w:spacing w:before="170" w:beforeAutospacing="0" w:after="0" w:afterAutospacing="0" w:line="221" w:lineRule="auto"/>
              <w:ind w:left="189" w:right="0"/>
              <w:rPr>
                <w:rFonts w:hint="default"/>
              </w:rPr>
            </w:pPr>
            <w:r>
              <w:rPr>
                <w:rFonts w:hint="default"/>
                <w:spacing w:val="-1"/>
              </w:rPr>
              <w:t>投标人代表签名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712" w:type="dxa"/>
            <w:vAlign w:val="top"/>
          </w:tcPr>
          <w:p>
            <w:pPr>
              <w:keepNext w:val="0"/>
              <w:keepLines w:val="0"/>
              <w:suppressLineNumbers w:val="0"/>
              <w:spacing w:before="0" w:beforeAutospacing="0" w:after="0" w:afterAutospacing="0"/>
              <w:ind w:left="0" w:right="0"/>
              <w:rPr>
                <w:rFonts w:hint="default" w:ascii="Arial"/>
                <w:sz w:val="21"/>
              </w:rPr>
            </w:pPr>
          </w:p>
        </w:tc>
        <w:tc>
          <w:tcPr>
            <w:tcW w:w="1524" w:type="dxa"/>
            <w:vAlign w:val="top"/>
          </w:tcPr>
          <w:p>
            <w:pPr>
              <w:keepNext w:val="0"/>
              <w:keepLines w:val="0"/>
              <w:suppressLineNumbers w:val="0"/>
              <w:spacing w:before="0" w:beforeAutospacing="0" w:after="0" w:afterAutospacing="0"/>
              <w:ind w:left="0" w:right="0"/>
              <w:rPr>
                <w:rFonts w:hint="default" w:ascii="Arial"/>
                <w:sz w:val="21"/>
              </w:rPr>
            </w:pPr>
          </w:p>
        </w:tc>
        <w:tc>
          <w:tcPr>
            <w:tcW w:w="813" w:type="dxa"/>
            <w:vAlign w:val="top"/>
          </w:tcPr>
          <w:p>
            <w:pPr>
              <w:keepNext w:val="0"/>
              <w:keepLines w:val="0"/>
              <w:suppressLineNumbers w:val="0"/>
              <w:spacing w:before="0" w:beforeAutospacing="0" w:after="0" w:afterAutospacing="0"/>
              <w:ind w:left="0" w:right="0"/>
              <w:rPr>
                <w:rFonts w:hint="default" w:ascii="Arial"/>
                <w:sz w:val="21"/>
              </w:rPr>
            </w:pPr>
          </w:p>
        </w:tc>
        <w:tc>
          <w:tcPr>
            <w:tcW w:w="1418" w:type="dxa"/>
            <w:vAlign w:val="top"/>
          </w:tcPr>
          <w:p>
            <w:pPr>
              <w:keepNext w:val="0"/>
              <w:keepLines w:val="0"/>
              <w:suppressLineNumbers w:val="0"/>
              <w:spacing w:before="0" w:beforeAutospacing="0" w:after="0" w:afterAutospacing="0"/>
              <w:ind w:left="0" w:right="0"/>
              <w:rPr>
                <w:rFonts w:hint="default" w:ascii="Arial"/>
                <w:sz w:val="21"/>
              </w:rPr>
            </w:pPr>
          </w:p>
        </w:tc>
        <w:tc>
          <w:tcPr>
            <w:tcW w:w="1094" w:type="dxa"/>
            <w:vAlign w:val="top"/>
          </w:tcPr>
          <w:p>
            <w:pPr>
              <w:keepNext w:val="0"/>
              <w:keepLines w:val="0"/>
              <w:suppressLineNumbers w:val="0"/>
              <w:spacing w:before="0" w:beforeAutospacing="0" w:after="0" w:afterAutospacing="0"/>
              <w:ind w:left="0" w:right="0"/>
              <w:rPr>
                <w:rFonts w:hint="default" w:ascii="Arial"/>
                <w:sz w:val="21"/>
              </w:rPr>
            </w:pPr>
          </w:p>
        </w:tc>
        <w:tc>
          <w:tcPr>
            <w:tcW w:w="993" w:type="dxa"/>
            <w:vAlign w:val="top"/>
          </w:tcPr>
          <w:p>
            <w:pPr>
              <w:keepNext w:val="0"/>
              <w:keepLines w:val="0"/>
              <w:suppressLineNumbers w:val="0"/>
              <w:spacing w:before="0" w:beforeAutospacing="0" w:after="0" w:afterAutospacing="0"/>
              <w:ind w:left="0" w:right="0"/>
              <w:rPr>
                <w:rFonts w:hint="default" w:ascii="Arial"/>
                <w:sz w:val="21"/>
              </w:rPr>
            </w:pPr>
          </w:p>
        </w:tc>
        <w:tc>
          <w:tcPr>
            <w:tcW w:w="184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712" w:type="dxa"/>
            <w:vAlign w:val="top"/>
          </w:tcPr>
          <w:p>
            <w:pPr>
              <w:keepNext w:val="0"/>
              <w:keepLines w:val="0"/>
              <w:suppressLineNumbers w:val="0"/>
              <w:spacing w:before="0" w:beforeAutospacing="0" w:after="0" w:afterAutospacing="0"/>
              <w:ind w:left="0" w:right="0"/>
              <w:rPr>
                <w:rFonts w:hint="default" w:ascii="Arial"/>
                <w:sz w:val="21"/>
              </w:rPr>
            </w:pPr>
          </w:p>
        </w:tc>
        <w:tc>
          <w:tcPr>
            <w:tcW w:w="1524" w:type="dxa"/>
            <w:vAlign w:val="top"/>
          </w:tcPr>
          <w:p>
            <w:pPr>
              <w:keepNext w:val="0"/>
              <w:keepLines w:val="0"/>
              <w:suppressLineNumbers w:val="0"/>
              <w:spacing w:before="0" w:beforeAutospacing="0" w:after="0" w:afterAutospacing="0"/>
              <w:ind w:left="0" w:right="0"/>
              <w:rPr>
                <w:rFonts w:hint="default" w:ascii="Arial"/>
                <w:sz w:val="21"/>
              </w:rPr>
            </w:pPr>
          </w:p>
        </w:tc>
        <w:tc>
          <w:tcPr>
            <w:tcW w:w="813" w:type="dxa"/>
            <w:vAlign w:val="top"/>
          </w:tcPr>
          <w:p>
            <w:pPr>
              <w:keepNext w:val="0"/>
              <w:keepLines w:val="0"/>
              <w:suppressLineNumbers w:val="0"/>
              <w:spacing w:before="0" w:beforeAutospacing="0" w:after="0" w:afterAutospacing="0"/>
              <w:ind w:left="0" w:right="0"/>
              <w:rPr>
                <w:rFonts w:hint="default" w:ascii="Arial"/>
                <w:sz w:val="21"/>
              </w:rPr>
            </w:pPr>
          </w:p>
        </w:tc>
        <w:tc>
          <w:tcPr>
            <w:tcW w:w="1418" w:type="dxa"/>
            <w:vAlign w:val="top"/>
          </w:tcPr>
          <w:p>
            <w:pPr>
              <w:keepNext w:val="0"/>
              <w:keepLines w:val="0"/>
              <w:suppressLineNumbers w:val="0"/>
              <w:spacing w:before="0" w:beforeAutospacing="0" w:after="0" w:afterAutospacing="0"/>
              <w:ind w:left="0" w:right="0"/>
              <w:rPr>
                <w:rFonts w:hint="default" w:ascii="Arial"/>
                <w:sz w:val="21"/>
              </w:rPr>
            </w:pPr>
          </w:p>
        </w:tc>
        <w:tc>
          <w:tcPr>
            <w:tcW w:w="1094" w:type="dxa"/>
            <w:vAlign w:val="top"/>
          </w:tcPr>
          <w:p>
            <w:pPr>
              <w:keepNext w:val="0"/>
              <w:keepLines w:val="0"/>
              <w:suppressLineNumbers w:val="0"/>
              <w:spacing w:before="0" w:beforeAutospacing="0" w:after="0" w:afterAutospacing="0"/>
              <w:ind w:left="0" w:right="0"/>
              <w:rPr>
                <w:rFonts w:hint="default" w:ascii="Arial"/>
                <w:sz w:val="21"/>
              </w:rPr>
            </w:pPr>
          </w:p>
        </w:tc>
        <w:tc>
          <w:tcPr>
            <w:tcW w:w="993" w:type="dxa"/>
            <w:vAlign w:val="top"/>
          </w:tcPr>
          <w:p>
            <w:pPr>
              <w:keepNext w:val="0"/>
              <w:keepLines w:val="0"/>
              <w:suppressLineNumbers w:val="0"/>
              <w:spacing w:before="0" w:beforeAutospacing="0" w:after="0" w:afterAutospacing="0"/>
              <w:ind w:left="0" w:right="0"/>
              <w:rPr>
                <w:rFonts w:hint="default" w:ascii="Arial"/>
                <w:sz w:val="21"/>
              </w:rPr>
            </w:pPr>
          </w:p>
        </w:tc>
        <w:tc>
          <w:tcPr>
            <w:tcW w:w="184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12" w:type="dxa"/>
            <w:vAlign w:val="top"/>
          </w:tcPr>
          <w:p>
            <w:pPr>
              <w:keepNext w:val="0"/>
              <w:keepLines w:val="0"/>
              <w:suppressLineNumbers w:val="0"/>
              <w:spacing w:before="0" w:beforeAutospacing="0" w:after="0" w:afterAutospacing="0"/>
              <w:ind w:left="0" w:right="0"/>
              <w:rPr>
                <w:rFonts w:hint="default" w:ascii="Arial"/>
                <w:sz w:val="21"/>
              </w:rPr>
            </w:pPr>
          </w:p>
        </w:tc>
        <w:tc>
          <w:tcPr>
            <w:tcW w:w="1524" w:type="dxa"/>
            <w:vAlign w:val="top"/>
          </w:tcPr>
          <w:p>
            <w:pPr>
              <w:keepNext w:val="0"/>
              <w:keepLines w:val="0"/>
              <w:suppressLineNumbers w:val="0"/>
              <w:spacing w:before="0" w:beforeAutospacing="0" w:after="0" w:afterAutospacing="0"/>
              <w:ind w:left="0" w:right="0"/>
              <w:rPr>
                <w:rFonts w:hint="default" w:ascii="Arial"/>
                <w:sz w:val="21"/>
              </w:rPr>
            </w:pPr>
          </w:p>
        </w:tc>
        <w:tc>
          <w:tcPr>
            <w:tcW w:w="813" w:type="dxa"/>
            <w:vAlign w:val="top"/>
          </w:tcPr>
          <w:p>
            <w:pPr>
              <w:keepNext w:val="0"/>
              <w:keepLines w:val="0"/>
              <w:suppressLineNumbers w:val="0"/>
              <w:spacing w:before="0" w:beforeAutospacing="0" w:after="0" w:afterAutospacing="0"/>
              <w:ind w:left="0" w:right="0"/>
              <w:rPr>
                <w:rFonts w:hint="default" w:ascii="Arial"/>
                <w:sz w:val="21"/>
              </w:rPr>
            </w:pPr>
          </w:p>
        </w:tc>
        <w:tc>
          <w:tcPr>
            <w:tcW w:w="1418" w:type="dxa"/>
            <w:vAlign w:val="top"/>
          </w:tcPr>
          <w:p>
            <w:pPr>
              <w:keepNext w:val="0"/>
              <w:keepLines w:val="0"/>
              <w:suppressLineNumbers w:val="0"/>
              <w:spacing w:before="0" w:beforeAutospacing="0" w:after="0" w:afterAutospacing="0"/>
              <w:ind w:left="0" w:right="0"/>
              <w:rPr>
                <w:rFonts w:hint="default" w:ascii="Arial"/>
                <w:sz w:val="21"/>
              </w:rPr>
            </w:pPr>
          </w:p>
        </w:tc>
        <w:tc>
          <w:tcPr>
            <w:tcW w:w="1094" w:type="dxa"/>
            <w:vAlign w:val="top"/>
          </w:tcPr>
          <w:p>
            <w:pPr>
              <w:keepNext w:val="0"/>
              <w:keepLines w:val="0"/>
              <w:suppressLineNumbers w:val="0"/>
              <w:spacing w:before="0" w:beforeAutospacing="0" w:after="0" w:afterAutospacing="0"/>
              <w:ind w:left="0" w:right="0"/>
              <w:rPr>
                <w:rFonts w:hint="default" w:ascii="Arial"/>
                <w:sz w:val="21"/>
              </w:rPr>
            </w:pPr>
          </w:p>
        </w:tc>
        <w:tc>
          <w:tcPr>
            <w:tcW w:w="993" w:type="dxa"/>
            <w:vAlign w:val="top"/>
          </w:tcPr>
          <w:p>
            <w:pPr>
              <w:keepNext w:val="0"/>
              <w:keepLines w:val="0"/>
              <w:suppressLineNumbers w:val="0"/>
              <w:spacing w:before="0" w:beforeAutospacing="0" w:after="0" w:afterAutospacing="0"/>
              <w:ind w:left="0" w:right="0"/>
              <w:rPr>
                <w:rFonts w:hint="default" w:ascii="Arial"/>
                <w:sz w:val="21"/>
              </w:rPr>
            </w:pPr>
          </w:p>
        </w:tc>
        <w:tc>
          <w:tcPr>
            <w:tcW w:w="184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712" w:type="dxa"/>
            <w:vAlign w:val="top"/>
          </w:tcPr>
          <w:p>
            <w:pPr>
              <w:keepNext w:val="0"/>
              <w:keepLines w:val="0"/>
              <w:suppressLineNumbers w:val="0"/>
              <w:spacing w:before="0" w:beforeAutospacing="0" w:after="0" w:afterAutospacing="0"/>
              <w:ind w:left="0" w:right="0"/>
              <w:rPr>
                <w:rFonts w:hint="default" w:ascii="Arial"/>
                <w:sz w:val="21"/>
              </w:rPr>
            </w:pPr>
          </w:p>
        </w:tc>
        <w:tc>
          <w:tcPr>
            <w:tcW w:w="1524" w:type="dxa"/>
            <w:vAlign w:val="top"/>
          </w:tcPr>
          <w:p>
            <w:pPr>
              <w:keepNext w:val="0"/>
              <w:keepLines w:val="0"/>
              <w:suppressLineNumbers w:val="0"/>
              <w:spacing w:before="0" w:beforeAutospacing="0" w:after="0" w:afterAutospacing="0"/>
              <w:ind w:left="0" w:right="0"/>
              <w:rPr>
                <w:rFonts w:hint="default" w:ascii="Arial"/>
                <w:sz w:val="21"/>
              </w:rPr>
            </w:pPr>
          </w:p>
        </w:tc>
        <w:tc>
          <w:tcPr>
            <w:tcW w:w="813" w:type="dxa"/>
            <w:vAlign w:val="top"/>
          </w:tcPr>
          <w:p>
            <w:pPr>
              <w:keepNext w:val="0"/>
              <w:keepLines w:val="0"/>
              <w:suppressLineNumbers w:val="0"/>
              <w:spacing w:before="0" w:beforeAutospacing="0" w:after="0" w:afterAutospacing="0"/>
              <w:ind w:left="0" w:right="0"/>
              <w:rPr>
                <w:rFonts w:hint="default" w:ascii="Arial"/>
                <w:sz w:val="21"/>
              </w:rPr>
            </w:pPr>
          </w:p>
        </w:tc>
        <w:tc>
          <w:tcPr>
            <w:tcW w:w="1418" w:type="dxa"/>
            <w:vAlign w:val="top"/>
          </w:tcPr>
          <w:p>
            <w:pPr>
              <w:keepNext w:val="0"/>
              <w:keepLines w:val="0"/>
              <w:suppressLineNumbers w:val="0"/>
              <w:spacing w:before="0" w:beforeAutospacing="0" w:after="0" w:afterAutospacing="0"/>
              <w:ind w:left="0" w:right="0"/>
              <w:rPr>
                <w:rFonts w:hint="default" w:ascii="Arial"/>
                <w:sz w:val="21"/>
              </w:rPr>
            </w:pPr>
          </w:p>
        </w:tc>
        <w:tc>
          <w:tcPr>
            <w:tcW w:w="1094" w:type="dxa"/>
            <w:vAlign w:val="top"/>
          </w:tcPr>
          <w:p>
            <w:pPr>
              <w:keepNext w:val="0"/>
              <w:keepLines w:val="0"/>
              <w:suppressLineNumbers w:val="0"/>
              <w:spacing w:before="0" w:beforeAutospacing="0" w:after="0" w:afterAutospacing="0"/>
              <w:ind w:left="0" w:right="0"/>
              <w:rPr>
                <w:rFonts w:hint="default" w:ascii="Arial"/>
                <w:sz w:val="21"/>
              </w:rPr>
            </w:pPr>
          </w:p>
        </w:tc>
        <w:tc>
          <w:tcPr>
            <w:tcW w:w="993" w:type="dxa"/>
            <w:vAlign w:val="top"/>
          </w:tcPr>
          <w:p>
            <w:pPr>
              <w:keepNext w:val="0"/>
              <w:keepLines w:val="0"/>
              <w:suppressLineNumbers w:val="0"/>
              <w:spacing w:before="0" w:beforeAutospacing="0" w:after="0" w:afterAutospacing="0"/>
              <w:ind w:left="0" w:right="0"/>
              <w:rPr>
                <w:rFonts w:hint="default" w:ascii="Arial"/>
                <w:sz w:val="21"/>
              </w:rPr>
            </w:pPr>
          </w:p>
        </w:tc>
        <w:tc>
          <w:tcPr>
            <w:tcW w:w="184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12" w:type="dxa"/>
            <w:vAlign w:val="top"/>
          </w:tcPr>
          <w:p>
            <w:pPr>
              <w:keepNext w:val="0"/>
              <w:keepLines w:val="0"/>
              <w:suppressLineNumbers w:val="0"/>
              <w:spacing w:before="0" w:beforeAutospacing="0" w:after="0" w:afterAutospacing="0"/>
              <w:ind w:left="0" w:right="0"/>
              <w:rPr>
                <w:rFonts w:hint="default" w:ascii="Arial"/>
                <w:sz w:val="21"/>
              </w:rPr>
            </w:pPr>
          </w:p>
        </w:tc>
        <w:tc>
          <w:tcPr>
            <w:tcW w:w="1524" w:type="dxa"/>
            <w:vAlign w:val="top"/>
          </w:tcPr>
          <w:p>
            <w:pPr>
              <w:keepNext w:val="0"/>
              <w:keepLines w:val="0"/>
              <w:suppressLineNumbers w:val="0"/>
              <w:spacing w:before="0" w:beforeAutospacing="0" w:after="0" w:afterAutospacing="0"/>
              <w:ind w:left="0" w:right="0"/>
              <w:rPr>
                <w:rFonts w:hint="default" w:ascii="Arial"/>
                <w:sz w:val="21"/>
              </w:rPr>
            </w:pPr>
          </w:p>
        </w:tc>
        <w:tc>
          <w:tcPr>
            <w:tcW w:w="813" w:type="dxa"/>
            <w:vAlign w:val="top"/>
          </w:tcPr>
          <w:p>
            <w:pPr>
              <w:keepNext w:val="0"/>
              <w:keepLines w:val="0"/>
              <w:suppressLineNumbers w:val="0"/>
              <w:spacing w:before="0" w:beforeAutospacing="0" w:after="0" w:afterAutospacing="0"/>
              <w:ind w:left="0" w:right="0"/>
              <w:rPr>
                <w:rFonts w:hint="default" w:ascii="Arial"/>
                <w:sz w:val="21"/>
              </w:rPr>
            </w:pPr>
          </w:p>
        </w:tc>
        <w:tc>
          <w:tcPr>
            <w:tcW w:w="1418" w:type="dxa"/>
            <w:vAlign w:val="top"/>
          </w:tcPr>
          <w:p>
            <w:pPr>
              <w:keepNext w:val="0"/>
              <w:keepLines w:val="0"/>
              <w:suppressLineNumbers w:val="0"/>
              <w:spacing w:before="0" w:beforeAutospacing="0" w:after="0" w:afterAutospacing="0"/>
              <w:ind w:left="0" w:right="0"/>
              <w:rPr>
                <w:rFonts w:hint="default" w:ascii="Arial"/>
                <w:sz w:val="21"/>
              </w:rPr>
            </w:pPr>
          </w:p>
        </w:tc>
        <w:tc>
          <w:tcPr>
            <w:tcW w:w="1094" w:type="dxa"/>
            <w:vAlign w:val="top"/>
          </w:tcPr>
          <w:p>
            <w:pPr>
              <w:keepNext w:val="0"/>
              <w:keepLines w:val="0"/>
              <w:suppressLineNumbers w:val="0"/>
              <w:spacing w:before="0" w:beforeAutospacing="0" w:after="0" w:afterAutospacing="0"/>
              <w:ind w:left="0" w:right="0"/>
              <w:rPr>
                <w:rFonts w:hint="default" w:ascii="Arial"/>
                <w:sz w:val="21"/>
              </w:rPr>
            </w:pPr>
          </w:p>
        </w:tc>
        <w:tc>
          <w:tcPr>
            <w:tcW w:w="993" w:type="dxa"/>
            <w:vAlign w:val="top"/>
          </w:tcPr>
          <w:p>
            <w:pPr>
              <w:keepNext w:val="0"/>
              <w:keepLines w:val="0"/>
              <w:suppressLineNumbers w:val="0"/>
              <w:spacing w:before="0" w:beforeAutospacing="0" w:after="0" w:afterAutospacing="0"/>
              <w:ind w:left="0" w:right="0"/>
              <w:rPr>
                <w:rFonts w:hint="default" w:ascii="Arial"/>
                <w:sz w:val="21"/>
              </w:rPr>
            </w:pPr>
          </w:p>
        </w:tc>
        <w:tc>
          <w:tcPr>
            <w:tcW w:w="184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712" w:type="dxa"/>
            <w:vAlign w:val="top"/>
          </w:tcPr>
          <w:p>
            <w:pPr>
              <w:keepNext w:val="0"/>
              <w:keepLines w:val="0"/>
              <w:suppressLineNumbers w:val="0"/>
              <w:spacing w:before="0" w:beforeAutospacing="0" w:after="0" w:afterAutospacing="0"/>
              <w:ind w:left="0" w:right="0"/>
              <w:rPr>
                <w:rFonts w:hint="default" w:ascii="Arial"/>
                <w:sz w:val="21"/>
              </w:rPr>
            </w:pPr>
          </w:p>
        </w:tc>
        <w:tc>
          <w:tcPr>
            <w:tcW w:w="1524" w:type="dxa"/>
            <w:vAlign w:val="top"/>
          </w:tcPr>
          <w:p>
            <w:pPr>
              <w:keepNext w:val="0"/>
              <w:keepLines w:val="0"/>
              <w:suppressLineNumbers w:val="0"/>
              <w:spacing w:before="0" w:beforeAutospacing="0" w:after="0" w:afterAutospacing="0"/>
              <w:ind w:left="0" w:right="0"/>
              <w:rPr>
                <w:rFonts w:hint="default" w:ascii="Arial"/>
                <w:sz w:val="21"/>
              </w:rPr>
            </w:pPr>
          </w:p>
        </w:tc>
        <w:tc>
          <w:tcPr>
            <w:tcW w:w="813" w:type="dxa"/>
            <w:vAlign w:val="top"/>
          </w:tcPr>
          <w:p>
            <w:pPr>
              <w:keepNext w:val="0"/>
              <w:keepLines w:val="0"/>
              <w:suppressLineNumbers w:val="0"/>
              <w:spacing w:before="0" w:beforeAutospacing="0" w:after="0" w:afterAutospacing="0"/>
              <w:ind w:left="0" w:right="0"/>
              <w:rPr>
                <w:rFonts w:hint="default" w:ascii="Arial"/>
                <w:sz w:val="21"/>
              </w:rPr>
            </w:pPr>
          </w:p>
        </w:tc>
        <w:tc>
          <w:tcPr>
            <w:tcW w:w="1418" w:type="dxa"/>
            <w:vAlign w:val="top"/>
          </w:tcPr>
          <w:p>
            <w:pPr>
              <w:keepNext w:val="0"/>
              <w:keepLines w:val="0"/>
              <w:suppressLineNumbers w:val="0"/>
              <w:spacing w:before="0" w:beforeAutospacing="0" w:after="0" w:afterAutospacing="0"/>
              <w:ind w:left="0" w:right="0"/>
              <w:rPr>
                <w:rFonts w:hint="default" w:ascii="Arial"/>
                <w:sz w:val="21"/>
              </w:rPr>
            </w:pPr>
          </w:p>
        </w:tc>
        <w:tc>
          <w:tcPr>
            <w:tcW w:w="1094" w:type="dxa"/>
            <w:vAlign w:val="top"/>
          </w:tcPr>
          <w:p>
            <w:pPr>
              <w:keepNext w:val="0"/>
              <w:keepLines w:val="0"/>
              <w:suppressLineNumbers w:val="0"/>
              <w:spacing w:before="0" w:beforeAutospacing="0" w:after="0" w:afterAutospacing="0"/>
              <w:ind w:left="0" w:right="0"/>
              <w:rPr>
                <w:rFonts w:hint="default" w:ascii="Arial"/>
                <w:sz w:val="21"/>
              </w:rPr>
            </w:pPr>
          </w:p>
        </w:tc>
        <w:tc>
          <w:tcPr>
            <w:tcW w:w="993" w:type="dxa"/>
            <w:vAlign w:val="top"/>
          </w:tcPr>
          <w:p>
            <w:pPr>
              <w:keepNext w:val="0"/>
              <w:keepLines w:val="0"/>
              <w:suppressLineNumbers w:val="0"/>
              <w:spacing w:before="0" w:beforeAutospacing="0" w:after="0" w:afterAutospacing="0"/>
              <w:ind w:left="0" w:right="0"/>
              <w:rPr>
                <w:rFonts w:hint="default" w:ascii="Arial"/>
                <w:sz w:val="21"/>
              </w:rPr>
            </w:pPr>
          </w:p>
        </w:tc>
        <w:tc>
          <w:tcPr>
            <w:tcW w:w="184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712" w:type="dxa"/>
            <w:vAlign w:val="top"/>
          </w:tcPr>
          <w:p>
            <w:pPr>
              <w:keepNext w:val="0"/>
              <w:keepLines w:val="0"/>
              <w:suppressLineNumbers w:val="0"/>
              <w:spacing w:before="0" w:beforeAutospacing="0" w:after="0" w:afterAutospacing="0"/>
              <w:ind w:left="0" w:right="0"/>
              <w:rPr>
                <w:rFonts w:hint="default" w:ascii="Arial"/>
                <w:sz w:val="21"/>
              </w:rPr>
            </w:pPr>
          </w:p>
        </w:tc>
        <w:tc>
          <w:tcPr>
            <w:tcW w:w="1524" w:type="dxa"/>
            <w:vAlign w:val="top"/>
          </w:tcPr>
          <w:p>
            <w:pPr>
              <w:keepNext w:val="0"/>
              <w:keepLines w:val="0"/>
              <w:suppressLineNumbers w:val="0"/>
              <w:spacing w:before="0" w:beforeAutospacing="0" w:after="0" w:afterAutospacing="0"/>
              <w:ind w:left="0" w:right="0"/>
              <w:rPr>
                <w:rFonts w:hint="default" w:ascii="Arial"/>
                <w:sz w:val="21"/>
              </w:rPr>
            </w:pPr>
          </w:p>
        </w:tc>
        <w:tc>
          <w:tcPr>
            <w:tcW w:w="813" w:type="dxa"/>
            <w:vAlign w:val="top"/>
          </w:tcPr>
          <w:p>
            <w:pPr>
              <w:keepNext w:val="0"/>
              <w:keepLines w:val="0"/>
              <w:suppressLineNumbers w:val="0"/>
              <w:spacing w:before="0" w:beforeAutospacing="0" w:after="0" w:afterAutospacing="0"/>
              <w:ind w:left="0" w:right="0"/>
              <w:rPr>
                <w:rFonts w:hint="default" w:ascii="Arial"/>
                <w:sz w:val="21"/>
              </w:rPr>
            </w:pPr>
          </w:p>
        </w:tc>
        <w:tc>
          <w:tcPr>
            <w:tcW w:w="1418" w:type="dxa"/>
            <w:vAlign w:val="top"/>
          </w:tcPr>
          <w:p>
            <w:pPr>
              <w:keepNext w:val="0"/>
              <w:keepLines w:val="0"/>
              <w:suppressLineNumbers w:val="0"/>
              <w:spacing w:before="0" w:beforeAutospacing="0" w:after="0" w:afterAutospacing="0"/>
              <w:ind w:left="0" w:right="0"/>
              <w:rPr>
                <w:rFonts w:hint="default" w:ascii="Arial"/>
                <w:sz w:val="21"/>
              </w:rPr>
            </w:pPr>
          </w:p>
        </w:tc>
        <w:tc>
          <w:tcPr>
            <w:tcW w:w="1094" w:type="dxa"/>
            <w:vAlign w:val="top"/>
          </w:tcPr>
          <w:p>
            <w:pPr>
              <w:keepNext w:val="0"/>
              <w:keepLines w:val="0"/>
              <w:suppressLineNumbers w:val="0"/>
              <w:spacing w:before="0" w:beforeAutospacing="0" w:after="0" w:afterAutospacing="0"/>
              <w:ind w:left="0" w:right="0"/>
              <w:rPr>
                <w:rFonts w:hint="default" w:ascii="Arial"/>
                <w:sz w:val="21"/>
              </w:rPr>
            </w:pPr>
          </w:p>
        </w:tc>
        <w:tc>
          <w:tcPr>
            <w:tcW w:w="993" w:type="dxa"/>
            <w:vAlign w:val="top"/>
          </w:tcPr>
          <w:p>
            <w:pPr>
              <w:keepNext w:val="0"/>
              <w:keepLines w:val="0"/>
              <w:suppressLineNumbers w:val="0"/>
              <w:spacing w:before="0" w:beforeAutospacing="0" w:after="0" w:afterAutospacing="0"/>
              <w:ind w:left="0" w:right="0"/>
              <w:rPr>
                <w:rFonts w:hint="default" w:ascii="Arial"/>
                <w:sz w:val="21"/>
              </w:rPr>
            </w:pPr>
          </w:p>
        </w:tc>
        <w:tc>
          <w:tcPr>
            <w:tcW w:w="184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12" w:type="dxa"/>
            <w:vAlign w:val="top"/>
          </w:tcPr>
          <w:p>
            <w:pPr>
              <w:keepNext w:val="0"/>
              <w:keepLines w:val="0"/>
              <w:suppressLineNumbers w:val="0"/>
              <w:spacing w:before="0" w:beforeAutospacing="0" w:after="0" w:afterAutospacing="0"/>
              <w:ind w:left="0" w:right="0"/>
              <w:rPr>
                <w:rFonts w:hint="default" w:ascii="Arial"/>
                <w:sz w:val="21"/>
              </w:rPr>
            </w:pPr>
          </w:p>
        </w:tc>
        <w:tc>
          <w:tcPr>
            <w:tcW w:w="1524" w:type="dxa"/>
            <w:vAlign w:val="top"/>
          </w:tcPr>
          <w:p>
            <w:pPr>
              <w:keepNext w:val="0"/>
              <w:keepLines w:val="0"/>
              <w:suppressLineNumbers w:val="0"/>
              <w:spacing w:before="0" w:beforeAutospacing="0" w:after="0" w:afterAutospacing="0"/>
              <w:ind w:left="0" w:right="0"/>
              <w:rPr>
                <w:rFonts w:hint="default" w:ascii="Arial"/>
                <w:sz w:val="21"/>
              </w:rPr>
            </w:pPr>
          </w:p>
        </w:tc>
        <w:tc>
          <w:tcPr>
            <w:tcW w:w="813" w:type="dxa"/>
            <w:vAlign w:val="top"/>
          </w:tcPr>
          <w:p>
            <w:pPr>
              <w:keepNext w:val="0"/>
              <w:keepLines w:val="0"/>
              <w:suppressLineNumbers w:val="0"/>
              <w:spacing w:before="0" w:beforeAutospacing="0" w:after="0" w:afterAutospacing="0"/>
              <w:ind w:left="0" w:right="0"/>
              <w:rPr>
                <w:rFonts w:hint="default" w:ascii="Arial"/>
                <w:sz w:val="21"/>
              </w:rPr>
            </w:pPr>
          </w:p>
        </w:tc>
        <w:tc>
          <w:tcPr>
            <w:tcW w:w="1418" w:type="dxa"/>
            <w:vAlign w:val="top"/>
          </w:tcPr>
          <w:p>
            <w:pPr>
              <w:keepNext w:val="0"/>
              <w:keepLines w:val="0"/>
              <w:suppressLineNumbers w:val="0"/>
              <w:spacing w:before="0" w:beforeAutospacing="0" w:after="0" w:afterAutospacing="0"/>
              <w:ind w:left="0" w:right="0"/>
              <w:rPr>
                <w:rFonts w:hint="default" w:ascii="Arial"/>
                <w:sz w:val="21"/>
              </w:rPr>
            </w:pPr>
          </w:p>
        </w:tc>
        <w:tc>
          <w:tcPr>
            <w:tcW w:w="1094" w:type="dxa"/>
            <w:vAlign w:val="top"/>
          </w:tcPr>
          <w:p>
            <w:pPr>
              <w:keepNext w:val="0"/>
              <w:keepLines w:val="0"/>
              <w:suppressLineNumbers w:val="0"/>
              <w:spacing w:before="0" w:beforeAutospacing="0" w:after="0" w:afterAutospacing="0"/>
              <w:ind w:left="0" w:right="0"/>
              <w:rPr>
                <w:rFonts w:hint="default" w:ascii="Arial"/>
                <w:sz w:val="21"/>
              </w:rPr>
            </w:pPr>
          </w:p>
        </w:tc>
        <w:tc>
          <w:tcPr>
            <w:tcW w:w="993" w:type="dxa"/>
            <w:vAlign w:val="top"/>
          </w:tcPr>
          <w:p>
            <w:pPr>
              <w:keepNext w:val="0"/>
              <w:keepLines w:val="0"/>
              <w:suppressLineNumbers w:val="0"/>
              <w:spacing w:before="0" w:beforeAutospacing="0" w:after="0" w:afterAutospacing="0"/>
              <w:ind w:left="0" w:right="0"/>
              <w:rPr>
                <w:rFonts w:hint="default" w:ascii="Arial"/>
                <w:sz w:val="21"/>
              </w:rPr>
            </w:pPr>
          </w:p>
        </w:tc>
        <w:tc>
          <w:tcPr>
            <w:tcW w:w="184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12" w:type="dxa"/>
            <w:vAlign w:val="top"/>
          </w:tcPr>
          <w:p>
            <w:pPr>
              <w:keepNext w:val="0"/>
              <w:keepLines w:val="0"/>
              <w:suppressLineNumbers w:val="0"/>
              <w:spacing w:before="0" w:beforeAutospacing="0" w:after="0" w:afterAutospacing="0"/>
              <w:ind w:left="0" w:right="0"/>
              <w:rPr>
                <w:rFonts w:hint="default" w:ascii="Arial"/>
                <w:sz w:val="21"/>
              </w:rPr>
            </w:pPr>
          </w:p>
        </w:tc>
        <w:tc>
          <w:tcPr>
            <w:tcW w:w="1524" w:type="dxa"/>
            <w:vAlign w:val="top"/>
          </w:tcPr>
          <w:p>
            <w:pPr>
              <w:keepNext w:val="0"/>
              <w:keepLines w:val="0"/>
              <w:suppressLineNumbers w:val="0"/>
              <w:spacing w:before="0" w:beforeAutospacing="0" w:after="0" w:afterAutospacing="0"/>
              <w:ind w:left="0" w:right="0"/>
              <w:rPr>
                <w:rFonts w:hint="default" w:ascii="Arial"/>
                <w:sz w:val="21"/>
              </w:rPr>
            </w:pPr>
          </w:p>
        </w:tc>
        <w:tc>
          <w:tcPr>
            <w:tcW w:w="813" w:type="dxa"/>
            <w:vAlign w:val="top"/>
          </w:tcPr>
          <w:p>
            <w:pPr>
              <w:keepNext w:val="0"/>
              <w:keepLines w:val="0"/>
              <w:suppressLineNumbers w:val="0"/>
              <w:spacing w:before="0" w:beforeAutospacing="0" w:after="0" w:afterAutospacing="0"/>
              <w:ind w:left="0" w:right="0"/>
              <w:rPr>
                <w:rFonts w:hint="default" w:ascii="Arial"/>
                <w:sz w:val="21"/>
              </w:rPr>
            </w:pPr>
          </w:p>
        </w:tc>
        <w:tc>
          <w:tcPr>
            <w:tcW w:w="1418" w:type="dxa"/>
            <w:vAlign w:val="top"/>
          </w:tcPr>
          <w:p>
            <w:pPr>
              <w:keepNext w:val="0"/>
              <w:keepLines w:val="0"/>
              <w:suppressLineNumbers w:val="0"/>
              <w:spacing w:before="0" w:beforeAutospacing="0" w:after="0" w:afterAutospacing="0"/>
              <w:ind w:left="0" w:right="0"/>
              <w:rPr>
                <w:rFonts w:hint="default" w:ascii="Arial"/>
                <w:sz w:val="21"/>
              </w:rPr>
            </w:pPr>
          </w:p>
        </w:tc>
        <w:tc>
          <w:tcPr>
            <w:tcW w:w="1094" w:type="dxa"/>
            <w:vAlign w:val="top"/>
          </w:tcPr>
          <w:p>
            <w:pPr>
              <w:keepNext w:val="0"/>
              <w:keepLines w:val="0"/>
              <w:suppressLineNumbers w:val="0"/>
              <w:spacing w:before="0" w:beforeAutospacing="0" w:after="0" w:afterAutospacing="0"/>
              <w:ind w:left="0" w:right="0"/>
              <w:rPr>
                <w:rFonts w:hint="default" w:ascii="Arial"/>
                <w:sz w:val="21"/>
              </w:rPr>
            </w:pPr>
          </w:p>
        </w:tc>
        <w:tc>
          <w:tcPr>
            <w:tcW w:w="993" w:type="dxa"/>
            <w:vAlign w:val="top"/>
          </w:tcPr>
          <w:p>
            <w:pPr>
              <w:keepNext w:val="0"/>
              <w:keepLines w:val="0"/>
              <w:suppressLineNumbers w:val="0"/>
              <w:spacing w:before="0" w:beforeAutospacing="0" w:after="0" w:afterAutospacing="0"/>
              <w:ind w:left="0" w:right="0"/>
              <w:rPr>
                <w:rFonts w:hint="default" w:ascii="Arial"/>
                <w:sz w:val="21"/>
              </w:rPr>
            </w:pPr>
          </w:p>
        </w:tc>
        <w:tc>
          <w:tcPr>
            <w:tcW w:w="1840" w:type="dxa"/>
            <w:vAlign w:val="top"/>
          </w:tcPr>
          <w:p>
            <w:pPr>
              <w:keepNext w:val="0"/>
              <w:keepLines w:val="0"/>
              <w:suppressLineNumbers w:val="0"/>
              <w:spacing w:before="0" w:beforeAutospacing="0" w:after="0" w:afterAutospacing="0"/>
              <w:ind w:left="0" w:right="0"/>
              <w:rPr>
                <w:rFonts w:hint="default" w:ascii="Arial"/>
                <w:sz w:val="21"/>
              </w:rPr>
            </w:pPr>
          </w:p>
        </w:tc>
      </w:tr>
    </w:tbl>
    <w:p>
      <w:pPr>
        <w:pStyle w:val="8"/>
        <w:spacing w:line="367" w:lineRule="auto"/>
      </w:pPr>
    </w:p>
    <w:p>
      <w:pPr>
        <w:spacing w:before="68" w:line="221" w:lineRule="auto"/>
        <w:ind w:left="927"/>
        <w:rPr>
          <w:rFonts w:hint="default"/>
          <w:lang w:val="en-US"/>
        </w:rPr>
      </w:pPr>
      <w:r>
        <w:rPr>
          <w:rFonts w:ascii="宋体" w:hAnsi="宋体" w:eastAsia="宋体" w:cs="宋体"/>
          <w:spacing w:val="-9"/>
          <w:sz w:val="21"/>
          <w:szCs w:val="21"/>
        </w:rPr>
        <w:t>招标人代表：</w:t>
      </w:r>
      <w:r>
        <w:rPr>
          <w:rFonts w:hint="eastAsia" w:ascii="宋体" w:hAnsi="宋体" w:cs="宋体"/>
          <w:spacing w:val="-9"/>
          <w:sz w:val="21"/>
          <w:szCs w:val="21"/>
          <w:u w:val="single"/>
          <w:lang w:val="en-US" w:eastAsia="zh-CN"/>
        </w:rPr>
        <w:t xml:space="preserve">                     </w:t>
      </w:r>
      <w:r>
        <w:rPr>
          <w:rFonts w:hint="eastAsia" w:ascii="宋体" w:hAnsi="宋体" w:cs="宋体"/>
          <w:spacing w:val="-9"/>
          <w:sz w:val="21"/>
          <w:szCs w:val="21"/>
          <w:u w:val="none"/>
          <w:lang w:val="en-US" w:eastAsia="zh-CN"/>
        </w:rPr>
        <w:t xml:space="preserve">                               </w:t>
      </w:r>
      <w:r>
        <w:rPr>
          <w:rFonts w:hint="eastAsia" w:ascii="宋体" w:hAnsi="宋体" w:cs="宋体"/>
          <w:spacing w:val="-9"/>
          <w:sz w:val="21"/>
          <w:szCs w:val="21"/>
          <w:u w:val="single"/>
          <w:lang w:val="en-US" w:eastAsia="zh-CN"/>
        </w:rPr>
        <w:t xml:space="preserve"> </w:t>
      </w:r>
      <w:r>
        <w:rPr>
          <w:rFonts w:ascii="宋体" w:hAnsi="宋体" w:eastAsia="宋体" w:cs="宋体"/>
          <w:spacing w:val="-9"/>
          <w:sz w:val="21"/>
          <w:szCs w:val="21"/>
        </w:rPr>
        <w:t>记录人：</w:t>
      </w:r>
      <w:r>
        <w:rPr>
          <w:rFonts w:hint="eastAsia" w:ascii="宋体" w:hAnsi="宋体" w:cs="宋体"/>
          <w:sz w:val="21"/>
          <w:szCs w:val="21"/>
          <w:u w:val="single"/>
          <w:lang w:val="en-US" w:eastAsia="zh-CN"/>
        </w:rPr>
        <w:t xml:space="preserve">               </w:t>
      </w:r>
    </w:p>
    <w:p>
      <w:pPr>
        <w:pStyle w:val="8"/>
        <w:spacing w:line="248" w:lineRule="auto"/>
      </w:pPr>
    </w:p>
    <w:p>
      <w:pPr>
        <w:tabs>
          <w:tab w:val="left" w:pos="7120"/>
        </w:tabs>
        <w:spacing w:before="69" w:line="221" w:lineRule="auto"/>
        <w:ind w:left="6489" w:firstLine="210" w:firstLineChars="100"/>
        <w:rPr>
          <w:rFonts w:ascii="宋体" w:hAnsi="宋体" w:eastAsia="宋体" w:cs="宋体"/>
          <w:sz w:val="21"/>
          <w:szCs w:val="21"/>
        </w:rPr>
        <w:sectPr>
          <w:footerReference r:id="rId8" w:type="default"/>
          <w:pgSz w:w="11907" w:h="16841"/>
          <w:pgMar w:top="1431" w:right="1495" w:bottom="1216" w:left="1316" w:header="0" w:footer="1055" w:gutter="0"/>
          <w:pgNumType w:fmt="decimal"/>
          <w:cols w:space="720" w:num="1"/>
        </w:sectPr>
      </w:pPr>
      <w:r>
        <w:rPr>
          <w:rFonts w:ascii="宋体" w:hAnsi="宋体" w:eastAsia="宋体" w:cs="宋体"/>
          <w:sz w:val="21"/>
          <w:szCs w:val="21"/>
          <w:u w:val="single" w:color="auto"/>
        </w:rPr>
        <w:tab/>
      </w:r>
      <w:r>
        <w:rPr>
          <w:rFonts w:ascii="宋体" w:hAnsi="宋体" w:eastAsia="宋体" w:cs="宋体"/>
          <w:spacing w:val="-7"/>
          <w:sz w:val="21"/>
          <w:szCs w:val="21"/>
        </w:rPr>
        <w:t>年</w:t>
      </w:r>
      <w:r>
        <w:rPr>
          <w:rFonts w:hint="eastAsia" w:ascii="宋体" w:hAnsi="宋体" w:cs="宋体"/>
          <w:spacing w:val="-7"/>
          <w:sz w:val="21"/>
          <w:szCs w:val="21"/>
          <w:u w:val="single"/>
          <w:lang w:val="en-US" w:eastAsia="zh-CN"/>
        </w:rPr>
        <w:t xml:space="preserve">     </w:t>
      </w:r>
      <w:r>
        <w:rPr>
          <w:rFonts w:ascii="宋体" w:hAnsi="宋体" w:eastAsia="宋体" w:cs="宋体"/>
          <w:spacing w:val="-7"/>
          <w:sz w:val="21"/>
          <w:szCs w:val="21"/>
        </w:rPr>
        <w:t>月</w:t>
      </w:r>
      <w:r>
        <w:rPr>
          <w:rFonts w:hint="eastAsia" w:ascii="宋体" w:hAnsi="宋体" w:cs="宋体"/>
          <w:spacing w:val="-7"/>
          <w:sz w:val="21"/>
          <w:szCs w:val="21"/>
          <w:u w:val="single"/>
          <w:lang w:val="en-US" w:eastAsia="zh-CN"/>
        </w:rPr>
        <w:t xml:space="preserve">      </w:t>
      </w:r>
      <w:r>
        <w:rPr>
          <w:rFonts w:ascii="宋体" w:hAnsi="宋体" w:eastAsia="宋体" w:cs="宋体"/>
          <w:spacing w:val="-7"/>
          <w:sz w:val="21"/>
          <w:szCs w:val="21"/>
        </w:rPr>
        <w:t>日</w:t>
      </w:r>
    </w:p>
    <w:p>
      <w:pPr>
        <w:spacing w:before="78" w:line="217" w:lineRule="auto"/>
        <w:ind w:left="284"/>
        <w:rPr>
          <w:rFonts w:ascii="仿宋" w:hAnsi="仿宋" w:eastAsia="仿宋" w:cs="仿宋"/>
          <w:sz w:val="24"/>
          <w:szCs w:val="24"/>
        </w:rPr>
      </w:pPr>
      <w:r>
        <w:rPr>
          <w:rFonts w:ascii="仿宋" w:hAnsi="仿宋" w:eastAsia="仿宋" w:cs="仿宋"/>
          <w:spacing w:val="-5"/>
          <w:sz w:val="24"/>
          <w:szCs w:val="24"/>
        </w:rPr>
        <w:t>以“电子交易平台”系统显示为准。</w:t>
      </w:r>
    </w:p>
    <w:p>
      <w:pPr>
        <w:tabs>
          <w:tab w:val="left" w:pos="2556"/>
        </w:tabs>
        <w:spacing w:before="68" w:line="359" w:lineRule="auto"/>
        <w:ind w:left="2134"/>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6"/>
          <w:sz w:val="21"/>
          <w:szCs w:val="21"/>
          <w14:textOutline w14:w="3831" w14:cap="flat" w14:cmpd="sng">
            <w14:solidFill>
              <w14:srgbClr w14:val="000000"/>
            </w14:solidFill>
            <w14:prstDash w14:val="solid"/>
            <w14:miter w14:val="0"/>
          </w14:textOutline>
        </w:rPr>
        <w:t>（项目名称）施工第二个信封（报价文件）</w:t>
      </w:r>
    </w:p>
    <w:p>
      <w:pPr>
        <w:spacing w:line="221" w:lineRule="auto"/>
        <w:ind w:left="3830"/>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开标记录表</w:t>
      </w:r>
    </w:p>
    <w:p>
      <w:pPr>
        <w:pStyle w:val="8"/>
        <w:spacing w:line="246" w:lineRule="auto"/>
      </w:pPr>
    </w:p>
    <w:p>
      <w:pPr>
        <w:pStyle w:val="8"/>
        <w:spacing w:line="246" w:lineRule="auto"/>
      </w:pPr>
    </w:p>
    <w:p>
      <w:pPr>
        <w:spacing w:before="68" w:line="221" w:lineRule="auto"/>
        <w:jc w:val="center"/>
        <w:rPr>
          <w:rFonts w:ascii="宋体" w:hAnsi="宋体" w:eastAsia="宋体" w:cs="宋体"/>
          <w:sz w:val="21"/>
          <w:szCs w:val="21"/>
        </w:rPr>
      </w:pPr>
      <w:r>
        <w:rPr>
          <w:rFonts w:hint="eastAsia" w:ascii="宋体" w:hAnsi="宋体" w:eastAsia="宋体" w:cs="宋体"/>
          <w:spacing w:val="-19"/>
          <w:sz w:val="21"/>
          <w:szCs w:val="21"/>
          <w:lang w:val="en-US" w:eastAsia="zh-CN"/>
        </w:rPr>
        <w:t xml:space="preserve">                                                             </w:t>
      </w:r>
      <w:r>
        <w:rPr>
          <w:rFonts w:ascii="宋体" w:hAnsi="宋体" w:eastAsia="宋体" w:cs="宋体"/>
          <w:spacing w:val="-19"/>
          <w:sz w:val="21"/>
          <w:szCs w:val="21"/>
        </w:rPr>
        <w:t>开标时间：</w:t>
      </w:r>
      <w:r>
        <w:rPr>
          <w:rFonts w:hint="eastAsia" w:ascii="宋体" w:hAnsi="宋体" w:eastAsia="宋体" w:cs="宋体"/>
          <w:spacing w:val="-19"/>
          <w:sz w:val="21"/>
          <w:szCs w:val="21"/>
          <w:u w:val="single"/>
          <w:lang w:val="en-US" w:eastAsia="zh-CN"/>
        </w:rPr>
        <w:t xml:space="preserve">   </w:t>
      </w:r>
      <w:r>
        <w:rPr>
          <w:rFonts w:hint="eastAsia" w:ascii="宋体" w:hAnsi="宋体" w:cs="宋体"/>
          <w:spacing w:val="-19"/>
          <w:sz w:val="21"/>
          <w:szCs w:val="21"/>
          <w:u w:val="single"/>
          <w:lang w:val="en-US" w:eastAsia="zh-CN"/>
        </w:rPr>
        <w:t xml:space="preserve"> </w:t>
      </w:r>
      <w:r>
        <w:rPr>
          <w:rFonts w:ascii="宋体" w:hAnsi="宋体" w:eastAsia="宋体" w:cs="宋体"/>
          <w:spacing w:val="-19"/>
          <w:sz w:val="21"/>
          <w:szCs w:val="21"/>
        </w:rPr>
        <w:t>年</w:t>
      </w:r>
      <w:r>
        <w:rPr>
          <w:rFonts w:hint="eastAsia" w:ascii="宋体" w:hAnsi="宋体" w:cs="宋体"/>
          <w:spacing w:val="-19"/>
          <w:sz w:val="21"/>
          <w:szCs w:val="21"/>
          <w:u w:val="single"/>
          <w:lang w:val="en-US" w:eastAsia="zh-CN"/>
        </w:rPr>
        <w:t xml:space="preserve"> </w:t>
      </w:r>
      <w:r>
        <w:rPr>
          <w:rFonts w:hint="eastAsia" w:ascii="宋体" w:hAnsi="宋体" w:cs="宋体"/>
          <w:spacing w:val="-19"/>
          <w:sz w:val="21"/>
          <w:szCs w:val="21"/>
          <w:u w:val="none"/>
          <w:lang w:val="en-US" w:eastAsia="zh-CN"/>
        </w:rPr>
        <w:t xml:space="preserve">   </w:t>
      </w:r>
      <w:r>
        <w:rPr>
          <w:rFonts w:hint="eastAsia" w:ascii="宋体" w:hAnsi="宋体" w:cs="宋体"/>
          <w:spacing w:val="-19"/>
          <w:sz w:val="21"/>
          <w:szCs w:val="21"/>
          <w:u w:val="single"/>
          <w:lang w:val="en-US" w:eastAsia="zh-CN"/>
        </w:rPr>
        <w:t xml:space="preserve">   </w:t>
      </w:r>
      <w:r>
        <w:rPr>
          <w:rFonts w:ascii="宋体" w:hAnsi="宋体" w:eastAsia="宋体" w:cs="宋体"/>
          <w:spacing w:val="-19"/>
          <w:sz w:val="21"/>
          <w:szCs w:val="21"/>
        </w:rPr>
        <w:t>月</w:t>
      </w:r>
      <w:r>
        <w:rPr>
          <w:rFonts w:hint="eastAsia" w:ascii="宋体" w:hAnsi="宋体" w:cs="宋体"/>
          <w:spacing w:val="-19"/>
          <w:sz w:val="21"/>
          <w:szCs w:val="21"/>
          <w:u w:val="single"/>
          <w:lang w:val="en-US" w:eastAsia="zh-CN"/>
        </w:rPr>
        <w:t xml:space="preserve">  </w:t>
      </w:r>
      <w:r>
        <w:rPr>
          <w:rFonts w:hint="eastAsia" w:ascii="宋体" w:hAnsi="宋体" w:cs="宋体"/>
          <w:spacing w:val="-19"/>
          <w:sz w:val="21"/>
          <w:szCs w:val="21"/>
          <w:u w:val="none"/>
          <w:lang w:val="en-US" w:eastAsia="zh-CN"/>
        </w:rPr>
        <w:t xml:space="preserve">  </w:t>
      </w:r>
      <w:r>
        <w:rPr>
          <w:rFonts w:hint="eastAsia" w:ascii="宋体" w:hAnsi="宋体" w:cs="宋体"/>
          <w:spacing w:val="-19"/>
          <w:sz w:val="21"/>
          <w:szCs w:val="21"/>
          <w:u w:val="single"/>
          <w:lang w:val="en-US" w:eastAsia="zh-CN"/>
        </w:rPr>
        <w:t xml:space="preserve">   </w:t>
      </w:r>
      <w:r>
        <w:rPr>
          <w:rFonts w:ascii="宋体" w:hAnsi="宋体" w:eastAsia="宋体" w:cs="宋体"/>
          <w:spacing w:val="-19"/>
          <w:sz w:val="21"/>
          <w:szCs w:val="21"/>
        </w:rPr>
        <w:t>日</w:t>
      </w:r>
      <w:r>
        <w:rPr>
          <w:rFonts w:hint="eastAsia" w:ascii="宋体" w:hAnsi="宋体" w:cs="宋体"/>
          <w:spacing w:val="-19"/>
          <w:sz w:val="21"/>
          <w:szCs w:val="21"/>
          <w:u w:val="single"/>
          <w:lang w:val="en-US" w:eastAsia="zh-CN"/>
        </w:rPr>
        <w:t xml:space="preserve">     </w:t>
      </w:r>
      <w:r>
        <w:rPr>
          <w:rFonts w:ascii="宋体" w:hAnsi="宋体" w:eastAsia="宋体" w:cs="宋体"/>
          <w:spacing w:val="-18"/>
          <w:sz w:val="21"/>
          <w:szCs w:val="21"/>
        </w:rPr>
        <w:t>时</w:t>
      </w:r>
      <w:r>
        <w:rPr>
          <w:rFonts w:hint="eastAsia" w:ascii="宋体" w:hAnsi="宋体" w:cs="宋体"/>
          <w:spacing w:val="-18"/>
          <w:sz w:val="21"/>
          <w:szCs w:val="21"/>
          <w:u w:val="single"/>
          <w:lang w:val="en-US" w:eastAsia="zh-CN"/>
        </w:rPr>
        <w:t xml:space="preserve">    </w:t>
      </w:r>
      <w:r>
        <w:rPr>
          <w:rFonts w:ascii="宋体" w:hAnsi="宋体" w:eastAsia="宋体" w:cs="宋体"/>
          <w:spacing w:val="-10"/>
          <w:sz w:val="21"/>
          <w:szCs w:val="21"/>
        </w:rPr>
        <w:t>分</w:t>
      </w:r>
    </w:p>
    <w:p>
      <w:pPr>
        <w:spacing w:line="129" w:lineRule="exact"/>
      </w:pPr>
    </w:p>
    <w:tbl>
      <w:tblPr>
        <w:tblStyle w:val="68"/>
        <w:tblW w:w="86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3"/>
        <w:gridCol w:w="1235"/>
        <w:gridCol w:w="1456"/>
        <w:gridCol w:w="1418"/>
        <w:gridCol w:w="1557"/>
        <w:gridCol w:w="1030"/>
        <w:gridCol w:w="12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753" w:type="dxa"/>
            <w:vAlign w:val="top"/>
          </w:tcPr>
          <w:p>
            <w:pPr>
              <w:pStyle w:val="72"/>
              <w:keepNext w:val="0"/>
              <w:keepLines w:val="0"/>
              <w:suppressLineNumbers w:val="0"/>
              <w:spacing w:before="168" w:beforeAutospacing="0" w:after="0" w:afterAutospacing="0" w:line="222" w:lineRule="auto"/>
              <w:ind w:left="170" w:right="0"/>
              <w:rPr>
                <w:rFonts w:hint="default"/>
              </w:rPr>
            </w:pPr>
            <w:r>
              <w:rPr>
                <w:rFonts w:hint="default"/>
                <w:spacing w:val="-2"/>
              </w:rPr>
              <w:t>序号</w:t>
            </w:r>
          </w:p>
        </w:tc>
        <w:tc>
          <w:tcPr>
            <w:tcW w:w="1235" w:type="dxa"/>
            <w:vAlign w:val="top"/>
          </w:tcPr>
          <w:p>
            <w:pPr>
              <w:pStyle w:val="72"/>
              <w:keepNext w:val="0"/>
              <w:keepLines w:val="0"/>
              <w:suppressLineNumbers w:val="0"/>
              <w:spacing w:before="169" w:beforeAutospacing="0" w:after="0" w:afterAutospacing="0" w:line="221" w:lineRule="auto"/>
              <w:ind w:left="308" w:right="0"/>
              <w:rPr>
                <w:rFonts w:hint="default"/>
              </w:rPr>
            </w:pPr>
            <w:r>
              <w:rPr>
                <w:rFonts w:hint="default"/>
                <w:spacing w:val="-2"/>
              </w:rPr>
              <w:t>投标人</w:t>
            </w:r>
          </w:p>
        </w:tc>
        <w:tc>
          <w:tcPr>
            <w:tcW w:w="1456" w:type="dxa"/>
            <w:vAlign w:val="top"/>
          </w:tcPr>
          <w:p>
            <w:pPr>
              <w:pStyle w:val="72"/>
              <w:keepNext w:val="0"/>
              <w:keepLines w:val="0"/>
              <w:suppressLineNumbers w:val="0"/>
              <w:spacing w:before="169" w:beforeAutospacing="0" w:after="0" w:afterAutospacing="0" w:line="221" w:lineRule="auto"/>
              <w:ind w:left="315" w:right="0"/>
              <w:rPr>
                <w:rFonts w:hint="default"/>
              </w:rPr>
            </w:pPr>
            <w:r>
              <w:rPr>
                <w:rFonts w:hint="default"/>
                <w:spacing w:val="-2"/>
              </w:rPr>
              <w:t>密封情况</w:t>
            </w:r>
          </w:p>
        </w:tc>
        <w:tc>
          <w:tcPr>
            <w:tcW w:w="1418" w:type="dxa"/>
            <w:vAlign w:val="top"/>
          </w:tcPr>
          <w:p>
            <w:pPr>
              <w:pStyle w:val="72"/>
              <w:keepNext w:val="0"/>
              <w:keepLines w:val="0"/>
              <w:suppressLineNumbers w:val="0"/>
              <w:spacing w:before="34" w:beforeAutospacing="0" w:after="0" w:afterAutospacing="0" w:line="238" w:lineRule="auto"/>
              <w:ind w:left="296" w:right="0"/>
              <w:rPr>
                <w:rFonts w:hint="default"/>
              </w:rPr>
            </w:pPr>
            <w:r>
              <w:rPr>
                <w:rFonts w:hint="default"/>
                <w:spacing w:val="-2"/>
              </w:rPr>
              <w:t>投标报价</w:t>
            </w:r>
          </w:p>
          <w:p>
            <w:pPr>
              <w:pStyle w:val="72"/>
              <w:keepNext w:val="0"/>
              <w:keepLines w:val="0"/>
              <w:suppressLineNumbers w:val="0"/>
              <w:spacing w:before="0" w:beforeAutospacing="0" w:after="0" w:afterAutospacing="0" w:line="208" w:lineRule="auto"/>
              <w:ind w:left="403" w:right="0"/>
              <w:rPr>
                <w:rFonts w:hint="default"/>
              </w:rPr>
            </w:pPr>
            <w:r>
              <w:rPr>
                <w:rFonts w:hint="default"/>
                <w:spacing w:val="-6"/>
              </w:rPr>
              <w:t>（元）</w:t>
            </w:r>
          </w:p>
        </w:tc>
        <w:tc>
          <w:tcPr>
            <w:tcW w:w="1557" w:type="dxa"/>
            <w:vAlign w:val="top"/>
          </w:tcPr>
          <w:p>
            <w:pPr>
              <w:pStyle w:val="72"/>
              <w:keepNext w:val="0"/>
              <w:keepLines w:val="0"/>
              <w:suppressLineNumbers w:val="0"/>
              <w:spacing w:before="33" w:beforeAutospacing="0" w:after="0" w:afterAutospacing="0" w:line="224" w:lineRule="auto"/>
              <w:ind w:left="266" w:right="245" w:hanging="2"/>
              <w:rPr>
                <w:rFonts w:hint="default"/>
              </w:rPr>
            </w:pPr>
            <w:r>
              <w:rPr>
                <w:rFonts w:hint="default"/>
                <w:spacing w:val="-2"/>
              </w:rPr>
              <w:t>是否超过最</w:t>
            </w:r>
            <w:r>
              <w:rPr>
                <w:rFonts w:hint="default"/>
                <w:spacing w:val="-3"/>
              </w:rPr>
              <w:t>高投标限价</w:t>
            </w:r>
          </w:p>
        </w:tc>
        <w:tc>
          <w:tcPr>
            <w:tcW w:w="1030" w:type="dxa"/>
            <w:vAlign w:val="top"/>
          </w:tcPr>
          <w:p>
            <w:pPr>
              <w:pStyle w:val="72"/>
              <w:keepNext w:val="0"/>
              <w:keepLines w:val="0"/>
              <w:suppressLineNumbers w:val="0"/>
              <w:spacing w:before="168" w:beforeAutospacing="0" w:after="0" w:afterAutospacing="0" w:line="222" w:lineRule="auto"/>
              <w:ind w:left="314" w:right="0"/>
              <w:rPr>
                <w:rFonts w:hint="default"/>
              </w:rPr>
            </w:pPr>
            <w:r>
              <w:rPr>
                <w:rFonts w:hint="default"/>
                <w:spacing w:val="-3"/>
              </w:rPr>
              <w:t>备注</w:t>
            </w:r>
          </w:p>
        </w:tc>
        <w:tc>
          <w:tcPr>
            <w:tcW w:w="1242" w:type="dxa"/>
            <w:vAlign w:val="top"/>
          </w:tcPr>
          <w:p>
            <w:pPr>
              <w:pStyle w:val="72"/>
              <w:keepNext w:val="0"/>
              <w:keepLines w:val="0"/>
              <w:suppressLineNumbers w:val="0"/>
              <w:spacing w:before="33" w:beforeAutospacing="0" w:after="0" w:afterAutospacing="0" w:line="224" w:lineRule="auto"/>
              <w:ind w:left="308" w:right="195" w:hanging="99"/>
              <w:rPr>
                <w:rFonts w:hint="default"/>
              </w:rPr>
            </w:pPr>
            <w:r>
              <w:rPr>
                <w:rFonts w:hint="default"/>
                <w:spacing w:val="-3"/>
              </w:rPr>
              <w:t>投标人代</w:t>
            </w:r>
            <w:r>
              <w:rPr>
                <w:rFonts w:hint="default"/>
                <w:spacing w:val="-1"/>
              </w:rPr>
              <w:t>表签名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53" w:type="dxa"/>
            <w:vAlign w:val="top"/>
          </w:tcPr>
          <w:p>
            <w:pPr>
              <w:keepNext w:val="0"/>
              <w:keepLines w:val="0"/>
              <w:suppressLineNumbers w:val="0"/>
              <w:spacing w:before="0" w:beforeAutospacing="0" w:after="0" w:afterAutospacing="0"/>
              <w:ind w:left="0" w:right="0"/>
              <w:rPr>
                <w:rFonts w:hint="default" w:ascii="Arial"/>
                <w:sz w:val="21"/>
              </w:rPr>
            </w:pPr>
          </w:p>
        </w:tc>
        <w:tc>
          <w:tcPr>
            <w:tcW w:w="1235" w:type="dxa"/>
            <w:vAlign w:val="top"/>
          </w:tcPr>
          <w:p>
            <w:pPr>
              <w:keepNext w:val="0"/>
              <w:keepLines w:val="0"/>
              <w:suppressLineNumbers w:val="0"/>
              <w:spacing w:before="0" w:beforeAutospacing="0" w:after="0" w:afterAutospacing="0"/>
              <w:ind w:left="0" w:right="0"/>
              <w:rPr>
                <w:rFonts w:hint="default" w:ascii="Arial"/>
                <w:sz w:val="21"/>
              </w:rPr>
            </w:pPr>
          </w:p>
        </w:tc>
        <w:tc>
          <w:tcPr>
            <w:tcW w:w="1456" w:type="dxa"/>
            <w:vAlign w:val="top"/>
          </w:tcPr>
          <w:p>
            <w:pPr>
              <w:keepNext w:val="0"/>
              <w:keepLines w:val="0"/>
              <w:suppressLineNumbers w:val="0"/>
              <w:spacing w:before="0" w:beforeAutospacing="0" w:after="0" w:afterAutospacing="0"/>
              <w:ind w:left="0" w:right="0"/>
              <w:rPr>
                <w:rFonts w:hint="default" w:ascii="Arial"/>
                <w:sz w:val="21"/>
              </w:rPr>
            </w:pPr>
          </w:p>
        </w:tc>
        <w:tc>
          <w:tcPr>
            <w:tcW w:w="1418" w:type="dxa"/>
            <w:vAlign w:val="top"/>
          </w:tcPr>
          <w:p>
            <w:pPr>
              <w:keepNext w:val="0"/>
              <w:keepLines w:val="0"/>
              <w:suppressLineNumbers w:val="0"/>
              <w:spacing w:before="0" w:beforeAutospacing="0" w:after="0" w:afterAutospacing="0"/>
              <w:ind w:left="0" w:right="0"/>
              <w:rPr>
                <w:rFonts w:hint="default" w:ascii="Arial"/>
                <w:sz w:val="21"/>
              </w:rPr>
            </w:pPr>
          </w:p>
        </w:tc>
        <w:tc>
          <w:tcPr>
            <w:tcW w:w="1557" w:type="dxa"/>
            <w:vAlign w:val="top"/>
          </w:tcPr>
          <w:p>
            <w:pPr>
              <w:keepNext w:val="0"/>
              <w:keepLines w:val="0"/>
              <w:suppressLineNumbers w:val="0"/>
              <w:spacing w:before="0" w:beforeAutospacing="0" w:after="0" w:afterAutospacing="0"/>
              <w:ind w:left="0" w:right="0"/>
              <w:rPr>
                <w:rFonts w:hint="default" w:ascii="Arial"/>
                <w:sz w:val="21"/>
              </w:rPr>
            </w:pPr>
          </w:p>
        </w:tc>
        <w:tc>
          <w:tcPr>
            <w:tcW w:w="1030" w:type="dxa"/>
            <w:vAlign w:val="top"/>
          </w:tcPr>
          <w:p>
            <w:pPr>
              <w:keepNext w:val="0"/>
              <w:keepLines w:val="0"/>
              <w:suppressLineNumbers w:val="0"/>
              <w:spacing w:before="0" w:beforeAutospacing="0" w:after="0" w:afterAutospacing="0"/>
              <w:ind w:left="0" w:right="0"/>
              <w:rPr>
                <w:rFonts w:hint="default" w:ascii="Arial"/>
                <w:sz w:val="21"/>
              </w:rPr>
            </w:pPr>
          </w:p>
        </w:tc>
        <w:tc>
          <w:tcPr>
            <w:tcW w:w="1242"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753" w:type="dxa"/>
            <w:vAlign w:val="top"/>
          </w:tcPr>
          <w:p>
            <w:pPr>
              <w:keepNext w:val="0"/>
              <w:keepLines w:val="0"/>
              <w:suppressLineNumbers w:val="0"/>
              <w:spacing w:before="0" w:beforeAutospacing="0" w:after="0" w:afterAutospacing="0"/>
              <w:ind w:left="0" w:right="0"/>
              <w:rPr>
                <w:rFonts w:hint="default" w:ascii="Arial"/>
                <w:sz w:val="21"/>
              </w:rPr>
            </w:pPr>
          </w:p>
        </w:tc>
        <w:tc>
          <w:tcPr>
            <w:tcW w:w="1235" w:type="dxa"/>
            <w:vAlign w:val="top"/>
          </w:tcPr>
          <w:p>
            <w:pPr>
              <w:keepNext w:val="0"/>
              <w:keepLines w:val="0"/>
              <w:suppressLineNumbers w:val="0"/>
              <w:spacing w:before="0" w:beforeAutospacing="0" w:after="0" w:afterAutospacing="0"/>
              <w:ind w:left="0" w:right="0"/>
              <w:rPr>
                <w:rFonts w:hint="default" w:ascii="Arial"/>
                <w:sz w:val="21"/>
              </w:rPr>
            </w:pPr>
          </w:p>
        </w:tc>
        <w:tc>
          <w:tcPr>
            <w:tcW w:w="1456" w:type="dxa"/>
            <w:vAlign w:val="top"/>
          </w:tcPr>
          <w:p>
            <w:pPr>
              <w:keepNext w:val="0"/>
              <w:keepLines w:val="0"/>
              <w:suppressLineNumbers w:val="0"/>
              <w:spacing w:before="0" w:beforeAutospacing="0" w:after="0" w:afterAutospacing="0"/>
              <w:ind w:left="0" w:right="0"/>
              <w:rPr>
                <w:rFonts w:hint="default" w:ascii="Arial"/>
                <w:sz w:val="21"/>
              </w:rPr>
            </w:pPr>
          </w:p>
        </w:tc>
        <w:tc>
          <w:tcPr>
            <w:tcW w:w="1418" w:type="dxa"/>
            <w:vAlign w:val="top"/>
          </w:tcPr>
          <w:p>
            <w:pPr>
              <w:keepNext w:val="0"/>
              <w:keepLines w:val="0"/>
              <w:suppressLineNumbers w:val="0"/>
              <w:spacing w:before="0" w:beforeAutospacing="0" w:after="0" w:afterAutospacing="0"/>
              <w:ind w:left="0" w:right="0"/>
              <w:rPr>
                <w:rFonts w:hint="default" w:ascii="Arial"/>
                <w:sz w:val="21"/>
              </w:rPr>
            </w:pPr>
          </w:p>
        </w:tc>
        <w:tc>
          <w:tcPr>
            <w:tcW w:w="1557" w:type="dxa"/>
            <w:vAlign w:val="top"/>
          </w:tcPr>
          <w:p>
            <w:pPr>
              <w:keepNext w:val="0"/>
              <w:keepLines w:val="0"/>
              <w:suppressLineNumbers w:val="0"/>
              <w:spacing w:before="0" w:beforeAutospacing="0" w:after="0" w:afterAutospacing="0"/>
              <w:ind w:left="0" w:right="0"/>
              <w:rPr>
                <w:rFonts w:hint="default" w:ascii="Arial"/>
                <w:sz w:val="21"/>
              </w:rPr>
            </w:pPr>
          </w:p>
        </w:tc>
        <w:tc>
          <w:tcPr>
            <w:tcW w:w="1030" w:type="dxa"/>
            <w:vAlign w:val="top"/>
          </w:tcPr>
          <w:p>
            <w:pPr>
              <w:keepNext w:val="0"/>
              <w:keepLines w:val="0"/>
              <w:suppressLineNumbers w:val="0"/>
              <w:spacing w:before="0" w:beforeAutospacing="0" w:after="0" w:afterAutospacing="0"/>
              <w:ind w:left="0" w:right="0"/>
              <w:rPr>
                <w:rFonts w:hint="default" w:ascii="Arial"/>
                <w:sz w:val="21"/>
              </w:rPr>
            </w:pPr>
          </w:p>
        </w:tc>
        <w:tc>
          <w:tcPr>
            <w:tcW w:w="1242"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753" w:type="dxa"/>
            <w:vAlign w:val="top"/>
          </w:tcPr>
          <w:p>
            <w:pPr>
              <w:keepNext w:val="0"/>
              <w:keepLines w:val="0"/>
              <w:suppressLineNumbers w:val="0"/>
              <w:spacing w:before="0" w:beforeAutospacing="0" w:after="0" w:afterAutospacing="0"/>
              <w:ind w:left="0" w:right="0"/>
              <w:rPr>
                <w:rFonts w:hint="default" w:ascii="Arial"/>
                <w:sz w:val="21"/>
              </w:rPr>
            </w:pPr>
          </w:p>
        </w:tc>
        <w:tc>
          <w:tcPr>
            <w:tcW w:w="1235" w:type="dxa"/>
            <w:vAlign w:val="top"/>
          </w:tcPr>
          <w:p>
            <w:pPr>
              <w:keepNext w:val="0"/>
              <w:keepLines w:val="0"/>
              <w:suppressLineNumbers w:val="0"/>
              <w:spacing w:before="0" w:beforeAutospacing="0" w:after="0" w:afterAutospacing="0"/>
              <w:ind w:left="0" w:right="0"/>
              <w:rPr>
                <w:rFonts w:hint="default" w:ascii="Arial"/>
                <w:sz w:val="21"/>
              </w:rPr>
            </w:pPr>
          </w:p>
        </w:tc>
        <w:tc>
          <w:tcPr>
            <w:tcW w:w="1456" w:type="dxa"/>
            <w:vAlign w:val="top"/>
          </w:tcPr>
          <w:p>
            <w:pPr>
              <w:keepNext w:val="0"/>
              <w:keepLines w:val="0"/>
              <w:suppressLineNumbers w:val="0"/>
              <w:spacing w:before="0" w:beforeAutospacing="0" w:after="0" w:afterAutospacing="0"/>
              <w:ind w:left="0" w:right="0"/>
              <w:rPr>
                <w:rFonts w:hint="default" w:ascii="Arial"/>
                <w:sz w:val="21"/>
              </w:rPr>
            </w:pPr>
          </w:p>
        </w:tc>
        <w:tc>
          <w:tcPr>
            <w:tcW w:w="1418" w:type="dxa"/>
            <w:vAlign w:val="top"/>
          </w:tcPr>
          <w:p>
            <w:pPr>
              <w:keepNext w:val="0"/>
              <w:keepLines w:val="0"/>
              <w:suppressLineNumbers w:val="0"/>
              <w:spacing w:before="0" w:beforeAutospacing="0" w:after="0" w:afterAutospacing="0"/>
              <w:ind w:left="0" w:right="0"/>
              <w:rPr>
                <w:rFonts w:hint="default" w:ascii="Arial"/>
                <w:sz w:val="21"/>
              </w:rPr>
            </w:pPr>
          </w:p>
        </w:tc>
        <w:tc>
          <w:tcPr>
            <w:tcW w:w="1557" w:type="dxa"/>
            <w:vAlign w:val="top"/>
          </w:tcPr>
          <w:p>
            <w:pPr>
              <w:keepNext w:val="0"/>
              <w:keepLines w:val="0"/>
              <w:suppressLineNumbers w:val="0"/>
              <w:spacing w:before="0" w:beforeAutospacing="0" w:after="0" w:afterAutospacing="0"/>
              <w:ind w:left="0" w:right="0"/>
              <w:rPr>
                <w:rFonts w:hint="default" w:ascii="Arial"/>
                <w:sz w:val="21"/>
              </w:rPr>
            </w:pPr>
          </w:p>
        </w:tc>
        <w:tc>
          <w:tcPr>
            <w:tcW w:w="1030" w:type="dxa"/>
            <w:vAlign w:val="top"/>
          </w:tcPr>
          <w:p>
            <w:pPr>
              <w:keepNext w:val="0"/>
              <w:keepLines w:val="0"/>
              <w:suppressLineNumbers w:val="0"/>
              <w:spacing w:before="0" w:beforeAutospacing="0" w:after="0" w:afterAutospacing="0"/>
              <w:ind w:left="0" w:right="0"/>
              <w:rPr>
                <w:rFonts w:hint="default" w:ascii="Arial"/>
                <w:sz w:val="21"/>
              </w:rPr>
            </w:pPr>
          </w:p>
        </w:tc>
        <w:tc>
          <w:tcPr>
            <w:tcW w:w="1242"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53" w:type="dxa"/>
            <w:vAlign w:val="top"/>
          </w:tcPr>
          <w:p>
            <w:pPr>
              <w:keepNext w:val="0"/>
              <w:keepLines w:val="0"/>
              <w:suppressLineNumbers w:val="0"/>
              <w:spacing w:before="0" w:beforeAutospacing="0" w:after="0" w:afterAutospacing="0"/>
              <w:ind w:left="0" w:right="0"/>
              <w:rPr>
                <w:rFonts w:hint="default" w:ascii="Arial"/>
                <w:sz w:val="21"/>
              </w:rPr>
            </w:pPr>
          </w:p>
        </w:tc>
        <w:tc>
          <w:tcPr>
            <w:tcW w:w="1235" w:type="dxa"/>
            <w:vAlign w:val="top"/>
          </w:tcPr>
          <w:p>
            <w:pPr>
              <w:keepNext w:val="0"/>
              <w:keepLines w:val="0"/>
              <w:suppressLineNumbers w:val="0"/>
              <w:spacing w:before="0" w:beforeAutospacing="0" w:after="0" w:afterAutospacing="0"/>
              <w:ind w:left="0" w:right="0"/>
              <w:rPr>
                <w:rFonts w:hint="default" w:ascii="Arial"/>
                <w:sz w:val="21"/>
              </w:rPr>
            </w:pPr>
          </w:p>
        </w:tc>
        <w:tc>
          <w:tcPr>
            <w:tcW w:w="1456" w:type="dxa"/>
            <w:vAlign w:val="top"/>
          </w:tcPr>
          <w:p>
            <w:pPr>
              <w:keepNext w:val="0"/>
              <w:keepLines w:val="0"/>
              <w:suppressLineNumbers w:val="0"/>
              <w:spacing w:before="0" w:beforeAutospacing="0" w:after="0" w:afterAutospacing="0"/>
              <w:ind w:left="0" w:right="0"/>
              <w:rPr>
                <w:rFonts w:hint="default" w:ascii="Arial"/>
                <w:sz w:val="21"/>
              </w:rPr>
            </w:pPr>
          </w:p>
        </w:tc>
        <w:tc>
          <w:tcPr>
            <w:tcW w:w="1418" w:type="dxa"/>
            <w:vAlign w:val="top"/>
          </w:tcPr>
          <w:p>
            <w:pPr>
              <w:keepNext w:val="0"/>
              <w:keepLines w:val="0"/>
              <w:suppressLineNumbers w:val="0"/>
              <w:spacing w:before="0" w:beforeAutospacing="0" w:after="0" w:afterAutospacing="0"/>
              <w:ind w:left="0" w:right="0"/>
              <w:rPr>
                <w:rFonts w:hint="default" w:ascii="Arial"/>
                <w:sz w:val="21"/>
              </w:rPr>
            </w:pPr>
          </w:p>
        </w:tc>
        <w:tc>
          <w:tcPr>
            <w:tcW w:w="1557" w:type="dxa"/>
            <w:vAlign w:val="top"/>
          </w:tcPr>
          <w:p>
            <w:pPr>
              <w:keepNext w:val="0"/>
              <w:keepLines w:val="0"/>
              <w:suppressLineNumbers w:val="0"/>
              <w:spacing w:before="0" w:beforeAutospacing="0" w:after="0" w:afterAutospacing="0"/>
              <w:ind w:left="0" w:right="0"/>
              <w:rPr>
                <w:rFonts w:hint="default" w:ascii="Arial"/>
                <w:sz w:val="21"/>
              </w:rPr>
            </w:pPr>
          </w:p>
        </w:tc>
        <w:tc>
          <w:tcPr>
            <w:tcW w:w="1030" w:type="dxa"/>
            <w:vAlign w:val="top"/>
          </w:tcPr>
          <w:p>
            <w:pPr>
              <w:keepNext w:val="0"/>
              <w:keepLines w:val="0"/>
              <w:suppressLineNumbers w:val="0"/>
              <w:spacing w:before="0" w:beforeAutospacing="0" w:after="0" w:afterAutospacing="0"/>
              <w:ind w:left="0" w:right="0"/>
              <w:rPr>
                <w:rFonts w:hint="default" w:ascii="Arial"/>
                <w:sz w:val="21"/>
              </w:rPr>
            </w:pPr>
          </w:p>
        </w:tc>
        <w:tc>
          <w:tcPr>
            <w:tcW w:w="1242"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753" w:type="dxa"/>
            <w:vAlign w:val="top"/>
          </w:tcPr>
          <w:p>
            <w:pPr>
              <w:keepNext w:val="0"/>
              <w:keepLines w:val="0"/>
              <w:suppressLineNumbers w:val="0"/>
              <w:spacing w:before="0" w:beforeAutospacing="0" w:after="0" w:afterAutospacing="0"/>
              <w:ind w:left="0" w:right="0"/>
              <w:rPr>
                <w:rFonts w:hint="default" w:ascii="Arial"/>
                <w:sz w:val="21"/>
              </w:rPr>
            </w:pPr>
          </w:p>
        </w:tc>
        <w:tc>
          <w:tcPr>
            <w:tcW w:w="1235" w:type="dxa"/>
            <w:vAlign w:val="top"/>
          </w:tcPr>
          <w:p>
            <w:pPr>
              <w:keepNext w:val="0"/>
              <w:keepLines w:val="0"/>
              <w:suppressLineNumbers w:val="0"/>
              <w:spacing w:before="0" w:beforeAutospacing="0" w:after="0" w:afterAutospacing="0"/>
              <w:ind w:left="0" w:right="0"/>
              <w:rPr>
                <w:rFonts w:hint="default" w:ascii="Arial"/>
                <w:sz w:val="21"/>
              </w:rPr>
            </w:pPr>
          </w:p>
        </w:tc>
        <w:tc>
          <w:tcPr>
            <w:tcW w:w="1456" w:type="dxa"/>
            <w:vAlign w:val="top"/>
          </w:tcPr>
          <w:p>
            <w:pPr>
              <w:keepNext w:val="0"/>
              <w:keepLines w:val="0"/>
              <w:suppressLineNumbers w:val="0"/>
              <w:spacing w:before="0" w:beforeAutospacing="0" w:after="0" w:afterAutospacing="0"/>
              <w:ind w:left="0" w:right="0"/>
              <w:rPr>
                <w:rFonts w:hint="default" w:ascii="Arial"/>
                <w:sz w:val="21"/>
              </w:rPr>
            </w:pPr>
          </w:p>
        </w:tc>
        <w:tc>
          <w:tcPr>
            <w:tcW w:w="1418" w:type="dxa"/>
            <w:vAlign w:val="top"/>
          </w:tcPr>
          <w:p>
            <w:pPr>
              <w:keepNext w:val="0"/>
              <w:keepLines w:val="0"/>
              <w:suppressLineNumbers w:val="0"/>
              <w:spacing w:before="0" w:beforeAutospacing="0" w:after="0" w:afterAutospacing="0"/>
              <w:ind w:left="0" w:right="0"/>
              <w:rPr>
                <w:rFonts w:hint="default" w:ascii="Arial"/>
                <w:sz w:val="21"/>
              </w:rPr>
            </w:pPr>
          </w:p>
        </w:tc>
        <w:tc>
          <w:tcPr>
            <w:tcW w:w="1557" w:type="dxa"/>
            <w:vAlign w:val="top"/>
          </w:tcPr>
          <w:p>
            <w:pPr>
              <w:keepNext w:val="0"/>
              <w:keepLines w:val="0"/>
              <w:suppressLineNumbers w:val="0"/>
              <w:spacing w:before="0" w:beforeAutospacing="0" w:after="0" w:afterAutospacing="0"/>
              <w:ind w:left="0" w:right="0"/>
              <w:rPr>
                <w:rFonts w:hint="default" w:ascii="Arial"/>
                <w:sz w:val="21"/>
              </w:rPr>
            </w:pPr>
          </w:p>
        </w:tc>
        <w:tc>
          <w:tcPr>
            <w:tcW w:w="1030" w:type="dxa"/>
            <w:vAlign w:val="top"/>
          </w:tcPr>
          <w:p>
            <w:pPr>
              <w:keepNext w:val="0"/>
              <w:keepLines w:val="0"/>
              <w:suppressLineNumbers w:val="0"/>
              <w:spacing w:before="0" w:beforeAutospacing="0" w:after="0" w:afterAutospacing="0"/>
              <w:ind w:left="0" w:right="0"/>
              <w:rPr>
                <w:rFonts w:hint="default" w:ascii="Arial"/>
                <w:sz w:val="21"/>
              </w:rPr>
            </w:pPr>
          </w:p>
        </w:tc>
        <w:tc>
          <w:tcPr>
            <w:tcW w:w="1242"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753" w:type="dxa"/>
            <w:vAlign w:val="top"/>
          </w:tcPr>
          <w:p>
            <w:pPr>
              <w:keepNext w:val="0"/>
              <w:keepLines w:val="0"/>
              <w:suppressLineNumbers w:val="0"/>
              <w:spacing w:before="0" w:beforeAutospacing="0" w:after="0" w:afterAutospacing="0"/>
              <w:ind w:left="0" w:right="0"/>
              <w:rPr>
                <w:rFonts w:hint="default" w:ascii="Arial"/>
                <w:sz w:val="21"/>
              </w:rPr>
            </w:pPr>
          </w:p>
        </w:tc>
        <w:tc>
          <w:tcPr>
            <w:tcW w:w="1235" w:type="dxa"/>
            <w:vAlign w:val="top"/>
          </w:tcPr>
          <w:p>
            <w:pPr>
              <w:keepNext w:val="0"/>
              <w:keepLines w:val="0"/>
              <w:suppressLineNumbers w:val="0"/>
              <w:spacing w:before="0" w:beforeAutospacing="0" w:after="0" w:afterAutospacing="0"/>
              <w:ind w:left="0" w:right="0"/>
              <w:rPr>
                <w:rFonts w:hint="default" w:ascii="Arial"/>
                <w:sz w:val="21"/>
              </w:rPr>
            </w:pPr>
          </w:p>
        </w:tc>
        <w:tc>
          <w:tcPr>
            <w:tcW w:w="1456" w:type="dxa"/>
            <w:vAlign w:val="top"/>
          </w:tcPr>
          <w:p>
            <w:pPr>
              <w:keepNext w:val="0"/>
              <w:keepLines w:val="0"/>
              <w:suppressLineNumbers w:val="0"/>
              <w:spacing w:before="0" w:beforeAutospacing="0" w:after="0" w:afterAutospacing="0"/>
              <w:ind w:left="0" w:right="0"/>
              <w:rPr>
                <w:rFonts w:hint="default" w:ascii="Arial"/>
                <w:sz w:val="21"/>
              </w:rPr>
            </w:pPr>
          </w:p>
        </w:tc>
        <w:tc>
          <w:tcPr>
            <w:tcW w:w="1418" w:type="dxa"/>
            <w:vAlign w:val="top"/>
          </w:tcPr>
          <w:p>
            <w:pPr>
              <w:keepNext w:val="0"/>
              <w:keepLines w:val="0"/>
              <w:suppressLineNumbers w:val="0"/>
              <w:spacing w:before="0" w:beforeAutospacing="0" w:after="0" w:afterAutospacing="0"/>
              <w:ind w:left="0" w:right="0"/>
              <w:rPr>
                <w:rFonts w:hint="default" w:ascii="Arial"/>
                <w:sz w:val="21"/>
              </w:rPr>
            </w:pPr>
          </w:p>
        </w:tc>
        <w:tc>
          <w:tcPr>
            <w:tcW w:w="1557" w:type="dxa"/>
            <w:vAlign w:val="top"/>
          </w:tcPr>
          <w:p>
            <w:pPr>
              <w:keepNext w:val="0"/>
              <w:keepLines w:val="0"/>
              <w:suppressLineNumbers w:val="0"/>
              <w:spacing w:before="0" w:beforeAutospacing="0" w:after="0" w:afterAutospacing="0"/>
              <w:ind w:left="0" w:right="0"/>
              <w:rPr>
                <w:rFonts w:hint="default" w:ascii="Arial"/>
                <w:sz w:val="21"/>
              </w:rPr>
            </w:pPr>
          </w:p>
        </w:tc>
        <w:tc>
          <w:tcPr>
            <w:tcW w:w="1030" w:type="dxa"/>
            <w:vAlign w:val="top"/>
          </w:tcPr>
          <w:p>
            <w:pPr>
              <w:keepNext w:val="0"/>
              <w:keepLines w:val="0"/>
              <w:suppressLineNumbers w:val="0"/>
              <w:spacing w:before="0" w:beforeAutospacing="0" w:after="0" w:afterAutospacing="0"/>
              <w:ind w:left="0" w:right="0"/>
              <w:rPr>
                <w:rFonts w:hint="default" w:ascii="Arial"/>
                <w:sz w:val="21"/>
              </w:rPr>
            </w:pPr>
          </w:p>
        </w:tc>
        <w:tc>
          <w:tcPr>
            <w:tcW w:w="1242"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53" w:type="dxa"/>
            <w:vAlign w:val="top"/>
          </w:tcPr>
          <w:p>
            <w:pPr>
              <w:keepNext w:val="0"/>
              <w:keepLines w:val="0"/>
              <w:suppressLineNumbers w:val="0"/>
              <w:spacing w:before="0" w:beforeAutospacing="0" w:after="0" w:afterAutospacing="0"/>
              <w:ind w:left="0" w:right="0"/>
              <w:rPr>
                <w:rFonts w:hint="default" w:ascii="Arial"/>
                <w:sz w:val="21"/>
              </w:rPr>
            </w:pPr>
          </w:p>
        </w:tc>
        <w:tc>
          <w:tcPr>
            <w:tcW w:w="1235" w:type="dxa"/>
            <w:vAlign w:val="top"/>
          </w:tcPr>
          <w:p>
            <w:pPr>
              <w:keepNext w:val="0"/>
              <w:keepLines w:val="0"/>
              <w:suppressLineNumbers w:val="0"/>
              <w:spacing w:before="0" w:beforeAutospacing="0" w:after="0" w:afterAutospacing="0"/>
              <w:ind w:left="0" w:right="0"/>
              <w:rPr>
                <w:rFonts w:hint="default" w:ascii="Arial"/>
                <w:sz w:val="21"/>
              </w:rPr>
            </w:pPr>
          </w:p>
        </w:tc>
        <w:tc>
          <w:tcPr>
            <w:tcW w:w="1456" w:type="dxa"/>
            <w:vAlign w:val="top"/>
          </w:tcPr>
          <w:p>
            <w:pPr>
              <w:keepNext w:val="0"/>
              <w:keepLines w:val="0"/>
              <w:suppressLineNumbers w:val="0"/>
              <w:spacing w:before="0" w:beforeAutospacing="0" w:after="0" w:afterAutospacing="0"/>
              <w:ind w:left="0" w:right="0"/>
              <w:rPr>
                <w:rFonts w:hint="default" w:ascii="Arial"/>
                <w:sz w:val="21"/>
              </w:rPr>
            </w:pPr>
          </w:p>
        </w:tc>
        <w:tc>
          <w:tcPr>
            <w:tcW w:w="1418" w:type="dxa"/>
            <w:vAlign w:val="top"/>
          </w:tcPr>
          <w:p>
            <w:pPr>
              <w:keepNext w:val="0"/>
              <w:keepLines w:val="0"/>
              <w:suppressLineNumbers w:val="0"/>
              <w:spacing w:before="0" w:beforeAutospacing="0" w:after="0" w:afterAutospacing="0"/>
              <w:ind w:left="0" w:right="0"/>
              <w:rPr>
                <w:rFonts w:hint="default" w:ascii="Arial"/>
                <w:sz w:val="21"/>
              </w:rPr>
            </w:pPr>
          </w:p>
        </w:tc>
        <w:tc>
          <w:tcPr>
            <w:tcW w:w="1557" w:type="dxa"/>
            <w:vAlign w:val="top"/>
          </w:tcPr>
          <w:p>
            <w:pPr>
              <w:keepNext w:val="0"/>
              <w:keepLines w:val="0"/>
              <w:suppressLineNumbers w:val="0"/>
              <w:spacing w:before="0" w:beforeAutospacing="0" w:after="0" w:afterAutospacing="0"/>
              <w:ind w:left="0" w:right="0"/>
              <w:rPr>
                <w:rFonts w:hint="default" w:ascii="Arial"/>
                <w:sz w:val="21"/>
              </w:rPr>
            </w:pPr>
          </w:p>
        </w:tc>
        <w:tc>
          <w:tcPr>
            <w:tcW w:w="1030" w:type="dxa"/>
            <w:vAlign w:val="top"/>
          </w:tcPr>
          <w:p>
            <w:pPr>
              <w:keepNext w:val="0"/>
              <w:keepLines w:val="0"/>
              <w:suppressLineNumbers w:val="0"/>
              <w:spacing w:before="0" w:beforeAutospacing="0" w:after="0" w:afterAutospacing="0"/>
              <w:ind w:left="0" w:right="0"/>
              <w:rPr>
                <w:rFonts w:hint="default" w:ascii="Arial"/>
                <w:sz w:val="21"/>
              </w:rPr>
            </w:pPr>
          </w:p>
        </w:tc>
        <w:tc>
          <w:tcPr>
            <w:tcW w:w="1242"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753" w:type="dxa"/>
            <w:vAlign w:val="top"/>
          </w:tcPr>
          <w:p>
            <w:pPr>
              <w:keepNext w:val="0"/>
              <w:keepLines w:val="0"/>
              <w:suppressLineNumbers w:val="0"/>
              <w:spacing w:before="0" w:beforeAutospacing="0" w:after="0" w:afterAutospacing="0"/>
              <w:ind w:left="0" w:right="0"/>
              <w:rPr>
                <w:rFonts w:hint="default" w:ascii="Arial"/>
                <w:sz w:val="21"/>
              </w:rPr>
            </w:pPr>
          </w:p>
        </w:tc>
        <w:tc>
          <w:tcPr>
            <w:tcW w:w="1235" w:type="dxa"/>
            <w:vAlign w:val="top"/>
          </w:tcPr>
          <w:p>
            <w:pPr>
              <w:keepNext w:val="0"/>
              <w:keepLines w:val="0"/>
              <w:suppressLineNumbers w:val="0"/>
              <w:spacing w:before="0" w:beforeAutospacing="0" w:after="0" w:afterAutospacing="0"/>
              <w:ind w:left="0" w:right="0"/>
              <w:rPr>
                <w:rFonts w:hint="default" w:ascii="Arial"/>
                <w:sz w:val="21"/>
              </w:rPr>
            </w:pPr>
          </w:p>
        </w:tc>
        <w:tc>
          <w:tcPr>
            <w:tcW w:w="1456" w:type="dxa"/>
            <w:vAlign w:val="top"/>
          </w:tcPr>
          <w:p>
            <w:pPr>
              <w:keepNext w:val="0"/>
              <w:keepLines w:val="0"/>
              <w:suppressLineNumbers w:val="0"/>
              <w:spacing w:before="0" w:beforeAutospacing="0" w:after="0" w:afterAutospacing="0"/>
              <w:ind w:left="0" w:right="0"/>
              <w:rPr>
                <w:rFonts w:hint="default" w:ascii="Arial"/>
                <w:sz w:val="21"/>
              </w:rPr>
            </w:pPr>
          </w:p>
        </w:tc>
        <w:tc>
          <w:tcPr>
            <w:tcW w:w="1418" w:type="dxa"/>
            <w:vAlign w:val="top"/>
          </w:tcPr>
          <w:p>
            <w:pPr>
              <w:keepNext w:val="0"/>
              <w:keepLines w:val="0"/>
              <w:suppressLineNumbers w:val="0"/>
              <w:spacing w:before="0" w:beforeAutospacing="0" w:after="0" w:afterAutospacing="0"/>
              <w:ind w:left="0" w:right="0"/>
              <w:rPr>
                <w:rFonts w:hint="default" w:ascii="Arial"/>
                <w:sz w:val="21"/>
              </w:rPr>
            </w:pPr>
          </w:p>
        </w:tc>
        <w:tc>
          <w:tcPr>
            <w:tcW w:w="1557" w:type="dxa"/>
            <w:vAlign w:val="top"/>
          </w:tcPr>
          <w:p>
            <w:pPr>
              <w:keepNext w:val="0"/>
              <w:keepLines w:val="0"/>
              <w:suppressLineNumbers w:val="0"/>
              <w:spacing w:before="0" w:beforeAutospacing="0" w:after="0" w:afterAutospacing="0"/>
              <w:ind w:left="0" w:right="0"/>
              <w:rPr>
                <w:rFonts w:hint="default" w:ascii="Arial"/>
                <w:sz w:val="21"/>
              </w:rPr>
            </w:pPr>
          </w:p>
        </w:tc>
        <w:tc>
          <w:tcPr>
            <w:tcW w:w="1030" w:type="dxa"/>
            <w:vAlign w:val="top"/>
          </w:tcPr>
          <w:p>
            <w:pPr>
              <w:keepNext w:val="0"/>
              <w:keepLines w:val="0"/>
              <w:suppressLineNumbers w:val="0"/>
              <w:spacing w:before="0" w:beforeAutospacing="0" w:after="0" w:afterAutospacing="0"/>
              <w:ind w:left="0" w:right="0"/>
              <w:rPr>
                <w:rFonts w:hint="default" w:ascii="Arial"/>
                <w:sz w:val="21"/>
              </w:rPr>
            </w:pPr>
          </w:p>
        </w:tc>
        <w:tc>
          <w:tcPr>
            <w:tcW w:w="1242"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53" w:type="dxa"/>
            <w:vAlign w:val="top"/>
          </w:tcPr>
          <w:p>
            <w:pPr>
              <w:keepNext w:val="0"/>
              <w:keepLines w:val="0"/>
              <w:suppressLineNumbers w:val="0"/>
              <w:spacing w:before="0" w:beforeAutospacing="0" w:after="0" w:afterAutospacing="0"/>
              <w:ind w:left="0" w:right="0"/>
              <w:rPr>
                <w:rFonts w:hint="default" w:ascii="Arial"/>
                <w:sz w:val="21"/>
              </w:rPr>
            </w:pPr>
          </w:p>
        </w:tc>
        <w:tc>
          <w:tcPr>
            <w:tcW w:w="1235" w:type="dxa"/>
            <w:vAlign w:val="top"/>
          </w:tcPr>
          <w:p>
            <w:pPr>
              <w:keepNext w:val="0"/>
              <w:keepLines w:val="0"/>
              <w:suppressLineNumbers w:val="0"/>
              <w:spacing w:before="0" w:beforeAutospacing="0" w:after="0" w:afterAutospacing="0"/>
              <w:ind w:left="0" w:right="0"/>
              <w:rPr>
                <w:rFonts w:hint="default" w:ascii="Arial"/>
                <w:sz w:val="21"/>
              </w:rPr>
            </w:pPr>
          </w:p>
        </w:tc>
        <w:tc>
          <w:tcPr>
            <w:tcW w:w="1456" w:type="dxa"/>
            <w:vAlign w:val="top"/>
          </w:tcPr>
          <w:p>
            <w:pPr>
              <w:keepNext w:val="0"/>
              <w:keepLines w:val="0"/>
              <w:suppressLineNumbers w:val="0"/>
              <w:spacing w:before="0" w:beforeAutospacing="0" w:after="0" w:afterAutospacing="0"/>
              <w:ind w:left="0" w:right="0"/>
              <w:rPr>
                <w:rFonts w:hint="default" w:ascii="Arial"/>
                <w:sz w:val="21"/>
              </w:rPr>
            </w:pPr>
          </w:p>
        </w:tc>
        <w:tc>
          <w:tcPr>
            <w:tcW w:w="1418" w:type="dxa"/>
            <w:vAlign w:val="top"/>
          </w:tcPr>
          <w:p>
            <w:pPr>
              <w:keepNext w:val="0"/>
              <w:keepLines w:val="0"/>
              <w:suppressLineNumbers w:val="0"/>
              <w:spacing w:before="0" w:beforeAutospacing="0" w:after="0" w:afterAutospacing="0"/>
              <w:ind w:left="0" w:right="0"/>
              <w:rPr>
                <w:rFonts w:hint="default" w:ascii="Arial"/>
                <w:sz w:val="21"/>
              </w:rPr>
            </w:pPr>
          </w:p>
        </w:tc>
        <w:tc>
          <w:tcPr>
            <w:tcW w:w="1557" w:type="dxa"/>
            <w:vAlign w:val="top"/>
          </w:tcPr>
          <w:p>
            <w:pPr>
              <w:keepNext w:val="0"/>
              <w:keepLines w:val="0"/>
              <w:suppressLineNumbers w:val="0"/>
              <w:spacing w:before="0" w:beforeAutospacing="0" w:after="0" w:afterAutospacing="0"/>
              <w:ind w:left="0" w:right="0"/>
              <w:rPr>
                <w:rFonts w:hint="default" w:ascii="Arial"/>
                <w:sz w:val="21"/>
              </w:rPr>
            </w:pPr>
          </w:p>
        </w:tc>
        <w:tc>
          <w:tcPr>
            <w:tcW w:w="1030" w:type="dxa"/>
            <w:vAlign w:val="top"/>
          </w:tcPr>
          <w:p>
            <w:pPr>
              <w:keepNext w:val="0"/>
              <w:keepLines w:val="0"/>
              <w:suppressLineNumbers w:val="0"/>
              <w:spacing w:before="0" w:beforeAutospacing="0" w:after="0" w:afterAutospacing="0"/>
              <w:ind w:left="0" w:right="0"/>
              <w:rPr>
                <w:rFonts w:hint="default" w:ascii="Arial"/>
                <w:sz w:val="21"/>
              </w:rPr>
            </w:pPr>
          </w:p>
        </w:tc>
        <w:tc>
          <w:tcPr>
            <w:tcW w:w="1242"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753" w:type="dxa"/>
            <w:vAlign w:val="top"/>
          </w:tcPr>
          <w:p>
            <w:pPr>
              <w:keepNext w:val="0"/>
              <w:keepLines w:val="0"/>
              <w:suppressLineNumbers w:val="0"/>
              <w:spacing w:before="0" w:beforeAutospacing="0" w:after="0" w:afterAutospacing="0"/>
              <w:ind w:left="0" w:right="0"/>
              <w:rPr>
                <w:rFonts w:hint="default" w:ascii="Arial"/>
                <w:sz w:val="21"/>
              </w:rPr>
            </w:pPr>
          </w:p>
        </w:tc>
        <w:tc>
          <w:tcPr>
            <w:tcW w:w="1235" w:type="dxa"/>
            <w:vAlign w:val="top"/>
          </w:tcPr>
          <w:p>
            <w:pPr>
              <w:keepNext w:val="0"/>
              <w:keepLines w:val="0"/>
              <w:suppressLineNumbers w:val="0"/>
              <w:spacing w:before="0" w:beforeAutospacing="0" w:after="0" w:afterAutospacing="0"/>
              <w:ind w:left="0" w:right="0"/>
              <w:rPr>
                <w:rFonts w:hint="default" w:ascii="Arial"/>
                <w:sz w:val="21"/>
              </w:rPr>
            </w:pPr>
          </w:p>
        </w:tc>
        <w:tc>
          <w:tcPr>
            <w:tcW w:w="1456" w:type="dxa"/>
            <w:vAlign w:val="top"/>
          </w:tcPr>
          <w:p>
            <w:pPr>
              <w:keepNext w:val="0"/>
              <w:keepLines w:val="0"/>
              <w:suppressLineNumbers w:val="0"/>
              <w:spacing w:before="0" w:beforeAutospacing="0" w:after="0" w:afterAutospacing="0"/>
              <w:ind w:left="0" w:right="0"/>
              <w:rPr>
                <w:rFonts w:hint="default" w:ascii="Arial"/>
                <w:sz w:val="21"/>
              </w:rPr>
            </w:pPr>
          </w:p>
        </w:tc>
        <w:tc>
          <w:tcPr>
            <w:tcW w:w="1418" w:type="dxa"/>
            <w:vAlign w:val="top"/>
          </w:tcPr>
          <w:p>
            <w:pPr>
              <w:keepNext w:val="0"/>
              <w:keepLines w:val="0"/>
              <w:suppressLineNumbers w:val="0"/>
              <w:spacing w:before="0" w:beforeAutospacing="0" w:after="0" w:afterAutospacing="0"/>
              <w:ind w:left="0" w:right="0"/>
              <w:rPr>
                <w:rFonts w:hint="default" w:ascii="Arial"/>
                <w:sz w:val="21"/>
              </w:rPr>
            </w:pPr>
          </w:p>
        </w:tc>
        <w:tc>
          <w:tcPr>
            <w:tcW w:w="1557" w:type="dxa"/>
            <w:vAlign w:val="top"/>
          </w:tcPr>
          <w:p>
            <w:pPr>
              <w:keepNext w:val="0"/>
              <w:keepLines w:val="0"/>
              <w:suppressLineNumbers w:val="0"/>
              <w:spacing w:before="0" w:beforeAutospacing="0" w:after="0" w:afterAutospacing="0"/>
              <w:ind w:left="0" w:right="0"/>
              <w:rPr>
                <w:rFonts w:hint="default" w:ascii="Arial"/>
                <w:sz w:val="21"/>
              </w:rPr>
            </w:pPr>
          </w:p>
        </w:tc>
        <w:tc>
          <w:tcPr>
            <w:tcW w:w="1030" w:type="dxa"/>
            <w:vAlign w:val="top"/>
          </w:tcPr>
          <w:p>
            <w:pPr>
              <w:keepNext w:val="0"/>
              <w:keepLines w:val="0"/>
              <w:suppressLineNumbers w:val="0"/>
              <w:spacing w:before="0" w:beforeAutospacing="0" w:after="0" w:afterAutospacing="0"/>
              <w:ind w:left="0" w:right="0"/>
              <w:rPr>
                <w:rFonts w:hint="default" w:ascii="Arial"/>
                <w:sz w:val="21"/>
              </w:rPr>
            </w:pPr>
          </w:p>
        </w:tc>
        <w:tc>
          <w:tcPr>
            <w:tcW w:w="1242"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3444" w:type="dxa"/>
            <w:gridSpan w:val="3"/>
            <w:vAlign w:val="top"/>
          </w:tcPr>
          <w:p>
            <w:pPr>
              <w:pStyle w:val="72"/>
              <w:keepNext w:val="0"/>
              <w:keepLines w:val="0"/>
              <w:suppressLineNumbers w:val="0"/>
              <w:spacing w:before="154" w:beforeAutospacing="0" w:after="0" w:afterAutospacing="0" w:line="219" w:lineRule="auto"/>
              <w:ind w:left="0" w:right="9"/>
              <w:jc w:val="right"/>
              <w:rPr>
                <w:rFonts w:hint="default"/>
              </w:rPr>
            </w:pPr>
            <w:r>
              <w:rPr>
                <w:rFonts w:hint="default"/>
                <w:spacing w:val="-3"/>
              </w:rPr>
              <w:t>招标人编制的最高投标限价（如有）</w:t>
            </w:r>
          </w:p>
        </w:tc>
        <w:tc>
          <w:tcPr>
            <w:tcW w:w="2975" w:type="dxa"/>
            <w:gridSpan w:val="2"/>
            <w:vAlign w:val="top"/>
          </w:tcPr>
          <w:p>
            <w:pPr>
              <w:keepNext w:val="0"/>
              <w:keepLines w:val="0"/>
              <w:suppressLineNumbers w:val="0"/>
              <w:spacing w:before="0" w:beforeAutospacing="0" w:after="0" w:afterAutospacing="0"/>
              <w:ind w:left="0" w:right="0"/>
              <w:rPr>
                <w:rFonts w:hint="default" w:ascii="Arial"/>
                <w:sz w:val="21"/>
              </w:rPr>
            </w:pPr>
          </w:p>
        </w:tc>
        <w:tc>
          <w:tcPr>
            <w:tcW w:w="2272" w:type="dxa"/>
            <w:gridSpan w:val="2"/>
            <w:vAlign w:val="top"/>
          </w:tcPr>
          <w:p>
            <w:pPr>
              <w:keepNext w:val="0"/>
              <w:keepLines w:val="0"/>
              <w:suppressLineNumbers w:val="0"/>
              <w:spacing w:before="0" w:beforeAutospacing="0" w:after="0" w:afterAutospacing="0"/>
              <w:ind w:left="0" w:right="0"/>
              <w:rPr>
                <w:rFonts w:hint="default" w:ascii="Arial"/>
                <w:sz w:val="21"/>
              </w:rPr>
            </w:pPr>
          </w:p>
        </w:tc>
      </w:tr>
    </w:tbl>
    <w:p>
      <w:pPr>
        <w:pStyle w:val="8"/>
        <w:spacing w:line="367" w:lineRule="auto"/>
      </w:pPr>
    </w:p>
    <w:p>
      <w:pPr>
        <w:spacing w:before="69" w:line="221" w:lineRule="auto"/>
        <w:ind w:left="323"/>
        <w:rPr>
          <w:rFonts w:hint="default" w:ascii="宋体" w:hAnsi="宋体" w:eastAsia="宋体" w:cs="宋体"/>
          <w:sz w:val="21"/>
          <w:szCs w:val="21"/>
          <w:lang w:val="en-US" w:eastAsia="zh-CN"/>
        </w:rPr>
      </w:pPr>
      <w:r>
        <w:rPr>
          <w:rFonts w:ascii="宋体" w:hAnsi="宋体" w:eastAsia="宋体" w:cs="宋体"/>
          <w:spacing w:val="-9"/>
          <w:sz w:val="21"/>
          <w:szCs w:val="21"/>
        </w:rPr>
        <w:t>招标人代表：</w:t>
      </w:r>
      <w:r>
        <w:rPr>
          <w:rFonts w:hint="eastAsia" w:ascii="宋体" w:hAnsi="宋体" w:cs="宋体"/>
          <w:spacing w:val="-9"/>
          <w:sz w:val="21"/>
          <w:szCs w:val="21"/>
          <w:lang w:val="en-US" w:eastAsia="zh-CN"/>
        </w:rPr>
        <w:t xml:space="preserve"> </w:t>
      </w:r>
      <w:r>
        <w:rPr>
          <w:rFonts w:ascii="宋体" w:hAnsi="宋体" w:eastAsia="宋体" w:cs="宋体"/>
          <w:sz w:val="21"/>
          <w:szCs w:val="21"/>
          <w:u w:val="single" w:color="auto"/>
        </w:rPr>
        <w:tab/>
      </w:r>
      <w:r>
        <w:rPr>
          <w:rFonts w:hint="eastAsia" w:ascii="宋体" w:hAnsi="宋体" w:eastAsia="宋体" w:cs="宋体"/>
          <w:sz w:val="21"/>
          <w:szCs w:val="21"/>
          <w:u w:val="single" w:color="auto"/>
          <w:lang w:val="en-US" w:eastAsia="zh-CN"/>
        </w:rPr>
        <w:t xml:space="preserve">       </w:t>
      </w:r>
      <w:r>
        <w:rPr>
          <w:rFonts w:hint="eastAsia" w:ascii="宋体" w:hAnsi="宋体" w:eastAsia="宋体" w:cs="宋体"/>
          <w:sz w:val="21"/>
          <w:szCs w:val="21"/>
          <w:u w:val="none" w:color="auto"/>
          <w:lang w:val="en-US" w:eastAsia="zh-CN"/>
        </w:rPr>
        <w:t xml:space="preserve">  </w:t>
      </w:r>
      <w:r>
        <w:rPr>
          <w:rFonts w:hint="eastAsia" w:ascii="宋体" w:hAnsi="宋体" w:cs="宋体"/>
          <w:spacing w:val="-9"/>
          <w:sz w:val="21"/>
          <w:szCs w:val="21"/>
          <w:lang w:val="en-US" w:eastAsia="zh-CN"/>
        </w:rPr>
        <w:t xml:space="preserve">                                             </w:t>
      </w:r>
      <w:r>
        <w:rPr>
          <w:rFonts w:ascii="宋体" w:hAnsi="宋体" w:eastAsia="宋体" w:cs="宋体"/>
          <w:spacing w:val="-9"/>
          <w:sz w:val="21"/>
          <w:szCs w:val="21"/>
        </w:rPr>
        <w:t>记录人：</w:t>
      </w:r>
      <w:r>
        <w:rPr>
          <w:rFonts w:hint="eastAsia" w:ascii="宋体" w:hAnsi="宋体" w:cs="宋体"/>
          <w:spacing w:val="-9"/>
          <w:sz w:val="21"/>
          <w:szCs w:val="21"/>
          <w:lang w:val="en-US" w:eastAsia="zh-CN"/>
        </w:rPr>
        <w:t xml:space="preserve">  </w:t>
      </w:r>
      <w:r>
        <w:rPr>
          <w:rFonts w:ascii="宋体" w:hAnsi="宋体" w:eastAsia="宋体" w:cs="宋体"/>
          <w:sz w:val="21"/>
          <w:szCs w:val="21"/>
          <w:u w:val="single" w:color="auto"/>
        </w:rPr>
        <w:tab/>
      </w:r>
      <w:r>
        <w:rPr>
          <w:rFonts w:hint="eastAsia" w:ascii="宋体" w:hAnsi="宋体" w:eastAsia="宋体" w:cs="宋体"/>
          <w:sz w:val="21"/>
          <w:szCs w:val="21"/>
          <w:u w:val="single" w:color="auto"/>
          <w:lang w:val="en-US" w:eastAsia="zh-CN"/>
        </w:rPr>
        <w:t xml:space="preserve">       </w:t>
      </w:r>
      <w:r>
        <w:rPr>
          <w:rFonts w:hint="eastAsia" w:ascii="宋体" w:hAnsi="宋体" w:eastAsia="宋体" w:cs="宋体"/>
          <w:sz w:val="21"/>
          <w:szCs w:val="21"/>
          <w:u w:val="none" w:color="auto"/>
          <w:lang w:val="en-US" w:eastAsia="zh-CN"/>
        </w:rPr>
        <w:t xml:space="preserve"> </w:t>
      </w:r>
      <w:r>
        <w:rPr>
          <w:rFonts w:hint="eastAsia" w:ascii="宋体" w:hAnsi="宋体" w:cs="宋体"/>
          <w:spacing w:val="-9"/>
          <w:sz w:val="21"/>
          <w:szCs w:val="21"/>
          <w:lang w:val="en-US" w:eastAsia="zh-CN"/>
        </w:rPr>
        <w:t xml:space="preserve">    </w:t>
      </w:r>
    </w:p>
    <w:p>
      <w:pPr>
        <w:tabs>
          <w:tab w:val="left" w:pos="6407"/>
        </w:tabs>
        <w:spacing w:before="157" w:line="221" w:lineRule="auto"/>
        <w:ind w:left="578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7"/>
          <w:sz w:val="21"/>
          <w:szCs w:val="21"/>
        </w:rPr>
        <w:t>年</w:t>
      </w:r>
      <w:r>
        <w:rPr>
          <w:rFonts w:hint="eastAsia" w:ascii="宋体" w:hAnsi="宋体" w:cs="宋体"/>
          <w:spacing w:val="-7"/>
          <w:sz w:val="21"/>
          <w:szCs w:val="21"/>
          <w:lang w:val="en-US" w:eastAsia="zh-CN"/>
        </w:rPr>
        <w:t xml:space="preserve"> </w:t>
      </w:r>
      <w:r>
        <w:rPr>
          <w:rFonts w:ascii="宋体" w:hAnsi="宋体" w:eastAsia="宋体" w:cs="宋体"/>
          <w:sz w:val="21"/>
          <w:szCs w:val="21"/>
          <w:u w:val="single" w:color="auto"/>
        </w:rPr>
        <w:tab/>
      </w:r>
      <w:r>
        <w:rPr>
          <w:rFonts w:hint="eastAsia" w:ascii="宋体" w:hAnsi="宋体" w:eastAsia="宋体" w:cs="宋体"/>
          <w:sz w:val="21"/>
          <w:szCs w:val="21"/>
          <w:u w:val="single" w:color="auto"/>
          <w:lang w:val="en-US" w:eastAsia="zh-CN"/>
        </w:rPr>
        <w:t xml:space="preserve">       </w:t>
      </w:r>
      <w:r>
        <w:rPr>
          <w:rFonts w:hint="eastAsia" w:ascii="宋体" w:hAnsi="宋体" w:cs="宋体"/>
          <w:spacing w:val="-7"/>
          <w:sz w:val="21"/>
          <w:szCs w:val="21"/>
          <w:lang w:val="en-US" w:eastAsia="zh-CN"/>
        </w:rPr>
        <w:t xml:space="preserve"> </w:t>
      </w:r>
      <w:r>
        <w:rPr>
          <w:rFonts w:ascii="宋体" w:hAnsi="宋体" w:eastAsia="宋体" w:cs="宋体"/>
          <w:spacing w:val="-7"/>
          <w:sz w:val="21"/>
          <w:szCs w:val="21"/>
        </w:rPr>
        <w:t>月</w:t>
      </w:r>
      <w:r>
        <w:rPr>
          <w:rFonts w:hint="eastAsia" w:ascii="宋体" w:hAnsi="宋体" w:cs="宋体"/>
          <w:spacing w:val="-7"/>
          <w:sz w:val="21"/>
          <w:szCs w:val="21"/>
          <w:lang w:val="en-US" w:eastAsia="zh-CN"/>
        </w:rPr>
        <w:t xml:space="preserve"> </w:t>
      </w:r>
      <w:r>
        <w:rPr>
          <w:rFonts w:ascii="宋体" w:hAnsi="宋体" w:eastAsia="宋体" w:cs="宋体"/>
          <w:sz w:val="21"/>
          <w:szCs w:val="21"/>
          <w:u w:val="single" w:color="auto"/>
        </w:rPr>
        <w:tab/>
      </w:r>
      <w:r>
        <w:rPr>
          <w:rFonts w:hint="eastAsia" w:ascii="宋体" w:hAnsi="宋体" w:eastAsia="宋体" w:cs="宋体"/>
          <w:sz w:val="21"/>
          <w:szCs w:val="21"/>
          <w:u w:val="single" w:color="auto"/>
          <w:lang w:val="en-US" w:eastAsia="zh-CN"/>
        </w:rPr>
        <w:t xml:space="preserve">    </w:t>
      </w:r>
      <w:r>
        <w:rPr>
          <w:rFonts w:hint="eastAsia" w:ascii="宋体" w:hAnsi="宋体" w:cs="宋体"/>
          <w:spacing w:val="-7"/>
          <w:sz w:val="21"/>
          <w:szCs w:val="21"/>
          <w:lang w:val="en-US" w:eastAsia="zh-CN"/>
        </w:rPr>
        <w:t xml:space="preserve"> </w:t>
      </w:r>
      <w:r>
        <w:rPr>
          <w:rFonts w:ascii="宋体" w:hAnsi="宋体" w:eastAsia="宋体" w:cs="宋体"/>
          <w:spacing w:val="-7"/>
          <w:sz w:val="21"/>
          <w:szCs w:val="21"/>
        </w:rPr>
        <w:t>日</w:t>
      </w:r>
    </w:p>
    <w:p>
      <w:pPr>
        <w:spacing w:line="221" w:lineRule="auto"/>
        <w:rPr>
          <w:rFonts w:ascii="宋体" w:hAnsi="宋体" w:eastAsia="宋体" w:cs="宋体"/>
          <w:sz w:val="21"/>
          <w:szCs w:val="21"/>
        </w:rPr>
        <w:sectPr>
          <w:footerReference r:id="rId9" w:type="default"/>
          <w:pgSz w:w="11907" w:h="16841"/>
          <w:pgMar w:top="1431" w:right="1603" w:bottom="1216" w:left="1606" w:header="0" w:footer="1055" w:gutter="0"/>
          <w:pgNumType w:fmt="decimal"/>
          <w:cols w:space="720" w:num="1"/>
        </w:sectPr>
      </w:pPr>
    </w:p>
    <w:p>
      <w:pPr>
        <w:spacing w:before="68" w:line="220" w:lineRule="auto"/>
        <w:ind w:left="236"/>
        <w:rPr>
          <w:rFonts w:ascii="仿宋" w:hAnsi="仿宋" w:eastAsia="仿宋" w:cs="仿宋"/>
          <w:spacing w:val="-5"/>
          <w:sz w:val="24"/>
          <w:szCs w:val="24"/>
        </w:rPr>
      </w:pPr>
      <w:r>
        <w:rPr>
          <w:rFonts w:ascii="仿宋" w:hAnsi="仿宋" w:eastAsia="仿宋" w:cs="仿宋"/>
          <w:spacing w:val="-5"/>
          <w:sz w:val="24"/>
          <w:szCs w:val="24"/>
        </w:rPr>
        <w:t>以“电子交易平台”系统显示为准。</w:t>
      </w:r>
    </w:p>
    <w:p>
      <w:pPr>
        <w:spacing w:before="68" w:line="220" w:lineRule="auto"/>
        <w:ind w:left="236"/>
        <w:rPr>
          <w:rFonts w:ascii="宋体" w:hAnsi="宋体" w:eastAsia="宋体" w:cs="宋体"/>
          <w:sz w:val="21"/>
          <w:szCs w:val="21"/>
        </w:rPr>
      </w:pPr>
      <w:r>
        <w:rPr>
          <w:rFonts w:ascii="宋体" w:hAnsi="宋体" w:eastAsia="宋体" w:cs="宋体"/>
          <w:spacing w:val="-6"/>
          <w:sz w:val="21"/>
          <w:szCs w:val="21"/>
          <w14:textOutline w14:w="3831" w14:cap="flat" w14:cmpd="sng">
            <w14:solidFill>
              <w14:srgbClr w14:val="000000"/>
            </w14:solidFill>
            <w14:prstDash w14:val="solid"/>
            <w14:miter w14:val="0"/>
          </w14:textOutline>
        </w:rPr>
        <w:t>附件二问题澄清通知</w:t>
      </w:r>
    </w:p>
    <w:p>
      <w:pPr>
        <w:pStyle w:val="8"/>
        <w:spacing w:line="267" w:lineRule="auto"/>
      </w:pPr>
    </w:p>
    <w:p>
      <w:pPr>
        <w:pStyle w:val="8"/>
        <w:spacing w:line="267" w:lineRule="auto"/>
      </w:pPr>
    </w:p>
    <w:p>
      <w:pPr>
        <w:pStyle w:val="8"/>
        <w:spacing w:line="268" w:lineRule="auto"/>
      </w:pPr>
    </w:p>
    <w:p>
      <w:pPr>
        <w:spacing w:before="68" w:line="221" w:lineRule="auto"/>
        <w:ind w:left="4273"/>
        <w:rPr>
          <w:rFonts w:ascii="宋体" w:hAnsi="宋体" w:eastAsia="宋体" w:cs="宋体"/>
          <w:sz w:val="24"/>
          <w:szCs w:val="24"/>
        </w:rPr>
      </w:pPr>
      <w:r>
        <w:rPr>
          <w:rFonts w:ascii="宋体" w:hAnsi="宋体" w:eastAsia="宋体" w:cs="宋体"/>
          <w:spacing w:val="-4"/>
          <w:sz w:val="24"/>
          <w:szCs w:val="24"/>
          <w14:textOutline w14:w="3831" w14:cap="flat" w14:cmpd="sng">
            <w14:solidFill>
              <w14:srgbClr w14:val="000000"/>
            </w14:solidFill>
            <w14:prstDash w14:val="solid"/>
            <w14:miter w14:val="0"/>
          </w14:textOutline>
        </w:rPr>
        <w:t>问题澄清通知</w:t>
      </w:r>
    </w:p>
    <w:p>
      <w:pPr>
        <w:spacing w:before="155" w:line="221" w:lineRule="auto"/>
        <w:ind w:left="4047"/>
        <w:rPr>
          <w:rFonts w:ascii="宋体" w:hAnsi="宋体" w:eastAsia="宋体" w:cs="宋体"/>
          <w:sz w:val="21"/>
          <w:szCs w:val="21"/>
        </w:rPr>
      </w:pPr>
      <w:r>
        <w:rPr>
          <w:rFonts w:ascii="宋体" w:hAnsi="宋体" w:eastAsia="宋体" w:cs="宋体"/>
          <w:spacing w:val="-9"/>
          <w:sz w:val="21"/>
          <w:szCs w:val="21"/>
        </w:rPr>
        <w:t>（编号</w:t>
      </w:r>
      <w:r>
        <w:rPr>
          <w:rFonts w:ascii="宋体" w:hAnsi="宋体" w:eastAsia="宋体" w:cs="宋体"/>
          <w:spacing w:val="6"/>
          <w:sz w:val="21"/>
          <w:szCs w:val="21"/>
        </w:rPr>
        <w:t>：</w:t>
      </w:r>
      <w:r>
        <w:rPr>
          <w:rFonts w:hint="eastAsia" w:ascii="宋体" w:hAnsi="宋体" w:cs="宋体"/>
          <w:spacing w:val="6"/>
          <w:sz w:val="21"/>
          <w:szCs w:val="21"/>
          <w:u w:val="single"/>
          <w:lang w:val="en-US" w:eastAsia="zh-CN"/>
        </w:rPr>
        <w:t xml:space="preserve">       </w:t>
      </w:r>
      <w:r>
        <w:rPr>
          <w:rFonts w:ascii="宋体" w:hAnsi="宋体" w:eastAsia="宋体" w:cs="宋体"/>
          <w:spacing w:val="6"/>
          <w:sz w:val="21"/>
          <w:szCs w:val="21"/>
        </w:rPr>
        <w:t>）</w:t>
      </w:r>
    </w:p>
    <w:p>
      <w:pPr>
        <w:pStyle w:val="8"/>
        <w:spacing w:line="248" w:lineRule="auto"/>
      </w:pPr>
    </w:p>
    <w:p>
      <w:pPr>
        <w:pStyle w:val="8"/>
        <w:spacing w:line="249" w:lineRule="auto"/>
      </w:pPr>
    </w:p>
    <w:p>
      <w:pPr>
        <w:tabs>
          <w:tab w:val="left" w:pos="1261"/>
        </w:tabs>
        <w:spacing w:before="68" w:line="221" w:lineRule="auto"/>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3"/>
          <w:sz w:val="21"/>
          <w:szCs w:val="21"/>
        </w:rPr>
        <w:t>（投标人名称</w:t>
      </w:r>
      <w:r>
        <w:rPr>
          <w:rFonts w:ascii="宋体" w:hAnsi="宋体" w:eastAsia="宋体" w:cs="宋体"/>
          <w:spacing w:val="-7"/>
          <w:sz w:val="21"/>
          <w:szCs w:val="21"/>
        </w:rPr>
        <w:t>）：</w:t>
      </w:r>
    </w:p>
    <w:p>
      <w:pPr>
        <w:pStyle w:val="8"/>
        <w:spacing w:line="246" w:lineRule="auto"/>
      </w:pPr>
    </w:p>
    <w:p>
      <w:pPr>
        <w:pStyle w:val="8"/>
        <w:spacing w:line="246" w:lineRule="auto"/>
      </w:pPr>
    </w:p>
    <w:p>
      <w:pPr>
        <w:tabs>
          <w:tab w:val="left" w:pos="841"/>
        </w:tabs>
        <w:spacing w:before="69" w:line="359" w:lineRule="auto"/>
        <w:ind w:left="422"/>
        <w:rPr>
          <w:rFonts w:ascii="宋体" w:hAnsi="宋体" w:eastAsia="宋体" w:cs="宋体"/>
          <w:sz w:val="21"/>
          <w:szCs w:val="21"/>
        </w:rPr>
      </w:pPr>
      <w:r>
        <w:rPr>
          <w:rFonts w:ascii="宋体" w:hAnsi="宋体" w:eastAsia="宋体" w:cs="宋体"/>
          <w:sz w:val="21"/>
          <w:szCs w:val="21"/>
          <w:u w:val="single" w:color="auto"/>
        </w:rPr>
        <w:tab/>
      </w:r>
      <w:r>
        <w:rPr>
          <w:rFonts w:hint="eastAsia" w:ascii="宋体" w:hAnsi="宋体" w:cs="宋体"/>
          <w:sz w:val="21"/>
          <w:szCs w:val="21"/>
          <w:u w:val="single" w:color="auto"/>
          <w:lang w:val="en-US" w:eastAsia="zh-CN"/>
        </w:rPr>
        <w:t xml:space="preserve">  </w:t>
      </w:r>
      <w:r>
        <w:rPr>
          <w:rFonts w:ascii="宋体" w:hAnsi="宋体" w:eastAsia="宋体" w:cs="宋体"/>
          <w:spacing w:val="-4"/>
          <w:sz w:val="21"/>
          <w:szCs w:val="21"/>
        </w:rPr>
        <w:t>（项目名称）施工招标的评标委</w:t>
      </w:r>
      <w:r>
        <w:rPr>
          <w:rFonts w:ascii="宋体" w:hAnsi="宋体" w:eastAsia="宋体" w:cs="宋体"/>
          <w:spacing w:val="-5"/>
          <w:sz w:val="21"/>
          <w:szCs w:val="21"/>
        </w:rPr>
        <w:t>员会，对你方的投标文件进行了仔细的审查，现需你方</w:t>
      </w:r>
      <w:r>
        <w:rPr>
          <w:rFonts w:ascii="宋体" w:hAnsi="宋体" w:eastAsia="宋体" w:cs="宋体"/>
          <w:spacing w:val="-2"/>
          <w:sz w:val="21"/>
          <w:szCs w:val="21"/>
        </w:rPr>
        <w:t>对下列问题以书面形式予以澄清或说明：</w:t>
      </w:r>
    </w:p>
    <w:p>
      <w:pPr>
        <w:spacing w:before="193" w:line="181" w:lineRule="auto"/>
        <w:ind w:left="446"/>
        <w:rPr>
          <w:rFonts w:ascii="宋体" w:hAnsi="宋体" w:eastAsia="宋体" w:cs="宋体"/>
          <w:sz w:val="21"/>
          <w:szCs w:val="21"/>
        </w:rPr>
      </w:pPr>
      <w:r>
        <w:rPr>
          <w:rFonts w:ascii="宋体" w:hAnsi="宋体" w:eastAsia="宋体" w:cs="宋体"/>
          <w:spacing w:val="1"/>
          <w:sz w:val="21"/>
          <w:szCs w:val="21"/>
        </w:rPr>
        <w:t>1.</w:t>
      </w:r>
    </w:p>
    <w:p>
      <w:pPr>
        <w:spacing w:before="205" w:line="180" w:lineRule="auto"/>
        <w:ind w:left="433"/>
        <w:rPr>
          <w:rFonts w:ascii="宋体" w:hAnsi="宋体" w:eastAsia="宋体" w:cs="宋体"/>
          <w:sz w:val="21"/>
          <w:szCs w:val="21"/>
        </w:rPr>
      </w:pPr>
      <w:r>
        <w:rPr>
          <w:rFonts w:ascii="宋体" w:hAnsi="宋体" w:eastAsia="宋体" w:cs="宋体"/>
          <w:spacing w:val="7"/>
          <w:sz w:val="21"/>
          <w:szCs w:val="21"/>
        </w:rPr>
        <w:t>2.</w:t>
      </w:r>
    </w:p>
    <w:p>
      <w:pPr>
        <w:spacing w:before="167" w:line="333" w:lineRule="exact"/>
        <w:ind w:left="444"/>
        <w:rPr>
          <w:rFonts w:ascii="宋体" w:hAnsi="宋体" w:eastAsia="宋体" w:cs="宋体"/>
          <w:sz w:val="21"/>
          <w:szCs w:val="21"/>
        </w:rPr>
      </w:pPr>
      <w:r>
        <w:rPr>
          <w:rFonts w:ascii="宋体" w:hAnsi="宋体" w:eastAsia="宋体" w:cs="宋体"/>
          <w:spacing w:val="-6"/>
          <w:position w:val="2"/>
          <w:sz w:val="21"/>
          <w:szCs w:val="21"/>
        </w:rPr>
        <w:t>……</w:t>
      </w:r>
    </w:p>
    <w:p>
      <w:pPr>
        <w:pStyle w:val="8"/>
        <w:tabs>
          <w:tab w:val="left" w:pos="3127"/>
          <w:tab w:val="left" w:pos="8621"/>
        </w:tabs>
        <w:spacing w:before="135" w:beforeLines="0" w:afterLines="0" w:line="343" w:lineRule="auto"/>
        <w:ind w:left="424" w:right="382" w:firstLine="420" w:firstLineChars="20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rPr>
        <w:t>请将上述问题的澄清或说明于</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日</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时</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分前递交至</w:t>
      </w:r>
      <w:r>
        <w:rPr>
          <w:rFonts w:hint="eastAsia" w:ascii="宋体" w:hAnsi="宋体" w:eastAsia="宋体" w:cs="宋体"/>
          <w:color w:val="auto"/>
          <w:sz w:val="21"/>
          <w:szCs w:val="21"/>
          <w:u w:val="single"/>
        </w:rPr>
        <w:t xml:space="preserve">   </w:t>
      </w:r>
      <w:r>
        <w:rPr>
          <w:rFonts w:hint="eastAsia" w:ascii="宋体" w:hAnsi="宋体" w:eastAsia="宋体" w:cs="宋体"/>
          <w:color w:val="auto"/>
          <w:spacing w:val="35"/>
          <w:sz w:val="21"/>
          <w:szCs w:val="21"/>
          <w:u w:val="single"/>
        </w:rPr>
        <w:t xml:space="preserve"> </w:t>
      </w:r>
      <w:r>
        <w:rPr>
          <w:rFonts w:hint="eastAsia" w:ascii="宋体" w:hAnsi="宋体" w:eastAsia="宋体" w:cs="宋体"/>
          <w:color w:val="auto"/>
          <w:sz w:val="21"/>
          <w:szCs w:val="21"/>
          <w:u w:val="single"/>
        </w:rPr>
        <w:t>（</w:t>
      </w:r>
      <w:r>
        <w:rPr>
          <w:rFonts w:hint="eastAsia" w:ascii="宋体" w:hAnsi="宋体" w:eastAsia="宋体" w:cs="宋体"/>
          <w:color w:val="auto"/>
          <w:sz w:val="21"/>
          <w:szCs w:val="21"/>
        </w:rPr>
        <w:t>详细地址</w:t>
      </w:r>
      <w:r>
        <w:rPr>
          <w:rFonts w:hint="eastAsia" w:ascii="宋体" w:hAnsi="宋体" w:eastAsia="宋体" w:cs="宋体"/>
          <w:color w:val="auto"/>
          <w:spacing w:val="-29"/>
          <w:sz w:val="21"/>
          <w:szCs w:val="21"/>
        </w:rPr>
        <w:t>）</w:t>
      </w:r>
      <w:r>
        <w:rPr>
          <w:rFonts w:hint="eastAsia" w:ascii="宋体" w:hAnsi="宋体" w:eastAsia="宋体" w:cs="宋体"/>
          <w:color w:val="auto"/>
          <w:sz w:val="21"/>
          <w:szCs w:val="21"/>
        </w:rPr>
        <w:t>或传真至</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rPr>
        <w:t>（传真号码</w:t>
      </w:r>
      <w:r>
        <w:rPr>
          <w:rFonts w:hint="eastAsia" w:ascii="宋体" w:hAnsi="宋体" w:eastAsia="宋体" w:cs="宋体"/>
          <w:color w:val="auto"/>
          <w:spacing w:val="-29"/>
          <w:sz w:val="21"/>
          <w:szCs w:val="21"/>
        </w:rPr>
        <w:t>）</w:t>
      </w:r>
      <w:r>
        <w:rPr>
          <w:rFonts w:hint="eastAsia" w:ascii="宋体" w:hAnsi="宋体" w:eastAsia="宋体" w:cs="宋体"/>
          <w:color w:val="auto"/>
          <w:sz w:val="21"/>
          <w:szCs w:val="21"/>
        </w:rPr>
        <w:t>或通过下载招标文件的电子招标交易平台上传</w:t>
      </w:r>
      <w:r>
        <w:rPr>
          <w:rFonts w:hint="eastAsia" w:ascii="宋体" w:eastAsia="宋体" w:cs="宋体"/>
          <w:color w:val="auto"/>
          <w:sz w:val="21"/>
          <w:szCs w:val="21"/>
          <w:lang w:eastAsia="zh-CN"/>
        </w:rPr>
        <w:t>，采用传真方式的，应在</w:t>
      </w:r>
      <w:r>
        <w:rPr>
          <w:rFonts w:hint="eastAsia" w:ascii="宋体" w:eastAsia="宋体" w:cs="宋体"/>
          <w:color w:val="auto"/>
          <w:sz w:val="21"/>
          <w:szCs w:val="21"/>
          <w:u w:val="single"/>
          <w:lang w:eastAsia="zh-CN"/>
        </w:rPr>
        <w:t xml:space="preserve">   </w:t>
      </w:r>
      <w:r>
        <w:rPr>
          <w:rFonts w:hint="eastAsia" w:ascii="宋体" w:eastAsia="宋体" w:cs="宋体"/>
          <w:color w:val="auto"/>
          <w:sz w:val="21"/>
          <w:szCs w:val="21"/>
          <w:u w:val="none"/>
          <w:lang w:eastAsia="zh-CN"/>
        </w:rPr>
        <w:t>年</w:t>
      </w:r>
      <w:r>
        <w:rPr>
          <w:rFonts w:hint="eastAsia" w:ascii="宋体" w:eastAsia="宋体" w:cs="宋体"/>
          <w:color w:val="auto"/>
          <w:sz w:val="21"/>
          <w:szCs w:val="21"/>
          <w:u w:val="single"/>
          <w:lang w:eastAsia="zh-CN"/>
        </w:rPr>
        <w:t xml:space="preserve">   </w:t>
      </w:r>
      <w:r>
        <w:rPr>
          <w:rFonts w:hint="eastAsia" w:ascii="宋体" w:eastAsia="宋体" w:cs="宋体"/>
          <w:color w:val="auto"/>
          <w:sz w:val="21"/>
          <w:szCs w:val="21"/>
          <w:u w:val="none"/>
          <w:lang w:eastAsia="zh-CN"/>
        </w:rPr>
        <w:t>月</w:t>
      </w:r>
      <w:r>
        <w:rPr>
          <w:rFonts w:hint="eastAsia" w:ascii="宋体" w:eastAsia="宋体" w:cs="宋体"/>
          <w:color w:val="auto"/>
          <w:sz w:val="21"/>
          <w:szCs w:val="21"/>
          <w:u w:val="single"/>
          <w:lang w:eastAsia="zh-CN"/>
        </w:rPr>
        <w:t xml:space="preserve">   </w:t>
      </w:r>
      <w:r>
        <w:rPr>
          <w:rFonts w:hint="eastAsia" w:ascii="宋体" w:eastAsia="宋体" w:cs="宋体"/>
          <w:color w:val="auto"/>
          <w:sz w:val="21"/>
          <w:szCs w:val="21"/>
          <w:u w:val="none"/>
          <w:lang w:eastAsia="zh-CN"/>
        </w:rPr>
        <w:t>日</w:t>
      </w:r>
      <w:r>
        <w:rPr>
          <w:rFonts w:hint="eastAsia" w:ascii="宋体" w:eastAsia="宋体" w:cs="宋体"/>
          <w:color w:val="auto"/>
          <w:sz w:val="21"/>
          <w:szCs w:val="21"/>
          <w:u w:val="single"/>
          <w:lang w:eastAsia="zh-CN"/>
        </w:rPr>
        <w:t xml:space="preserve">   </w:t>
      </w:r>
      <w:r>
        <w:rPr>
          <w:rFonts w:hint="eastAsia" w:ascii="宋体" w:eastAsia="宋体" w:cs="宋体"/>
          <w:color w:val="auto"/>
          <w:sz w:val="21"/>
          <w:szCs w:val="21"/>
          <w:u w:val="none"/>
          <w:lang w:eastAsia="zh-CN"/>
        </w:rPr>
        <w:t>时</w:t>
      </w:r>
      <w:r>
        <w:rPr>
          <w:rFonts w:hint="eastAsia" w:ascii="宋体" w:eastAsia="宋体" w:cs="宋体"/>
          <w:color w:val="auto"/>
          <w:sz w:val="21"/>
          <w:szCs w:val="21"/>
          <w:u w:val="single"/>
          <w:lang w:eastAsia="zh-CN"/>
        </w:rPr>
        <w:t xml:space="preserve">   </w:t>
      </w:r>
      <w:r>
        <w:rPr>
          <w:rFonts w:hint="eastAsia" w:ascii="宋体" w:eastAsia="宋体" w:cs="宋体"/>
          <w:color w:val="auto"/>
          <w:sz w:val="21"/>
          <w:szCs w:val="21"/>
          <w:lang w:eastAsia="zh-CN"/>
        </w:rPr>
        <w:t>分前将原件递交至</w:t>
      </w:r>
      <w:r>
        <w:rPr>
          <w:rFonts w:hint="eastAsia" w:ascii="宋体" w:eastAsia="宋体" w:cs="宋体"/>
          <w:color w:val="auto"/>
          <w:sz w:val="21"/>
          <w:szCs w:val="21"/>
          <w:u w:val="single"/>
          <w:lang w:eastAsia="zh-CN"/>
        </w:rPr>
        <w:t xml:space="preserve">        </w:t>
      </w:r>
      <w:r>
        <w:rPr>
          <w:rFonts w:hint="eastAsia" w:ascii="宋体" w:eastAsia="宋体" w:cs="宋体"/>
          <w:color w:val="auto"/>
          <w:sz w:val="21"/>
          <w:szCs w:val="21"/>
          <w:lang w:eastAsia="zh-CN"/>
        </w:rPr>
        <w:t>（详细地址）。</w:t>
      </w:r>
    </w:p>
    <w:p>
      <w:pPr>
        <w:pStyle w:val="8"/>
        <w:spacing w:beforeLines="0" w:afterLines="0"/>
        <w:rPr>
          <w:rFonts w:hint="eastAsia" w:ascii="宋体" w:hAnsi="宋体" w:eastAsia="宋体" w:cs="宋体"/>
          <w:color w:val="auto"/>
          <w:sz w:val="21"/>
          <w:szCs w:val="21"/>
        </w:rPr>
      </w:pPr>
    </w:p>
    <w:p>
      <w:pPr>
        <w:pStyle w:val="8"/>
        <w:spacing w:beforeLines="0" w:afterLines="0"/>
        <w:rPr>
          <w:rFonts w:hint="eastAsia" w:ascii="宋体" w:hAnsi="宋体" w:eastAsia="宋体" w:cs="宋体"/>
          <w:color w:val="auto"/>
          <w:sz w:val="21"/>
          <w:szCs w:val="21"/>
        </w:rPr>
      </w:pPr>
    </w:p>
    <w:p>
      <w:pPr>
        <w:pStyle w:val="8"/>
        <w:spacing w:before="9" w:beforeLines="0" w:afterLines="0"/>
        <w:rPr>
          <w:rFonts w:hint="eastAsia" w:ascii="宋体" w:hAnsi="宋体" w:eastAsia="宋体" w:cs="宋体"/>
          <w:color w:val="auto"/>
          <w:sz w:val="21"/>
          <w:szCs w:val="21"/>
        </w:rPr>
      </w:pPr>
    </w:p>
    <w:p>
      <w:pPr>
        <w:pStyle w:val="8"/>
        <w:tabs>
          <w:tab w:val="left" w:pos="6941"/>
        </w:tabs>
        <w:spacing w:beforeLines="0" w:afterLines="0"/>
        <w:ind w:left="1420"/>
        <w:rPr>
          <w:rFonts w:hint="eastAsia" w:ascii="宋体" w:hAnsi="宋体" w:eastAsia="宋体" w:cs="宋体"/>
          <w:color w:val="auto"/>
          <w:sz w:val="24"/>
          <w:szCs w:val="24"/>
        </w:rPr>
      </w:pPr>
      <w:r>
        <w:rPr>
          <w:rFonts w:hint="eastAsia" w:ascii="宋体" w:hAnsi="宋体" w:eastAsia="宋体" w:cs="宋体"/>
          <w:color w:val="auto"/>
          <w:sz w:val="21"/>
          <w:szCs w:val="21"/>
        </w:rPr>
        <w:t>评标委员会授权的招标人或招标代理机构：</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rPr>
        <w:t>（签字或盖单位章）</w:t>
      </w:r>
    </w:p>
    <w:p>
      <w:pPr>
        <w:pStyle w:val="8"/>
        <w:spacing w:beforeLines="0" w:afterLines="0"/>
        <w:rPr>
          <w:rFonts w:hint="eastAsia" w:ascii="宋体" w:hAnsi="宋体" w:eastAsia="宋体" w:cs="宋体"/>
          <w:color w:val="auto"/>
          <w:sz w:val="20"/>
          <w:szCs w:val="24"/>
        </w:rPr>
      </w:pPr>
    </w:p>
    <w:p>
      <w:pPr>
        <w:pStyle w:val="8"/>
        <w:spacing w:before="6" w:beforeLines="0" w:afterLines="0"/>
        <w:rPr>
          <w:rFonts w:hint="eastAsia" w:ascii="宋体" w:hAnsi="宋体" w:eastAsia="宋体" w:cs="宋体"/>
          <w:color w:val="auto"/>
          <w:sz w:val="19"/>
          <w:szCs w:val="24"/>
        </w:rPr>
      </w:pPr>
    </w:p>
    <w:p>
      <w:pPr>
        <w:tabs>
          <w:tab w:val="left" w:pos="8279"/>
        </w:tabs>
        <w:spacing w:line="220" w:lineRule="auto"/>
        <w:jc w:val="right"/>
        <w:rPr>
          <w:rFonts w:ascii="宋体" w:hAnsi="宋体" w:eastAsia="宋体" w:cs="宋体"/>
          <w:sz w:val="21"/>
          <w:szCs w:val="21"/>
        </w:rPr>
      </w:pP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val="en-US" w:eastAsia="zh-CN"/>
        </w:rPr>
        <w:t xml:space="preserve"> 年</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val="en-US" w:eastAsia="zh-CN"/>
        </w:rPr>
        <w:t xml:space="preserve">月 </w:t>
      </w:r>
      <w:r>
        <w:rPr>
          <w:rFonts w:hint="eastAsia" w:ascii="宋体" w:hAnsi="宋体" w:eastAsia="宋体" w:cs="宋体"/>
          <w:color w:val="auto"/>
          <w:sz w:val="24"/>
          <w:szCs w:val="24"/>
          <w:u w:val="single"/>
          <w:lang w:val="en-US" w:eastAsia="zh-CN"/>
        </w:rPr>
        <w:t xml:space="preserve"> </w:t>
      </w:r>
      <w:r>
        <w:rPr>
          <w:rFonts w:hint="eastAsia"/>
          <w:color w:val="auto"/>
          <w:sz w:val="24"/>
          <w:szCs w:val="24"/>
          <w:u w:val="single"/>
          <w:lang w:val="en-US" w:eastAsia="zh-CN"/>
        </w:rPr>
        <w:t xml:space="preserve">    </w:t>
      </w:r>
      <w:r>
        <w:rPr>
          <w:rFonts w:hint="eastAsia"/>
          <w:color w:val="auto"/>
          <w:sz w:val="24"/>
          <w:szCs w:val="24"/>
          <w:lang w:val="en-US" w:eastAsia="zh-CN"/>
        </w:rPr>
        <w:t xml:space="preserve"> 日</w:t>
      </w:r>
    </w:p>
    <w:p>
      <w:pPr>
        <w:spacing w:line="220" w:lineRule="auto"/>
        <w:rPr>
          <w:rFonts w:ascii="宋体" w:hAnsi="宋体" w:eastAsia="宋体" w:cs="宋体"/>
          <w:sz w:val="21"/>
          <w:szCs w:val="21"/>
        </w:rPr>
        <w:sectPr>
          <w:footerReference r:id="rId10" w:type="default"/>
          <w:pgSz w:w="11907" w:h="16841"/>
          <w:pgMar w:top="1431" w:right="1073" w:bottom="1216" w:left="1080" w:header="0" w:footer="1055" w:gutter="0"/>
          <w:pgNumType w:fmt="decimal"/>
          <w:cols w:space="720" w:num="1"/>
        </w:sectPr>
      </w:pPr>
    </w:p>
    <w:p>
      <w:pPr>
        <w:spacing w:before="68" w:line="220" w:lineRule="auto"/>
        <w:ind w:left="236"/>
        <w:rPr>
          <w:rFonts w:hint="eastAsia" w:ascii="宋体" w:hAnsi="宋体" w:eastAsia="宋体" w:cs="宋体"/>
          <w:sz w:val="21"/>
          <w:szCs w:val="21"/>
          <w:lang w:val="en-US" w:eastAsia="zh-CN"/>
        </w:rPr>
      </w:pPr>
      <w:r>
        <w:rPr>
          <w:rFonts w:ascii="宋体" w:hAnsi="宋体" w:eastAsia="宋体" w:cs="宋体"/>
          <w:spacing w:val="-6"/>
          <w:sz w:val="21"/>
          <w:szCs w:val="21"/>
          <w14:textOutline w14:w="3831" w14:cap="flat" w14:cmpd="sng">
            <w14:solidFill>
              <w14:srgbClr w14:val="000000"/>
            </w14:solidFill>
            <w14:prstDash w14:val="solid"/>
            <w14:miter w14:val="0"/>
          </w14:textOutline>
        </w:rPr>
        <w:t>附件三问题的澄</w:t>
      </w:r>
      <w:r>
        <w:rPr>
          <w:rFonts w:hint="eastAsia" w:ascii="宋体" w:hAnsi="宋体" w:cs="宋体"/>
          <w:spacing w:val="-6"/>
          <w:sz w:val="21"/>
          <w:szCs w:val="21"/>
          <w:lang w:val="en-US" w:eastAsia="zh-CN"/>
          <w14:textOutline w14:w="3831" w14:cap="flat" w14:cmpd="sng">
            <w14:solidFill>
              <w14:srgbClr w14:val="000000"/>
            </w14:solidFill>
            <w14:prstDash w14:val="solid"/>
            <w14:miter w14:val="0"/>
          </w14:textOutline>
        </w:rPr>
        <w:t>清</w:t>
      </w:r>
    </w:p>
    <w:p>
      <w:pPr>
        <w:pStyle w:val="8"/>
        <w:spacing w:line="267" w:lineRule="auto"/>
      </w:pPr>
    </w:p>
    <w:p>
      <w:pPr>
        <w:pStyle w:val="8"/>
        <w:spacing w:line="267" w:lineRule="auto"/>
      </w:pPr>
    </w:p>
    <w:p>
      <w:pPr>
        <w:pStyle w:val="8"/>
        <w:spacing w:line="268" w:lineRule="auto"/>
      </w:pPr>
    </w:p>
    <w:p>
      <w:pPr>
        <w:spacing w:before="68" w:line="221" w:lineRule="auto"/>
        <w:ind w:left="4379"/>
        <w:rPr>
          <w:rFonts w:ascii="宋体" w:hAnsi="宋体" w:eastAsia="宋体" w:cs="宋体"/>
          <w:sz w:val="24"/>
          <w:szCs w:val="24"/>
        </w:rPr>
      </w:pPr>
      <w:r>
        <w:rPr>
          <w:rFonts w:ascii="宋体" w:hAnsi="宋体" w:eastAsia="宋体" w:cs="宋体"/>
          <w:spacing w:val="-6"/>
          <w:sz w:val="24"/>
          <w:szCs w:val="24"/>
          <w14:textOutline w14:w="3831" w14:cap="flat" w14:cmpd="sng">
            <w14:solidFill>
              <w14:srgbClr w14:val="000000"/>
            </w14:solidFill>
            <w14:prstDash w14:val="solid"/>
            <w14:miter w14:val="0"/>
          </w14:textOutline>
        </w:rPr>
        <w:t>问题的澄清</w:t>
      </w:r>
    </w:p>
    <w:p>
      <w:pPr>
        <w:spacing w:before="155" w:line="221" w:lineRule="auto"/>
        <w:ind w:left="4047"/>
        <w:rPr>
          <w:rFonts w:ascii="宋体" w:hAnsi="宋体" w:eastAsia="宋体" w:cs="宋体"/>
          <w:sz w:val="21"/>
          <w:szCs w:val="21"/>
        </w:rPr>
      </w:pPr>
      <w:r>
        <w:rPr>
          <w:rFonts w:ascii="宋体" w:hAnsi="宋体" w:eastAsia="宋体" w:cs="宋体"/>
          <w:spacing w:val="-9"/>
          <w:sz w:val="21"/>
          <w:szCs w:val="21"/>
        </w:rPr>
        <w:t>（编号</w:t>
      </w:r>
      <w:r>
        <w:rPr>
          <w:rFonts w:ascii="宋体" w:hAnsi="宋体" w:eastAsia="宋体" w:cs="宋体"/>
          <w:spacing w:val="6"/>
          <w:sz w:val="21"/>
          <w:szCs w:val="21"/>
        </w:rPr>
        <w:t>：</w:t>
      </w:r>
      <w:r>
        <w:rPr>
          <w:rFonts w:hint="eastAsia" w:ascii="宋体" w:hAnsi="宋体" w:cs="宋体"/>
          <w:spacing w:val="6"/>
          <w:sz w:val="21"/>
          <w:szCs w:val="21"/>
          <w:u w:val="single"/>
          <w:lang w:val="en-US" w:eastAsia="zh-CN"/>
        </w:rPr>
        <w:t xml:space="preserve">      </w:t>
      </w:r>
      <w:r>
        <w:rPr>
          <w:rFonts w:ascii="宋体" w:hAnsi="宋体" w:eastAsia="宋体" w:cs="宋体"/>
          <w:spacing w:val="6"/>
          <w:sz w:val="21"/>
          <w:szCs w:val="21"/>
        </w:rPr>
        <w:t>）</w:t>
      </w:r>
    </w:p>
    <w:p>
      <w:pPr>
        <w:pStyle w:val="8"/>
        <w:spacing w:line="248" w:lineRule="auto"/>
      </w:pPr>
    </w:p>
    <w:p>
      <w:pPr>
        <w:pStyle w:val="8"/>
        <w:spacing w:line="248" w:lineRule="auto"/>
      </w:pPr>
    </w:p>
    <w:p>
      <w:pPr>
        <w:pStyle w:val="8"/>
        <w:tabs>
          <w:tab w:val="left" w:pos="2584"/>
          <w:tab w:val="left" w:pos="5104"/>
        </w:tabs>
        <w:spacing w:before="74" w:beforeLines="0" w:afterLines="0"/>
        <w:ind w:left="424"/>
        <w:rPr>
          <w:rFonts w:hint="eastAsia"/>
          <w:color w:val="auto"/>
          <w:sz w:val="24"/>
          <w:szCs w:val="24"/>
        </w:rPr>
      </w:pPr>
      <w:r>
        <w:rPr>
          <w:rFonts w:hint="default" w:ascii="Times New Roman" w:eastAsia="Times New Roman"/>
          <w:color w:val="auto"/>
          <w:sz w:val="24"/>
          <w:szCs w:val="24"/>
          <w:u w:val="single"/>
        </w:rPr>
        <w:tab/>
      </w:r>
      <w:r>
        <w:rPr>
          <w:rFonts w:hint="eastAsia"/>
          <w:color w:val="auto"/>
          <w:sz w:val="24"/>
          <w:szCs w:val="24"/>
          <w:u w:val="single"/>
        </w:rPr>
        <w:t>（</w:t>
      </w:r>
      <w:r>
        <w:rPr>
          <w:rFonts w:hint="eastAsia"/>
          <w:color w:val="auto"/>
          <w:sz w:val="24"/>
          <w:szCs w:val="24"/>
        </w:rPr>
        <w:t>项目名称）施工招标评标委员会：</w:t>
      </w:r>
    </w:p>
    <w:p>
      <w:pPr>
        <w:pStyle w:val="8"/>
        <w:spacing w:beforeLines="0" w:afterLines="0"/>
        <w:rPr>
          <w:rFonts w:hint="eastAsia"/>
          <w:color w:val="auto"/>
          <w:sz w:val="26"/>
          <w:szCs w:val="24"/>
        </w:rPr>
      </w:pPr>
    </w:p>
    <w:p>
      <w:pPr>
        <w:pStyle w:val="8"/>
        <w:spacing w:beforeLines="0" w:afterLines="0"/>
        <w:rPr>
          <w:rFonts w:hint="eastAsia"/>
          <w:color w:val="auto"/>
          <w:sz w:val="26"/>
          <w:szCs w:val="24"/>
        </w:rPr>
      </w:pPr>
    </w:p>
    <w:p>
      <w:pPr>
        <w:pStyle w:val="8"/>
        <w:spacing w:before="1" w:beforeLines="0" w:afterLines="0"/>
        <w:rPr>
          <w:rFonts w:hint="eastAsia"/>
          <w:color w:val="auto"/>
          <w:sz w:val="27"/>
          <w:szCs w:val="24"/>
        </w:rPr>
      </w:pPr>
    </w:p>
    <w:p>
      <w:pPr>
        <w:pStyle w:val="8"/>
        <w:tabs>
          <w:tab w:val="left" w:pos="3360"/>
        </w:tabs>
        <w:spacing w:beforeLines="0" w:afterLines="0"/>
        <w:ind w:right="954"/>
        <w:jc w:val="center"/>
        <w:rPr>
          <w:rFonts w:hint="eastAsia"/>
          <w:color w:val="auto"/>
          <w:sz w:val="24"/>
          <w:szCs w:val="24"/>
        </w:rPr>
      </w:pPr>
      <w:r>
        <w:rPr>
          <w:rFonts w:hint="eastAsia"/>
          <w:color w:val="auto"/>
          <w:sz w:val="24"/>
          <w:szCs w:val="24"/>
        </w:rPr>
        <w:t>问题澄清通知（编号：</w:t>
      </w:r>
      <w:r>
        <w:rPr>
          <w:rFonts w:hint="eastAsia"/>
          <w:color w:val="auto"/>
          <w:sz w:val="24"/>
          <w:szCs w:val="24"/>
          <w:u w:val="single"/>
        </w:rPr>
        <w:t xml:space="preserve"> </w:t>
      </w:r>
      <w:r>
        <w:rPr>
          <w:rFonts w:hint="eastAsia"/>
          <w:color w:val="auto"/>
          <w:sz w:val="24"/>
          <w:szCs w:val="24"/>
          <w:u w:val="single"/>
        </w:rPr>
        <w:tab/>
      </w:r>
      <w:r>
        <w:rPr>
          <w:rFonts w:hint="eastAsia"/>
          <w:color w:val="auto"/>
          <w:sz w:val="24"/>
          <w:szCs w:val="24"/>
        </w:rPr>
        <w:t>）已收悉，现澄清、说明如下：</w:t>
      </w:r>
    </w:p>
    <w:p>
      <w:pPr>
        <w:pStyle w:val="8"/>
        <w:tabs>
          <w:tab w:val="left" w:pos="1264"/>
        </w:tabs>
        <w:spacing w:before="150" w:beforeLines="0" w:afterLines="0"/>
        <w:ind w:left="424"/>
        <w:rPr>
          <w:rFonts w:hint="default" w:ascii="Times New Roman"/>
          <w:color w:val="auto"/>
          <w:sz w:val="24"/>
          <w:szCs w:val="24"/>
        </w:rPr>
      </w:pPr>
      <w:r>
        <w:rPr>
          <w:rFonts w:hint="eastAsia"/>
          <w:color w:val="auto"/>
          <w:sz w:val="24"/>
          <w:szCs w:val="24"/>
        </w:rPr>
        <w:t xml:space="preserve"> </w:t>
      </w:r>
      <w:r>
        <w:rPr>
          <w:rFonts w:hint="eastAsia"/>
          <w:color w:val="auto"/>
          <w:sz w:val="24"/>
          <w:szCs w:val="24"/>
        </w:rPr>
        <w:tab/>
      </w:r>
      <w:r>
        <w:rPr>
          <w:rFonts w:hint="default" w:ascii="Times New Roman"/>
          <w:color w:val="auto"/>
          <w:sz w:val="24"/>
          <w:szCs w:val="24"/>
        </w:rPr>
        <w:t>1.</w:t>
      </w:r>
    </w:p>
    <w:p>
      <w:pPr>
        <w:pStyle w:val="8"/>
        <w:tabs>
          <w:tab w:val="left" w:pos="1264"/>
        </w:tabs>
        <w:spacing w:before="163" w:beforeLines="0" w:afterLines="0"/>
        <w:ind w:left="424"/>
        <w:rPr>
          <w:rFonts w:hint="eastAsia"/>
          <w:color w:val="auto"/>
          <w:sz w:val="24"/>
          <w:szCs w:val="24"/>
        </w:rPr>
      </w:pPr>
      <w:r>
        <w:rPr>
          <w:rFonts w:hint="eastAsia"/>
          <w:color w:val="auto"/>
          <w:sz w:val="24"/>
          <w:szCs w:val="24"/>
        </w:rPr>
        <w:t xml:space="preserve"> </w:t>
      </w:r>
      <w:r>
        <w:rPr>
          <w:rFonts w:hint="eastAsia"/>
          <w:color w:val="auto"/>
          <w:sz w:val="24"/>
          <w:szCs w:val="24"/>
        </w:rPr>
        <w:tab/>
      </w:r>
      <w:r>
        <w:rPr>
          <w:rFonts w:hint="default" w:ascii="Times New Roman"/>
          <w:color w:val="auto"/>
          <w:sz w:val="24"/>
          <w:szCs w:val="24"/>
        </w:rPr>
        <w:t>2.</w:t>
      </w:r>
    </w:p>
    <w:p>
      <w:pPr>
        <w:pStyle w:val="8"/>
        <w:tabs>
          <w:tab w:val="left" w:pos="1144"/>
        </w:tabs>
        <w:spacing w:before="151" w:beforeLines="0" w:afterLines="0"/>
        <w:ind w:left="424"/>
        <w:rPr>
          <w:rFonts w:hint="default" w:ascii="Times New Roman"/>
          <w:color w:val="auto"/>
          <w:sz w:val="20"/>
          <w:szCs w:val="24"/>
        </w:rPr>
      </w:pPr>
      <w:r>
        <w:rPr>
          <w:rFonts w:hint="eastAsia"/>
          <w:color w:val="auto"/>
          <w:sz w:val="24"/>
          <w:szCs w:val="24"/>
        </w:rPr>
        <w:t xml:space="preserve"> </w:t>
      </w:r>
      <w:r>
        <w:rPr>
          <w:rFonts w:hint="eastAsia"/>
          <w:color w:val="auto"/>
          <w:sz w:val="24"/>
          <w:szCs w:val="24"/>
        </w:rPr>
        <w:tab/>
      </w:r>
      <w:r>
        <w:rPr>
          <w:rFonts w:hint="default" w:ascii="Times New Roman"/>
          <w:color w:val="auto"/>
          <w:sz w:val="24"/>
          <w:szCs w:val="24"/>
        </w:rPr>
        <w:t>.....</w:t>
      </w:r>
    </w:p>
    <w:p>
      <w:pPr>
        <w:pStyle w:val="8"/>
        <w:spacing w:before="9" w:beforeLines="0" w:afterLines="0"/>
        <w:rPr>
          <w:rFonts w:hint="default" w:ascii="Times New Roman"/>
          <w:color w:val="auto"/>
          <w:sz w:val="21"/>
          <w:szCs w:val="24"/>
        </w:rPr>
      </w:pPr>
    </w:p>
    <w:p>
      <w:pPr>
        <w:pStyle w:val="8"/>
        <w:spacing w:before="67" w:beforeLines="0" w:afterLines="0" w:line="343" w:lineRule="auto"/>
        <w:ind w:left="424" w:right="390" w:firstLine="479"/>
        <w:rPr>
          <w:rFonts w:hint="eastAsia"/>
          <w:color w:val="auto"/>
          <w:sz w:val="24"/>
          <w:szCs w:val="24"/>
        </w:rPr>
      </w:pPr>
      <w:r>
        <w:rPr>
          <w:rFonts w:hint="eastAsia"/>
          <w:color w:val="auto"/>
          <w:sz w:val="24"/>
          <w:szCs w:val="24"/>
        </w:rPr>
        <w:t>上述问题澄清或说明，不改变我方投标文件的实质性内容，构成我方投标文件的组成部分。</w:t>
      </w:r>
    </w:p>
    <w:p>
      <w:pPr>
        <w:pStyle w:val="8"/>
        <w:spacing w:beforeLines="0" w:afterLines="0"/>
        <w:rPr>
          <w:rFonts w:hint="eastAsia"/>
          <w:color w:val="auto"/>
          <w:sz w:val="24"/>
          <w:szCs w:val="24"/>
        </w:rPr>
      </w:pPr>
    </w:p>
    <w:p>
      <w:pPr>
        <w:pStyle w:val="8"/>
        <w:spacing w:before="8" w:beforeLines="0" w:afterLines="0"/>
        <w:rPr>
          <w:rFonts w:hint="eastAsia"/>
          <w:color w:val="auto"/>
          <w:sz w:val="20"/>
          <w:szCs w:val="24"/>
        </w:rPr>
      </w:pPr>
    </w:p>
    <w:p>
      <w:pPr>
        <w:pStyle w:val="8"/>
        <w:tabs>
          <w:tab w:val="left" w:pos="7567"/>
        </w:tabs>
        <w:spacing w:beforeLines="0" w:afterLines="0"/>
        <w:ind w:left="424"/>
        <w:rPr>
          <w:rFonts w:hint="eastAsia"/>
          <w:color w:val="auto"/>
          <w:sz w:val="12"/>
          <w:szCs w:val="24"/>
        </w:rPr>
      </w:pPr>
      <w:r>
        <w:rPr>
          <w:rFonts w:hint="eastAsia"/>
          <w:color w:val="auto"/>
          <w:sz w:val="24"/>
          <w:szCs w:val="24"/>
        </w:rPr>
        <w:t xml:space="preserve">                              投标人</w:t>
      </w:r>
      <w:r>
        <w:rPr>
          <w:rFonts w:hint="eastAsia"/>
          <w:color w:val="auto"/>
          <w:spacing w:val="-29"/>
          <w:sz w:val="24"/>
          <w:szCs w:val="24"/>
        </w:rPr>
        <w:t>：</w:t>
      </w:r>
      <w:r>
        <w:rPr>
          <w:rFonts w:hint="eastAsia"/>
          <w:color w:val="auto"/>
          <w:spacing w:val="-29"/>
          <w:sz w:val="24"/>
          <w:szCs w:val="24"/>
          <w:u w:val="single"/>
        </w:rPr>
        <w:t xml:space="preserve"> </w:t>
      </w:r>
      <w:r>
        <w:rPr>
          <w:rFonts w:hint="eastAsia"/>
          <w:color w:val="auto"/>
          <w:spacing w:val="-29"/>
          <w:sz w:val="24"/>
          <w:szCs w:val="24"/>
          <w:u w:val="single"/>
        </w:rPr>
        <w:tab/>
      </w:r>
      <w:r>
        <w:rPr>
          <w:rFonts w:hint="eastAsia"/>
          <w:color w:val="auto"/>
          <w:sz w:val="24"/>
          <w:szCs w:val="24"/>
        </w:rPr>
        <w:t>（盖单位章</w:t>
      </w:r>
      <w:r>
        <w:rPr>
          <w:rFonts w:hint="eastAsia"/>
          <w:color w:val="auto"/>
          <w:spacing w:val="-14"/>
          <w:sz w:val="24"/>
          <w:szCs w:val="24"/>
        </w:rPr>
        <w:t>）</w:t>
      </w:r>
      <w:r>
        <w:rPr>
          <w:rFonts w:hint="eastAsia"/>
          <w:color w:val="auto"/>
          <w:spacing w:val="-14"/>
          <w:position w:val="11"/>
          <w:sz w:val="12"/>
          <w:szCs w:val="24"/>
        </w:rPr>
        <w:t>①</w:t>
      </w:r>
    </w:p>
    <w:p>
      <w:pPr>
        <w:pStyle w:val="8"/>
        <w:tabs>
          <w:tab w:val="left" w:pos="8259"/>
        </w:tabs>
        <w:spacing w:before="134" w:beforeLines="0" w:afterLines="0"/>
        <w:ind w:left="424"/>
        <w:rPr>
          <w:rFonts w:hint="eastAsia"/>
          <w:color w:val="auto"/>
          <w:sz w:val="24"/>
          <w:szCs w:val="24"/>
        </w:rPr>
      </w:pPr>
      <w:r>
        <w:rPr>
          <w:rFonts w:hint="eastAsia"/>
          <w:color w:val="auto"/>
          <w:sz w:val="24"/>
          <w:szCs w:val="24"/>
        </w:rPr>
        <w:t xml:space="preserve">                              法定代表人或其委托代理人</w:t>
      </w:r>
      <w:r>
        <w:rPr>
          <w:rFonts w:hint="eastAsia"/>
          <w:color w:val="auto"/>
          <w:sz w:val="24"/>
          <w:szCs w:val="24"/>
          <w:u w:val="single"/>
        </w:rPr>
        <w:t>：</w:t>
      </w:r>
      <w:r>
        <w:rPr>
          <w:rFonts w:hint="eastAsia"/>
          <w:color w:val="auto"/>
          <w:sz w:val="24"/>
          <w:szCs w:val="24"/>
          <w:u w:val="single"/>
        </w:rPr>
        <w:tab/>
      </w:r>
      <w:r>
        <w:rPr>
          <w:rFonts w:hint="eastAsia"/>
          <w:color w:val="auto"/>
          <w:sz w:val="24"/>
          <w:szCs w:val="24"/>
          <w:u w:val="single"/>
        </w:rPr>
        <w:t>（</w:t>
      </w:r>
      <w:r>
        <w:rPr>
          <w:rFonts w:hint="eastAsia"/>
          <w:color w:val="auto"/>
          <w:sz w:val="24"/>
          <w:szCs w:val="24"/>
        </w:rPr>
        <w:t>签字）</w:t>
      </w:r>
    </w:p>
    <w:p>
      <w:pPr>
        <w:pStyle w:val="8"/>
        <w:spacing w:before="133" w:beforeLines="0" w:afterLines="0"/>
        <w:ind w:left="424"/>
        <w:rPr>
          <w:rFonts w:hint="default" w:ascii="宋体" w:hAnsi="宋体" w:eastAsia="仿宋_GB2312" w:cs="宋体"/>
          <w:sz w:val="21"/>
          <w:szCs w:val="21"/>
          <w:lang w:val="en-US" w:eastAsia="zh-CN"/>
        </w:rPr>
      </w:pPr>
      <w:r>
        <w:rPr>
          <w:rFonts w:hint="eastAsia"/>
          <w:color w:val="auto"/>
          <w:sz w:val="24"/>
          <w:szCs w:val="24"/>
        </w:rPr>
        <w:t xml:space="preserve">                    </w:t>
      </w:r>
      <w:r>
        <w:rPr>
          <w:rFonts w:hint="eastAsia"/>
          <w:color w:val="auto"/>
          <w:sz w:val="24"/>
          <w:szCs w:val="24"/>
          <w:lang w:val="en-US" w:eastAsia="zh-CN"/>
        </w:rPr>
        <w:t xml:space="preserve">             </w:t>
      </w:r>
      <w:r>
        <w:rPr>
          <w:rFonts w:hint="eastAsia"/>
          <w:color w:val="auto"/>
          <w:sz w:val="24"/>
          <w:szCs w:val="24"/>
          <w:u w:val="single"/>
          <w:lang w:val="en-US" w:eastAsia="zh-CN"/>
        </w:rPr>
        <w:t xml:space="preserve">          </w:t>
      </w:r>
      <w:r>
        <w:rPr>
          <w:rFonts w:hint="eastAsia"/>
          <w:color w:val="auto"/>
          <w:sz w:val="24"/>
          <w:szCs w:val="24"/>
          <w:lang w:val="en-US" w:eastAsia="zh-CN"/>
        </w:rPr>
        <w:t xml:space="preserve"> 年</w:t>
      </w:r>
      <w:r>
        <w:rPr>
          <w:rFonts w:hint="eastAsia"/>
          <w:color w:val="auto"/>
          <w:sz w:val="24"/>
          <w:szCs w:val="24"/>
          <w:u w:val="single"/>
          <w:lang w:val="en-US" w:eastAsia="zh-CN"/>
        </w:rPr>
        <w:t xml:space="preserve">     </w:t>
      </w:r>
      <w:r>
        <w:rPr>
          <w:rFonts w:hint="eastAsia"/>
          <w:color w:val="auto"/>
          <w:sz w:val="24"/>
          <w:szCs w:val="24"/>
          <w:lang w:val="en-US" w:eastAsia="zh-CN"/>
        </w:rPr>
        <w:t xml:space="preserve">月 </w:t>
      </w:r>
      <w:r>
        <w:rPr>
          <w:rFonts w:hint="eastAsia"/>
          <w:color w:val="auto"/>
          <w:sz w:val="24"/>
          <w:szCs w:val="24"/>
          <w:u w:val="single"/>
          <w:lang w:val="en-US" w:eastAsia="zh-CN"/>
        </w:rPr>
        <w:t xml:space="preserve">     </w:t>
      </w:r>
      <w:r>
        <w:rPr>
          <w:rFonts w:hint="eastAsia"/>
          <w:color w:val="auto"/>
          <w:sz w:val="24"/>
          <w:szCs w:val="24"/>
          <w:lang w:val="en-US" w:eastAsia="zh-CN"/>
        </w:rPr>
        <w:t xml:space="preserve"> 日</w:t>
      </w:r>
    </w:p>
    <w:p>
      <w:pPr>
        <w:pStyle w:val="8"/>
        <w:spacing w:line="243" w:lineRule="auto"/>
        <w:rPr>
          <w:rFonts w:hint="eastAsia" w:eastAsia="仿宋_GB2312"/>
          <w:lang w:val="en-US" w:eastAsia="zh-CN"/>
        </w:rPr>
      </w:pPr>
      <w:r>
        <w:rPr>
          <w:rFonts w:hint="eastAsia"/>
          <w:lang w:val="en-US" w:eastAsia="zh-CN"/>
        </w:rPr>
        <w:t xml:space="preserve"> </w:t>
      </w:r>
    </w:p>
    <w:p>
      <w:pPr>
        <w:pStyle w:val="8"/>
        <w:spacing w:line="243" w:lineRule="auto"/>
      </w:pPr>
    </w:p>
    <w:p>
      <w:pPr>
        <w:pStyle w:val="8"/>
        <w:spacing w:line="244" w:lineRule="auto"/>
      </w:pPr>
    </w:p>
    <w:p>
      <w:pPr>
        <w:pStyle w:val="8"/>
        <w:spacing w:line="244" w:lineRule="auto"/>
      </w:pPr>
    </w:p>
    <w:p>
      <w:pPr>
        <w:spacing w:before="59" w:line="238" w:lineRule="auto"/>
        <w:ind w:left="22" w:firstLine="174" w:firstLineChars="100"/>
        <w:rPr>
          <w:rFonts w:ascii="宋体" w:hAnsi="宋体" w:eastAsia="宋体" w:cs="宋体"/>
          <w:sz w:val="18"/>
          <w:szCs w:val="18"/>
        </w:rPr>
      </w:pPr>
      <w:r>
        <w:rPr>
          <w:rFonts w:hint="default" w:ascii="Calibri" w:hAnsi="Calibri" w:eastAsia="宋体" w:cs="Calibri"/>
          <w:spacing w:val="-3"/>
          <w:sz w:val="18"/>
          <w:szCs w:val="18"/>
        </w:rPr>
        <w:t>①</w:t>
      </w:r>
      <w:r>
        <w:rPr>
          <w:rFonts w:ascii="宋体" w:hAnsi="宋体" w:eastAsia="宋体" w:cs="宋体"/>
          <w:spacing w:val="-3"/>
          <w:sz w:val="18"/>
          <w:szCs w:val="18"/>
        </w:rPr>
        <w:t>投标人须在投标文件的澄清或说明上加盖单位</w:t>
      </w:r>
      <w:r>
        <w:rPr>
          <w:rFonts w:ascii="宋体" w:hAnsi="宋体" w:eastAsia="宋体" w:cs="宋体"/>
          <w:spacing w:val="-4"/>
          <w:sz w:val="18"/>
          <w:szCs w:val="18"/>
        </w:rPr>
        <w:t>章并由法定代表人或其委托代理人签字。</w:t>
      </w:r>
    </w:p>
    <w:p>
      <w:pPr>
        <w:spacing w:line="238" w:lineRule="auto"/>
        <w:rPr>
          <w:rFonts w:ascii="宋体" w:hAnsi="宋体" w:eastAsia="宋体" w:cs="宋体"/>
          <w:sz w:val="18"/>
          <w:szCs w:val="18"/>
        </w:rPr>
        <w:sectPr>
          <w:footerReference r:id="rId11" w:type="default"/>
          <w:pgSz w:w="11907" w:h="16841"/>
          <w:pgMar w:top="1431" w:right="1075" w:bottom="1216" w:left="1080" w:header="0" w:footer="1055" w:gutter="0"/>
          <w:pgNumType w:fmt="decimal"/>
          <w:cols w:space="720" w:num="1"/>
        </w:sectPr>
      </w:pPr>
    </w:p>
    <w:p>
      <w:pPr>
        <w:spacing w:before="68" w:line="220" w:lineRule="auto"/>
        <w:ind w:left="236"/>
        <w:rPr>
          <w:rFonts w:ascii="宋体" w:hAnsi="宋体" w:eastAsia="宋体" w:cs="宋体"/>
          <w:sz w:val="21"/>
          <w:szCs w:val="21"/>
        </w:rPr>
      </w:pPr>
      <w:r>
        <w:rPr>
          <w:rFonts w:ascii="宋体" w:hAnsi="宋体" w:eastAsia="宋体" w:cs="宋体"/>
          <w:spacing w:val="-6"/>
          <w:sz w:val="21"/>
          <w:szCs w:val="21"/>
          <w14:textOutline w14:w="3831" w14:cap="flat" w14:cmpd="sng">
            <w14:solidFill>
              <w14:srgbClr w14:val="000000"/>
            </w14:solidFill>
            <w14:prstDash w14:val="solid"/>
            <w14:miter w14:val="0"/>
          </w14:textOutline>
        </w:rPr>
        <w:t>附件四中标通知书</w:t>
      </w:r>
    </w:p>
    <w:p>
      <w:pPr>
        <w:pStyle w:val="8"/>
        <w:spacing w:line="267" w:lineRule="auto"/>
      </w:pPr>
    </w:p>
    <w:p>
      <w:pPr>
        <w:pStyle w:val="8"/>
        <w:spacing w:line="267" w:lineRule="auto"/>
      </w:pPr>
    </w:p>
    <w:p>
      <w:pPr>
        <w:pStyle w:val="8"/>
        <w:spacing w:line="268" w:lineRule="auto"/>
      </w:pPr>
    </w:p>
    <w:p>
      <w:pPr>
        <w:spacing w:before="68" w:line="220" w:lineRule="auto"/>
        <w:ind w:left="4375"/>
        <w:rPr>
          <w:rFonts w:ascii="宋体" w:hAnsi="宋体" w:eastAsia="宋体" w:cs="宋体"/>
          <w:sz w:val="21"/>
          <w:szCs w:val="21"/>
        </w:rPr>
      </w:pPr>
      <w:r>
        <w:rPr>
          <w:rFonts w:ascii="宋体" w:hAnsi="宋体" w:eastAsia="宋体" w:cs="宋体"/>
          <w:spacing w:val="-5"/>
          <w:sz w:val="21"/>
          <w:szCs w:val="21"/>
          <w14:textOutline w14:w="3831" w14:cap="flat" w14:cmpd="sng">
            <w14:solidFill>
              <w14:srgbClr w14:val="000000"/>
            </w14:solidFill>
            <w14:prstDash w14:val="solid"/>
            <w14:miter w14:val="0"/>
          </w14:textOutline>
        </w:rPr>
        <w:t>中标通知书</w:t>
      </w:r>
    </w:p>
    <w:p>
      <w:pPr>
        <w:pStyle w:val="8"/>
        <w:spacing w:line="247" w:lineRule="auto"/>
      </w:pPr>
    </w:p>
    <w:p>
      <w:pPr>
        <w:pStyle w:val="8"/>
        <w:spacing w:line="247" w:lineRule="auto"/>
      </w:pPr>
    </w:p>
    <w:p>
      <w:pPr>
        <w:tabs>
          <w:tab w:val="left" w:pos="1261"/>
        </w:tabs>
        <w:spacing w:before="69" w:line="221" w:lineRule="auto"/>
        <w:rPr>
          <w:rFonts w:hint="eastAsia" w:ascii="宋体" w:hAnsi="宋体" w:eastAsia="宋体" w:cs="宋体"/>
          <w:color w:val="auto"/>
          <w:sz w:val="21"/>
          <w:szCs w:val="21"/>
        </w:rPr>
      </w:pPr>
      <w:r>
        <w:rPr>
          <w:rFonts w:ascii="宋体" w:hAnsi="宋体" w:eastAsia="宋体" w:cs="宋体"/>
          <w:sz w:val="21"/>
          <w:szCs w:val="21"/>
          <w:u w:val="single" w:color="auto"/>
        </w:rPr>
        <w:tab/>
      </w:r>
      <w:r>
        <w:rPr>
          <w:rFonts w:ascii="宋体" w:hAnsi="宋体" w:eastAsia="宋体" w:cs="宋体"/>
          <w:color w:val="auto"/>
          <w:spacing w:val="-3"/>
          <w:sz w:val="21"/>
          <w:szCs w:val="21"/>
        </w:rPr>
        <w:t>（中</w:t>
      </w:r>
      <w:r>
        <w:rPr>
          <w:rFonts w:hint="eastAsia" w:ascii="宋体" w:hAnsi="宋体" w:eastAsia="宋体" w:cs="宋体"/>
          <w:color w:val="auto"/>
          <w:spacing w:val="-3"/>
          <w:sz w:val="21"/>
          <w:szCs w:val="21"/>
        </w:rPr>
        <w:t>标人名称</w:t>
      </w:r>
      <w:r>
        <w:rPr>
          <w:rFonts w:hint="eastAsia" w:ascii="宋体" w:hAnsi="宋体" w:eastAsia="宋体" w:cs="宋体"/>
          <w:color w:val="auto"/>
          <w:spacing w:val="-7"/>
          <w:sz w:val="21"/>
          <w:szCs w:val="21"/>
        </w:rPr>
        <w:t>）：</w:t>
      </w:r>
    </w:p>
    <w:p>
      <w:pPr>
        <w:pStyle w:val="8"/>
        <w:spacing w:line="247" w:lineRule="auto"/>
        <w:rPr>
          <w:rFonts w:hint="eastAsia" w:ascii="宋体" w:hAnsi="宋体" w:eastAsia="宋体" w:cs="宋体"/>
          <w:color w:val="auto"/>
          <w:sz w:val="21"/>
          <w:szCs w:val="21"/>
        </w:rPr>
      </w:pPr>
    </w:p>
    <w:p>
      <w:pPr>
        <w:pStyle w:val="8"/>
        <w:spacing w:line="248" w:lineRule="auto"/>
        <w:rPr>
          <w:rFonts w:hint="eastAsia" w:ascii="宋体" w:hAnsi="宋体" w:eastAsia="宋体" w:cs="宋体"/>
          <w:color w:val="auto"/>
          <w:sz w:val="21"/>
          <w:szCs w:val="21"/>
        </w:rPr>
      </w:pPr>
    </w:p>
    <w:p>
      <w:pPr>
        <w:pStyle w:val="8"/>
        <w:tabs>
          <w:tab w:val="left" w:pos="2683"/>
          <w:tab w:val="left" w:pos="6720"/>
          <w:tab w:val="left" w:pos="8859"/>
        </w:tabs>
        <w:spacing w:beforeLines="0" w:afterLines="0" w:line="343" w:lineRule="auto"/>
        <w:ind w:left="424" w:right="384"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你方于</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rPr>
        <w:t>（投标日期</w:t>
      </w:r>
      <w:r>
        <w:rPr>
          <w:rFonts w:hint="eastAsia" w:ascii="宋体" w:hAnsi="宋体" w:eastAsia="宋体" w:cs="宋体"/>
          <w:color w:val="auto"/>
          <w:spacing w:val="-22"/>
          <w:sz w:val="21"/>
          <w:szCs w:val="21"/>
        </w:rPr>
        <w:t>）</w:t>
      </w:r>
      <w:r>
        <w:rPr>
          <w:rFonts w:hint="eastAsia" w:ascii="宋体" w:hAnsi="宋体" w:eastAsia="宋体" w:cs="宋体"/>
          <w:color w:val="auto"/>
          <w:sz w:val="21"/>
          <w:szCs w:val="21"/>
        </w:rPr>
        <w:t>所递交的</w:t>
      </w:r>
      <w:r>
        <w:rPr>
          <w:rFonts w:hint="eastAsia" w:ascii="宋体" w:hAnsi="宋体" w:eastAsia="宋体" w:cs="宋体"/>
          <w:color w:val="auto"/>
          <w:sz w:val="21"/>
          <w:szCs w:val="21"/>
          <w:u w:val="single"/>
        </w:rPr>
        <w:t xml:space="preserve"> </w:t>
      </w:r>
      <w:r>
        <w:rPr>
          <w:rFonts w:hint="eastAsia" w:ascii="宋体" w:eastAsia="宋体" w:cs="宋体"/>
          <w:color w:val="auto"/>
          <w:sz w:val="21"/>
          <w:szCs w:val="21"/>
          <w:u w:val="single"/>
          <w:lang w:val="en-US" w:eastAsia="zh-CN"/>
        </w:rPr>
        <w:t xml:space="preserve">     </w:t>
      </w:r>
      <w:r>
        <w:rPr>
          <w:rFonts w:hint="eastAsia" w:ascii="宋体" w:hAnsi="宋体" w:eastAsia="宋体" w:cs="宋体"/>
          <w:color w:val="auto"/>
          <w:sz w:val="21"/>
          <w:szCs w:val="21"/>
        </w:rPr>
        <w:t>（项目名称</w:t>
      </w:r>
      <w:r>
        <w:rPr>
          <w:rFonts w:hint="eastAsia" w:ascii="宋体" w:hAnsi="宋体" w:eastAsia="宋体" w:cs="宋体"/>
          <w:color w:val="auto"/>
          <w:spacing w:val="-22"/>
          <w:sz w:val="21"/>
          <w:szCs w:val="21"/>
        </w:rPr>
        <w:t>）</w:t>
      </w:r>
      <w:r>
        <w:rPr>
          <w:rFonts w:hint="eastAsia" w:ascii="宋体" w:hAnsi="宋体" w:eastAsia="宋体" w:cs="宋体"/>
          <w:color w:val="auto"/>
          <w:sz w:val="21"/>
          <w:szCs w:val="21"/>
        </w:rPr>
        <w:t>施工投标文件已被我方接受，被确定为中标人。</w:t>
      </w:r>
    </w:p>
    <w:p>
      <w:pPr>
        <w:pStyle w:val="8"/>
        <w:tabs>
          <w:tab w:val="left" w:pos="4144"/>
        </w:tabs>
        <w:spacing w:before="2" w:beforeLines="0" w:afterLines="0"/>
        <w:ind w:left="424"/>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r>
        <w:rPr>
          <w:rFonts w:hint="eastAsia" w:ascii="宋体" w:hAnsi="宋体" w:eastAsia="宋体" w:cs="宋体"/>
          <w:color w:val="auto"/>
          <w:spacing w:val="-1"/>
          <w:sz w:val="21"/>
          <w:szCs w:val="21"/>
        </w:rPr>
        <w:t xml:space="preserve"> </w:t>
      </w:r>
      <w:r>
        <w:rPr>
          <w:rFonts w:hint="eastAsia" w:ascii="宋体" w:hAnsi="宋体" w:eastAsia="宋体" w:cs="宋体"/>
          <w:color w:val="auto"/>
          <w:sz w:val="21"/>
          <w:szCs w:val="21"/>
        </w:rPr>
        <w:t>中标价：</w:t>
      </w:r>
      <w:r>
        <w:rPr>
          <w:rFonts w:hint="eastAsia" w:ascii="宋体" w:hAnsi="宋体" w:eastAsia="宋体" w:cs="宋体"/>
          <w:color w:val="auto"/>
          <w:sz w:val="21"/>
          <w:szCs w:val="21"/>
          <w:u w:val="none"/>
        </w:rPr>
        <w:t xml:space="preserve"> </w:t>
      </w:r>
      <w:r>
        <w:rPr>
          <w:rFonts w:hint="eastAsia" w:ascii="宋体" w:eastAsia="宋体" w:cs="宋体"/>
          <w:color w:val="auto"/>
          <w:sz w:val="21"/>
          <w:szCs w:val="21"/>
          <w:u w:val="single"/>
          <w:lang w:val="en-US" w:eastAsia="zh-CN"/>
        </w:rPr>
        <w:t xml:space="preserve">          </w:t>
      </w:r>
      <w:r>
        <w:rPr>
          <w:rFonts w:hint="eastAsia" w:ascii="宋体" w:hAnsi="宋体" w:eastAsia="宋体" w:cs="宋体"/>
          <w:color w:val="auto"/>
          <w:sz w:val="21"/>
          <w:szCs w:val="21"/>
        </w:rPr>
        <w:t>元。</w:t>
      </w:r>
    </w:p>
    <w:p>
      <w:pPr>
        <w:pStyle w:val="8"/>
        <w:tabs>
          <w:tab w:val="left" w:pos="2344"/>
        </w:tabs>
        <w:spacing w:before="132" w:beforeLines="0" w:afterLines="0"/>
        <w:ind w:left="424"/>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r>
        <w:rPr>
          <w:rFonts w:hint="eastAsia" w:ascii="宋体" w:hAnsi="宋体" w:eastAsia="宋体" w:cs="宋体"/>
          <w:color w:val="auto"/>
          <w:spacing w:val="-1"/>
          <w:sz w:val="21"/>
          <w:szCs w:val="21"/>
        </w:rPr>
        <w:t xml:space="preserve"> </w:t>
      </w:r>
      <w:r>
        <w:rPr>
          <w:rFonts w:hint="eastAsia" w:ascii="宋体" w:hAnsi="宋体" w:eastAsia="宋体" w:cs="宋体"/>
          <w:color w:val="auto"/>
          <w:sz w:val="21"/>
          <w:szCs w:val="21"/>
        </w:rPr>
        <w:t>工期：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rPr>
        <w:t>日历天。</w:t>
      </w:r>
    </w:p>
    <w:p>
      <w:pPr>
        <w:pStyle w:val="8"/>
        <w:tabs>
          <w:tab w:val="left" w:pos="5225"/>
        </w:tabs>
        <w:spacing w:before="132" w:beforeLines="0" w:afterLines="0" w:line="345" w:lineRule="auto"/>
        <w:ind w:left="904" w:right="3539"/>
        <w:rPr>
          <w:rFonts w:hint="eastAsia" w:ascii="宋体" w:hAnsi="宋体" w:eastAsia="宋体" w:cs="宋体"/>
          <w:color w:val="auto"/>
          <w:sz w:val="21"/>
          <w:szCs w:val="21"/>
        </w:rPr>
      </w:pPr>
      <w:r>
        <w:rPr>
          <w:rFonts w:hint="eastAsia" w:ascii="宋体" w:hAnsi="宋体" w:eastAsia="宋体" w:cs="宋体"/>
          <w:color w:val="auto"/>
          <w:sz w:val="21"/>
          <w:szCs w:val="21"/>
        </w:rPr>
        <w:t>工程质量：符合</w:t>
      </w:r>
      <w:r>
        <w:rPr>
          <w:rFonts w:hint="eastAsia" w:ascii="宋体" w:hAnsi="宋体" w:eastAsia="宋体" w:cs="宋体"/>
          <w:color w:val="auto"/>
          <w:sz w:val="21"/>
          <w:szCs w:val="21"/>
          <w:u w:val="single"/>
        </w:rPr>
        <w:t xml:space="preserve"> </w:t>
      </w:r>
      <w:r>
        <w:rPr>
          <w:rFonts w:hint="eastAsia" w:ascii="宋体" w:eastAsia="宋体" w:cs="宋体"/>
          <w:color w:val="auto"/>
          <w:sz w:val="21"/>
          <w:szCs w:val="21"/>
          <w:u w:val="single"/>
          <w:lang w:val="en-US" w:eastAsia="zh-CN"/>
        </w:rPr>
        <w:t xml:space="preserve">      </w:t>
      </w:r>
      <w:r>
        <w:rPr>
          <w:rFonts w:hint="eastAsia" w:ascii="宋体" w:hAnsi="宋体" w:eastAsia="宋体" w:cs="宋体"/>
          <w:color w:val="auto"/>
          <w:sz w:val="21"/>
          <w:szCs w:val="21"/>
        </w:rPr>
        <w:t>标准。</w:t>
      </w:r>
    </w:p>
    <w:p>
      <w:pPr>
        <w:pStyle w:val="8"/>
        <w:tabs>
          <w:tab w:val="left" w:pos="5225"/>
        </w:tabs>
        <w:spacing w:before="132" w:beforeLines="0" w:afterLines="0" w:line="345" w:lineRule="auto"/>
        <w:ind w:left="904" w:right="3539"/>
        <w:rPr>
          <w:rFonts w:hint="eastAsia" w:ascii="宋体" w:hAnsi="宋体" w:eastAsia="宋体" w:cs="宋体"/>
          <w:color w:val="auto"/>
          <w:sz w:val="21"/>
          <w:szCs w:val="21"/>
        </w:rPr>
      </w:pPr>
      <w:r>
        <w:rPr>
          <w:rFonts w:hint="eastAsia" w:ascii="宋体" w:hAnsi="宋体" w:eastAsia="宋体" w:cs="宋体"/>
          <w:color w:val="auto"/>
          <w:sz w:val="21"/>
          <w:szCs w:val="21"/>
        </w:rPr>
        <w:t>工程安全目标：</w:t>
      </w:r>
      <w:r>
        <w:rPr>
          <w:rFonts w:hint="eastAsia" w:ascii="宋体" w:hAnsi="宋体" w:eastAsia="宋体" w:cs="宋体"/>
          <w:color w:val="auto"/>
          <w:sz w:val="21"/>
          <w:szCs w:val="21"/>
          <w:u w:val="single"/>
        </w:rPr>
        <w:t xml:space="preserve"> </w:t>
      </w:r>
      <w:r>
        <w:rPr>
          <w:rFonts w:hint="eastAsia" w:ascii="宋体" w:eastAsia="宋体" w:cs="宋体"/>
          <w:color w:val="auto"/>
          <w:sz w:val="21"/>
          <w:szCs w:val="21"/>
          <w:u w:val="single"/>
          <w:lang w:val="en-US" w:eastAsia="zh-CN"/>
        </w:rPr>
        <w:t xml:space="preserve">         </w:t>
      </w:r>
      <w:r>
        <w:rPr>
          <w:rFonts w:hint="eastAsia" w:ascii="宋体" w:hAnsi="宋体" w:eastAsia="宋体" w:cs="宋体"/>
          <w:color w:val="auto"/>
          <w:sz w:val="21"/>
          <w:szCs w:val="21"/>
        </w:rPr>
        <w:t>。</w:t>
      </w:r>
    </w:p>
    <w:p>
      <w:pPr>
        <w:pStyle w:val="8"/>
        <w:tabs>
          <w:tab w:val="left" w:pos="3813"/>
        </w:tabs>
        <w:spacing w:beforeLines="0" w:afterLines="0" w:line="343" w:lineRule="auto"/>
        <w:ind w:left="933" w:right="459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项目经理：</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rPr>
        <w:t>（姓名</w:t>
      </w:r>
      <w:r>
        <w:rPr>
          <w:rFonts w:hint="eastAsia" w:ascii="宋体" w:hAnsi="宋体" w:eastAsia="宋体" w:cs="宋体"/>
          <w:color w:val="auto"/>
          <w:spacing w:val="-120"/>
          <w:sz w:val="21"/>
          <w:szCs w:val="21"/>
        </w:rPr>
        <w:t>）</w:t>
      </w:r>
      <w:r>
        <w:rPr>
          <w:rFonts w:hint="eastAsia" w:ascii="宋体" w:eastAsia="宋体" w:cs="宋体"/>
          <w:color w:val="auto"/>
          <w:sz w:val="21"/>
          <w:szCs w:val="21"/>
          <w:lang w:eastAsia="zh-CN"/>
        </w:rPr>
        <w:t>）。</w:t>
      </w:r>
    </w:p>
    <w:p>
      <w:pPr>
        <w:pStyle w:val="8"/>
        <w:tabs>
          <w:tab w:val="left" w:pos="3813"/>
        </w:tabs>
        <w:spacing w:beforeLines="0" w:afterLines="0" w:line="343" w:lineRule="auto"/>
        <w:ind w:left="933" w:right="4590"/>
        <w:rPr>
          <w:rFonts w:hint="eastAsia" w:ascii="宋体" w:eastAsia="宋体" w:cs="宋体"/>
          <w:color w:val="auto"/>
          <w:sz w:val="21"/>
          <w:szCs w:val="21"/>
          <w:lang w:eastAsia="zh-CN"/>
        </w:rPr>
      </w:pPr>
      <w:r>
        <w:rPr>
          <w:rFonts w:hint="eastAsia" w:ascii="宋体" w:hAnsi="宋体" w:eastAsia="宋体" w:cs="宋体"/>
          <w:color w:val="auto"/>
          <w:sz w:val="21"/>
          <w:szCs w:val="21"/>
        </w:rPr>
        <w:t>项目总工：</w:t>
      </w:r>
      <w:r>
        <w:rPr>
          <w:rFonts w:hint="eastAsia" w:ascii="宋体" w:eastAsia="宋体" w:cs="宋体"/>
          <w:color w:val="auto"/>
          <w:sz w:val="21"/>
          <w:szCs w:val="21"/>
          <w:u w:val="single"/>
          <w:lang w:val="en-US" w:eastAsia="zh-CN"/>
        </w:rPr>
        <w:t xml:space="preserve">                  </w:t>
      </w:r>
      <w:r>
        <w:rPr>
          <w:rFonts w:hint="eastAsia" w:ascii="宋体" w:eastAsia="宋体" w:cs="宋体"/>
          <w:color w:val="auto"/>
          <w:sz w:val="21"/>
          <w:szCs w:val="21"/>
          <w:lang w:eastAsia="zh-CN"/>
        </w:rPr>
        <w:t>（</w:t>
      </w:r>
      <w:r>
        <w:rPr>
          <w:rFonts w:hint="eastAsia" w:ascii="宋体" w:hAnsi="宋体" w:eastAsia="宋体" w:cs="宋体"/>
          <w:color w:val="auto"/>
          <w:sz w:val="21"/>
          <w:szCs w:val="21"/>
        </w:rPr>
        <w:t>姓名</w:t>
      </w:r>
      <w:r>
        <w:rPr>
          <w:rFonts w:hint="eastAsia" w:ascii="宋体" w:hAnsi="宋体" w:eastAsia="宋体" w:cs="宋体"/>
          <w:color w:val="auto"/>
          <w:spacing w:val="-120"/>
          <w:sz w:val="21"/>
          <w:szCs w:val="21"/>
        </w:rPr>
        <w:t>）</w:t>
      </w:r>
      <w:r>
        <w:rPr>
          <w:rFonts w:hint="eastAsia" w:ascii="宋体" w:eastAsia="宋体" w:cs="宋体"/>
          <w:color w:val="auto"/>
          <w:sz w:val="21"/>
          <w:szCs w:val="21"/>
          <w:lang w:eastAsia="zh-CN"/>
        </w:rPr>
        <w:t>）。</w:t>
      </w:r>
    </w:p>
    <w:p>
      <w:pPr>
        <w:pStyle w:val="8"/>
        <w:tabs>
          <w:tab w:val="left" w:pos="3813"/>
        </w:tabs>
        <w:spacing w:beforeLines="0" w:afterLines="0" w:line="343" w:lineRule="auto"/>
        <w:ind w:left="933" w:right="4590"/>
        <w:rPr>
          <w:rFonts w:hint="eastAsia" w:ascii="宋体" w:eastAsia="宋体" w:cs="宋体"/>
          <w:color w:val="auto"/>
          <w:sz w:val="21"/>
          <w:szCs w:val="21"/>
          <w:lang w:eastAsia="zh-CN"/>
        </w:rPr>
      </w:pPr>
    </w:p>
    <w:p>
      <w:pPr>
        <w:pStyle w:val="8"/>
        <w:keepNext w:val="0"/>
        <w:keepLines w:val="0"/>
        <w:pageBreakBefore w:val="0"/>
        <w:widowControl w:val="0"/>
        <w:tabs>
          <w:tab w:val="left" w:pos="3813"/>
        </w:tabs>
        <w:kinsoku/>
        <w:wordWrap/>
        <w:overflowPunct/>
        <w:topLinePunct w:val="0"/>
        <w:autoSpaceDE/>
        <w:autoSpaceDN/>
        <w:bidi w:val="0"/>
        <w:adjustRightInd/>
        <w:snapToGrid/>
        <w:spacing w:beforeLines="0" w:afterLines="0" w:line="360" w:lineRule="auto"/>
        <w:ind w:left="420" w:leftChars="200" w:right="0" w:firstLine="420" w:firstLineChars="200"/>
        <w:textAlignment w:val="auto"/>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请你方在接到本通知书后的</w:t>
      </w:r>
      <w:r>
        <w:rPr>
          <w:rFonts w:hint="eastAsia" w:ascii="宋体" w:eastAsia="宋体" w:cs="宋体"/>
          <w:color w:val="auto"/>
          <w:sz w:val="21"/>
          <w:szCs w:val="21"/>
          <w:u w:val="single"/>
          <w:lang w:val="en-US" w:eastAsia="zh-CN"/>
        </w:rPr>
        <w:t xml:space="preserve">          </w:t>
      </w:r>
      <w:r>
        <w:rPr>
          <w:rFonts w:hint="eastAsia" w:ascii="宋体" w:eastAsia="宋体" w:cs="宋体"/>
          <w:color w:val="auto"/>
          <w:sz w:val="21"/>
          <w:szCs w:val="21"/>
          <w:u w:val="none"/>
          <w:lang w:val="en-US" w:eastAsia="zh-CN"/>
        </w:rPr>
        <w:t>日内到</w:t>
      </w:r>
      <w:r>
        <w:rPr>
          <w:rFonts w:hint="eastAsia" w:ascii="宋体" w:eastAsia="宋体" w:cs="宋体"/>
          <w:color w:val="auto"/>
          <w:sz w:val="21"/>
          <w:szCs w:val="21"/>
          <w:u w:val="single"/>
          <w:lang w:val="en-US" w:eastAsia="zh-CN"/>
        </w:rPr>
        <w:t xml:space="preserve">         </w:t>
      </w:r>
      <w:r>
        <w:rPr>
          <w:rFonts w:hint="eastAsia" w:ascii="宋体" w:eastAsia="宋体" w:cs="宋体"/>
          <w:color w:val="auto"/>
          <w:sz w:val="21"/>
          <w:szCs w:val="21"/>
          <w:u w:val="none"/>
          <w:lang w:val="en-US" w:eastAsia="zh-CN"/>
        </w:rPr>
        <w:t>（指定地点）与我方签订施工承包合同，并按照招标文件第二章“投标人须知”第 7.7 款规定向我方提交履约保证金。</w:t>
      </w:r>
    </w:p>
    <w:p>
      <w:pPr>
        <w:pStyle w:val="8"/>
        <w:spacing w:beforeLines="0" w:afterLines="0"/>
        <w:ind w:left="424"/>
        <w:rPr>
          <w:rFonts w:hint="eastAsia" w:ascii="宋体" w:hAnsi="宋体" w:eastAsia="宋体" w:cs="宋体"/>
          <w:color w:val="auto"/>
          <w:sz w:val="21"/>
          <w:szCs w:val="21"/>
        </w:rPr>
      </w:pPr>
      <w:r>
        <w:rPr>
          <w:rFonts w:hint="eastAsia" w:ascii="宋体" w:hAnsi="宋体" w:eastAsia="宋体" w:cs="宋体"/>
          <w:color w:val="auto"/>
          <w:sz w:val="21"/>
          <w:szCs w:val="21"/>
        </w:rPr>
        <w:t xml:space="preserve">    特此通知。</w:t>
      </w:r>
    </w:p>
    <w:p>
      <w:pPr>
        <w:pStyle w:val="8"/>
        <w:spacing w:beforeLines="0" w:afterLines="0"/>
        <w:rPr>
          <w:rFonts w:hint="eastAsia" w:ascii="宋体" w:hAnsi="宋体" w:eastAsia="宋体" w:cs="宋体"/>
          <w:color w:val="auto"/>
          <w:sz w:val="21"/>
          <w:szCs w:val="21"/>
        </w:rPr>
      </w:pPr>
    </w:p>
    <w:p>
      <w:pPr>
        <w:pStyle w:val="8"/>
        <w:spacing w:beforeLines="0" w:afterLines="0"/>
        <w:rPr>
          <w:rFonts w:hint="eastAsia" w:ascii="宋体" w:hAnsi="宋体" w:eastAsia="宋体" w:cs="宋体"/>
          <w:color w:val="auto"/>
          <w:sz w:val="21"/>
          <w:szCs w:val="21"/>
        </w:rPr>
      </w:pPr>
    </w:p>
    <w:p>
      <w:pPr>
        <w:pStyle w:val="8"/>
        <w:spacing w:beforeLines="0" w:afterLines="0"/>
        <w:rPr>
          <w:rFonts w:hint="eastAsia" w:ascii="宋体" w:hAnsi="宋体" w:eastAsia="宋体" w:cs="宋体"/>
          <w:color w:val="auto"/>
          <w:sz w:val="21"/>
          <w:szCs w:val="21"/>
        </w:rPr>
      </w:pPr>
    </w:p>
    <w:p>
      <w:pPr>
        <w:pStyle w:val="8"/>
        <w:tabs>
          <w:tab w:val="left" w:pos="7726"/>
        </w:tabs>
        <w:spacing w:before="215" w:beforeLines="0" w:afterLines="0" w:line="468" w:lineRule="auto"/>
        <w:ind w:left="4125" w:right="317"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招标人：</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rPr>
        <w:t>（盖单位章）</w:t>
      </w:r>
    </w:p>
    <w:p>
      <w:pPr>
        <w:pStyle w:val="8"/>
        <w:tabs>
          <w:tab w:val="left" w:pos="7726"/>
        </w:tabs>
        <w:spacing w:before="215" w:beforeLines="0" w:afterLines="0" w:line="468" w:lineRule="auto"/>
        <w:ind w:left="4125" w:right="317"/>
        <w:rPr>
          <w:rFonts w:hint="eastAsia" w:ascii="宋体" w:hAnsi="宋体" w:eastAsia="宋体" w:cs="宋体"/>
          <w:color w:val="auto"/>
          <w:sz w:val="21"/>
          <w:szCs w:val="21"/>
        </w:rPr>
      </w:pPr>
      <w:r>
        <w:rPr>
          <w:rFonts w:hint="eastAsia" w:ascii="宋体" w:hAnsi="宋体" w:eastAsia="宋体" w:cs="宋体"/>
          <w:color w:val="auto"/>
          <w:sz w:val="21"/>
          <w:szCs w:val="21"/>
        </w:rPr>
        <w:t xml:space="preserve"> 招标代理机构：</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rPr>
        <w:t>（盖单位章）</w:t>
      </w:r>
    </w:p>
    <w:p>
      <w:pPr>
        <w:tabs>
          <w:tab w:val="left" w:pos="6200"/>
        </w:tabs>
        <w:spacing w:line="220" w:lineRule="auto"/>
        <w:ind w:left="5569"/>
        <w:rPr>
          <w:rFonts w:hint="eastAsia" w:ascii="宋体" w:hAnsi="宋体" w:eastAsia="宋体" w:cs="宋体"/>
          <w:color w:val="auto"/>
          <w:sz w:val="21"/>
          <w:szCs w:val="21"/>
        </w:rPr>
      </w:pP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cs="宋体"/>
          <w:color w:val="auto"/>
          <w:sz w:val="21"/>
          <w:szCs w:val="21"/>
          <w:u w:val="single"/>
          <w:lang w:val="en-US" w:eastAsia="zh-CN"/>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cs="宋体"/>
          <w:color w:val="auto"/>
          <w:sz w:val="21"/>
          <w:szCs w:val="21"/>
          <w:u w:val="single"/>
          <w:lang w:val="en-US" w:eastAsia="zh-CN"/>
        </w:rPr>
        <w:t xml:space="preserve">   </w:t>
      </w:r>
      <w:r>
        <w:rPr>
          <w:rFonts w:hint="eastAsia" w:ascii="宋体" w:hAnsi="宋体" w:eastAsia="宋体" w:cs="宋体"/>
          <w:color w:val="auto"/>
          <w:sz w:val="21"/>
          <w:szCs w:val="21"/>
        </w:rPr>
        <w:t>日</w:t>
      </w:r>
    </w:p>
    <w:p>
      <w:pPr>
        <w:spacing w:line="220" w:lineRule="auto"/>
        <w:rPr>
          <w:rFonts w:ascii="宋体" w:hAnsi="宋体" w:eastAsia="宋体" w:cs="宋体"/>
          <w:sz w:val="21"/>
          <w:szCs w:val="21"/>
        </w:rPr>
        <w:sectPr>
          <w:footerReference r:id="rId12" w:type="default"/>
          <w:pgSz w:w="11907" w:h="16841"/>
          <w:pgMar w:top="1431" w:right="1157" w:bottom="1216" w:left="1080" w:header="0" w:footer="1055" w:gutter="0"/>
          <w:pgNumType w:fmt="decimal"/>
          <w:cols w:space="720" w:num="1"/>
        </w:sectPr>
      </w:pPr>
    </w:p>
    <w:p>
      <w:pPr>
        <w:spacing w:before="68" w:line="220" w:lineRule="auto"/>
        <w:ind w:left="236"/>
        <w:rPr>
          <w:rFonts w:ascii="宋体" w:hAnsi="宋体" w:eastAsia="宋体" w:cs="宋体"/>
          <w:sz w:val="21"/>
          <w:szCs w:val="21"/>
        </w:rPr>
      </w:pPr>
      <w:r>
        <w:rPr>
          <w:rFonts w:ascii="宋体" w:hAnsi="宋体" w:eastAsia="宋体" w:cs="宋体"/>
          <w:spacing w:val="-5"/>
          <w:sz w:val="21"/>
          <w:szCs w:val="21"/>
          <w14:textOutline w14:w="3831" w14:cap="flat" w14:cmpd="sng">
            <w14:solidFill>
              <w14:srgbClr w14:val="000000"/>
            </w14:solidFill>
            <w14:prstDash w14:val="solid"/>
            <w14:miter w14:val="0"/>
          </w14:textOutline>
        </w:rPr>
        <w:t>附件五中标结果通知书</w:t>
      </w:r>
    </w:p>
    <w:p>
      <w:pPr>
        <w:pStyle w:val="8"/>
        <w:spacing w:line="267" w:lineRule="auto"/>
      </w:pPr>
    </w:p>
    <w:p>
      <w:pPr>
        <w:pStyle w:val="8"/>
        <w:spacing w:line="267" w:lineRule="auto"/>
      </w:pPr>
    </w:p>
    <w:p>
      <w:pPr>
        <w:pStyle w:val="8"/>
        <w:spacing w:line="268" w:lineRule="auto"/>
      </w:pPr>
    </w:p>
    <w:p>
      <w:pPr>
        <w:spacing w:before="68" w:line="220" w:lineRule="auto"/>
        <w:ind w:left="4164"/>
        <w:rPr>
          <w:rFonts w:ascii="宋体" w:hAnsi="宋体" w:eastAsia="宋体" w:cs="宋体"/>
          <w:sz w:val="24"/>
          <w:szCs w:val="24"/>
        </w:rPr>
      </w:pPr>
      <w:r>
        <w:rPr>
          <w:rFonts w:ascii="宋体" w:hAnsi="宋体" w:eastAsia="宋体" w:cs="宋体"/>
          <w:spacing w:val="-3"/>
          <w:sz w:val="24"/>
          <w:szCs w:val="24"/>
          <w14:textOutline w14:w="3831" w14:cap="flat" w14:cmpd="sng">
            <w14:solidFill>
              <w14:srgbClr w14:val="000000"/>
            </w14:solidFill>
            <w14:prstDash w14:val="solid"/>
            <w14:miter w14:val="0"/>
          </w14:textOutline>
        </w:rPr>
        <w:t>中标结果通知书</w:t>
      </w:r>
    </w:p>
    <w:p>
      <w:pPr>
        <w:pStyle w:val="8"/>
        <w:spacing w:line="247" w:lineRule="auto"/>
      </w:pPr>
    </w:p>
    <w:p>
      <w:pPr>
        <w:pStyle w:val="8"/>
        <w:tabs>
          <w:tab w:val="left" w:pos="2142"/>
          <w:tab w:val="left" w:pos="4319"/>
          <w:tab w:val="left" w:pos="7440"/>
          <w:tab w:val="left" w:pos="8619"/>
        </w:tabs>
        <w:spacing w:before="1" w:beforeLines="0" w:afterLines="0" w:line="343" w:lineRule="auto"/>
        <w:ind w:left="424" w:right="384" w:firstLine="480" w:firstLineChars="200"/>
        <w:jc w:val="both"/>
        <w:rPr>
          <w:rFonts w:hint="eastAsia" w:ascii="宋体" w:hAnsi="宋体" w:eastAsia="宋体" w:cs="宋体"/>
          <w:color w:val="auto"/>
          <w:sz w:val="24"/>
          <w:szCs w:val="24"/>
        </w:rPr>
      </w:pPr>
    </w:p>
    <w:p>
      <w:pPr>
        <w:pStyle w:val="8"/>
        <w:tabs>
          <w:tab w:val="left" w:pos="2142"/>
          <w:tab w:val="left" w:pos="4319"/>
          <w:tab w:val="left" w:pos="7440"/>
          <w:tab w:val="left" w:pos="8619"/>
        </w:tabs>
        <w:spacing w:before="1" w:beforeLines="0" w:afterLines="0" w:line="343" w:lineRule="auto"/>
        <w:ind w:left="424" w:right="384"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（未中标人名称）：</w:t>
      </w:r>
    </w:p>
    <w:p>
      <w:pPr>
        <w:pStyle w:val="8"/>
        <w:spacing w:line="247" w:lineRule="auto"/>
        <w:rPr>
          <w:color w:val="auto"/>
        </w:rPr>
      </w:pPr>
    </w:p>
    <w:p>
      <w:pPr>
        <w:pStyle w:val="8"/>
        <w:spacing w:line="248" w:lineRule="auto"/>
        <w:rPr>
          <w:rFonts w:hint="eastAsia" w:ascii="宋体" w:hAnsi="宋体" w:eastAsia="宋体" w:cs="宋体"/>
          <w:color w:val="auto"/>
        </w:rPr>
      </w:pPr>
    </w:p>
    <w:p>
      <w:pPr>
        <w:pStyle w:val="8"/>
        <w:tabs>
          <w:tab w:val="left" w:pos="2142"/>
          <w:tab w:val="left" w:pos="4319"/>
          <w:tab w:val="left" w:pos="7440"/>
          <w:tab w:val="left" w:pos="8619"/>
        </w:tabs>
        <w:spacing w:before="1" w:beforeLines="0" w:afterLines="0" w:line="343" w:lineRule="auto"/>
        <w:ind w:left="424" w:right="384"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我方已接受</w:t>
      </w:r>
      <w:r>
        <w:rPr>
          <w:rFonts w:hint="eastAsia" w:ascii="宋体" w:hAnsi="宋体" w:eastAsia="宋体" w:cs="宋体"/>
          <w:color w:val="auto"/>
          <w:sz w:val="24"/>
          <w:szCs w:val="24"/>
          <w:u w:val="single"/>
        </w:rPr>
        <w:tab/>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（中标人名称</w:t>
      </w:r>
      <w:r>
        <w:rPr>
          <w:rFonts w:hint="eastAsia" w:ascii="宋体" w:hAnsi="宋体" w:eastAsia="宋体" w:cs="宋体"/>
          <w:color w:val="auto"/>
          <w:spacing w:val="-22"/>
          <w:sz w:val="24"/>
          <w:szCs w:val="24"/>
        </w:rPr>
        <w:t>）</w:t>
      </w:r>
      <w:r>
        <w:rPr>
          <w:rFonts w:hint="eastAsia" w:ascii="宋体" w:hAnsi="宋体" w:eastAsia="宋体" w:cs="宋体"/>
          <w:color w:val="auto"/>
          <w:sz w:val="24"/>
          <w:szCs w:val="24"/>
        </w:rPr>
        <w:t>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（投标日期</w:t>
      </w:r>
      <w:r>
        <w:rPr>
          <w:rFonts w:hint="eastAsia" w:ascii="宋体" w:hAnsi="宋体" w:eastAsia="宋体" w:cs="宋体"/>
          <w:color w:val="auto"/>
          <w:spacing w:val="-22"/>
          <w:sz w:val="24"/>
          <w:szCs w:val="24"/>
        </w:rPr>
        <w:t>）</w:t>
      </w:r>
      <w:r>
        <w:rPr>
          <w:rFonts w:hint="eastAsia" w:ascii="宋体" w:hAnsi="宋体" w:eastAsia="宋体" w:cs="宋体"/>
          <w:color w:val="auto"/>
          <w:sz w:val="24"/>
          <w:szCs w:val="24"/>
        </w:rPr>
        <w:t>所递交的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项目名称）施工投标文件</w:t>
      </w:r>
      <w:r>
        <w:rPr>
          <w:rFonts w:hint="eastAsia" w:ascii="宋体" w:hAnsi="宋体" w:eastAsia="宋体" w:cs="宋体"/>
          <w:color w:val="auto"/>
          <w:spacing w:val="-82"/>
          <w:sz w:val="24"/>
          <w:szCs w:val="24"/>
        </w:rPr>
        <w:t>，</w:t>
      </w:r>
      <w:r>
        <w:rPr>
          <w:rFonts w:hint="eastAsia" w:ascii="宋体" w:hAnsi="宋体" w:eastAsia="宋体" w:cs="宋体"/>
          <w:color w:val="auto"/>
          <w:sz w:val="24"/>
          <w:szCs w:val="24"/>
        </w:rPr>
        <w:t>确定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（中标人名称）为中标人。</w:t>
      </w:r>
    </w:p>
    <w:p>
      <w:pPr>
        <w:pStyle w:val="8"/>
        <w:spacing w:before="1" w:beforeLines="0" w:afterLines="0"/>
        <w:ind w:left="424"/>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8"/>
        <w:spacing w:before="132" w:beforeLines="0" w:afterLines="0"/>
        <w:ind w:left="424"/>
        <w:rPr>
          <w:rFonts w:hint="eastAsia" w:ascii="宋体" w:hAnsi="宋体" w:eastAsia="宋体" w:cs="宋体"/>
          <w:color w:val="auto"/>
          <w:sz w:val="24"/>
          <w:szCs w:val="24"/>
        </w:rPr>
      </w:pPr>
      <w:r>
        <w:rPr>
          <w:rFonts w:hint="eastAsia" w:ascii="宋体" w:hAnsi="宋体" w:eastAsia="宋体" w:cs="宋体"/>
          <w:color w:val="auto"/>
          <w:sz w:val="24"/>
          <w:szCs w:val="24"/>
        </w:rPr>
        <w:t xml:space="preserve">    感谢你单位对招标项目的参与！</w:t>
      </w:r>
    </w:p>
    <w:p>
      <w:pPr>
        <w:pStyle w:val="8"/>
        <w:spacing w:beforeLines="0" w:afterLines="0"/>
        <w:rPr>
          <w:rFonts w:hint="eastAsia" w:ascii="宋体" w:hAnsi="宋体" w:eastAsia="宋体" w:cs="宋体"/>
          <w:color w:val="auto"/>
          <w:sz w:val="24"/>
          <w:szCs w:val="24"/>
        </w:rPr>
      </w:pPr>
    </w:p>
    <w:p>
      <w:pPr>
        <w:pStyle w:val="8"/>
        <w:spacing w:beforeLines="0" w:afterLines="0"/>
        <w:rPr>
          <w:rFonts w:hint="eastAsia" w:ascii="宋体" w:hAnsi="宋体" w:eastAsia="宋体" w:cs="宋体"/>
          <w:color w:val="auto"/>
          <w:sz w:val="24"/>
          <w:szCs w:val="24"/>
        </w:rPr>
      </w:pPr>
    </w:p>
    <w:p>
      <w:pPr>
        <w:pStyle w:val="8"/>
        <w:spacing w:beforeLines="0" w:afterLines="0"/>
        <w:rPr>
          <w:rFonts w:hint="eastAsia" w:ascii="宋体" w:hAnsi="宋体" w:eastAsia="宋体" w:cs="宋体"/>
          <w:color w:val="auto"/>
          <w:sz w:val="24"/>
          <w:szCs w:val="24"/>
        </w:rPr>
      </w:pPr>
    </w:p>
    <w:p>
      <w:pPr>
        <w:pStyle w:val="8"/>
        <w:spacing w:beforeLines="0" w:afterLines="0"/>
        <w:rPr>
          <w:rFonts w:hint="eastAsia" w:ascii="宋体" w:hAnsi="宋体" w:eastAsia="宋体" w:cs="宋体"/>
          <w:color w:val="auto"/>
          <w:sz w:val="24"/>
          <w:szCs w:val="24"/>
        </w:rPr>
      </w:pPr>
    </w:p>
    <w:p>
      <w:pPr>
        <w:pStyle w:val="8"/>
        <w:spacing w:before="4" w:beforeLines="0" w:afterLines="0"/>
        <w:rPr>
          <w:rFonts w:hint="eastAsia" w:ascii="宋体" w:hAnsi="宋体" w:eastAsia="宋体" w:cs="宋体"/>
          <w:color w:val="auto"/>
          <w:sz w:val="31"/>
          <w:szCs w:val="24"/>
        </w:rPr>
      </w:pPr>
    </w:p>
    <w:p>
      <w:pPr>
        <w:pStyle w:val="8"/>
        <w:tabs>
          <w:tab w:val="left" w:pos="7726"/>
        </w:tabs>
        <w:spacing w:before="1" w:beforeLines="0" w:afterLines="0" w:line="468" w:lineRule="auto"/>
        <w:ind w:left="4125" w:right="317"/>
        <w:rPr>
          <w:rFonts w:hint="eastAsia" w:ascii="宋体" w:hAnsi="宋体" w:eastAsia="宋体" w:cs="宋体"/>
          <w:color w:val="auto"/>
          <w:sz w:val="24"/>
          <w:szCs w:val="24"/>
        </w:rPr>
      </w:pPr>
      <w:r>
        <w:rPr>
          <w:rFonts w:hint="eastAsia" w:ascii="宋体" w:hAnsi="宋体" w:eastAsia="宋体" w:cs="宋体"/>
          <w:color w:val="auto"/>
          <w:sz w:val="24"/>
          <w:szCs w:val="24"/>
        </w:rPr>
        <w:t>招标人：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 xml:space="preserve">（盖单位章） </w:t>
      </w:r>
    </w:p>
    <w:p>
      <w:pPr>
        <w:pStyle w:val="8"/>
        <w:tabs>
          <w:tab w:val="left" w:pos="7726"/>
        </w:tabs>
        <w:spacing w:before="1" w:beforeLines="0" w:afterLines="0" w:line="468" w:lineRule="auto"/>
        <w:ind w:left="4125" w:right="317"/>
        <w:rPr>
          <w:rFonts w:hint="eastAsia" w:ascii="宋体" w:hAnsi="宋体" w:eastAsia="宋体" w:cs="宋体"/>
          <w:color w:val="auto"/>
          <w:sz w:val="24"/>
          <w:szCs w:val="24"/>
        </w:rPr>
      </w:pPr>
      <w:r>
        <w:rPr>
          <w:rFonts w:hint="eastAsia" w:ascii="宋体" w:hAnsi="宋体" w:eastAsia="宋体" w:cs="宋体"/>
          <w:color w:val="auto"/>
          <w:sz w:val="24"/>
          <w:szCs w:val="24"/>
        </w:rPr>
        <w:t>招标代理机构：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（盖单位章）</w:t>
      </w:r>
    </w:p>
    <w:p>
      <w:pPr>
        <w:tabs>
          <w:tab w:val="left" w:pos="6305"/>
        </w:tabs>
        <w:spacing w:before="157" w:line="221" w:lineRule="auto"/>
        <w:ind w:left="5675"/>
        <w:rPr>
          <w:rFonts w:hint="eastAsia" w:ascii="宋体" w:hAnsi="宋体" w:eastAsia="宋体" w:cs="宋体"/>
          <w:color w:val="auto"/>
          <w:sz w:val="21"/>
          <w:szCs w:val="21"/>
        </w:rPr>
      </w:pP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u w:val="single"/>
        </w:rPr>
        <w:tab/>
      </w:r>
      <w:r>
        <w:rPr>
          <w:rFonts w:hint="eastAsia" w:ascii="宋体" w:hAnsi="宋体" w:eastAsia="宋体" w:cs="宋体"/>
          <w:color w:val="auto"/>
          <w:sz w:val="22"/>
          <w:szCs w:val="22"/>
        </w:rPr>
        <w:t>年</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u w:val="single"/>
        </w:rPr>
        <w:tab/>
      </w:r>
      <w:r>
        <w:rPr>
          <w:rFonts w:hint="eastAsia" w:ascii="宋体" w:hAnsi="宋体" w:eastAsia="宋体" w:cs="宋体"/>
          <w:color w:val="auto"/>
          <w:sz w:val="22"/>
          <w:szCs w:val="22"/>
        </w:rPr>
        <w:t>月</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u w:val="single"/>
        </w:rPr>
        <w:tab/>
      </w:r>
      <w:r>
        <w:rPr>
          <w:rFonts w:hint="eastAsia" w:ascii="宋体" w:hAnsi="宋体" w:eastAsia="宋体" w:cs="宋体"/>
          <w:color w:val="auto"/>
          <w:sz w:val="22"/>
          <w:szCs w:val="22"/>
        </w:rPr>
        <w:t>日</w:t>
      </w:r>
    </w:p>
    <w:p>
      <w:pPr>
        <w:spacing w:line="221" w:lineRule="auto"/>
        <w:rPr>
          <w:rFonts w:hint="eastAsia" w:ascii="宋体" w:hAnsi="宋体" w:eastAsia="宋体" w:cs="宋体"/>
          <w:sz w:val="21"/>
          <w:szCs w:val="21"/>
        </w:rPr>
        <w:sectPr>
          <w:footerReference r:id="rId13" w:type="default"/>
          <w:pgSz w:w="11907" w:h="16841"/>
          <w:pgMar w:top="1431" w:right="1075" w:bottom="1216" w:left="1080" w:header="0" w:footer="1055" w:gutter="0"/>
          <w:pgNumType w:fmt="decimal"/>
          <w:cols w:space="720" w:num="1"/>
        </w:sectPr>
      </w:pPr>
    </w:p>
    <w:p>
      <w:pPr>
        <w:spacing w:before="68" w:line="220" w:lineRule="auto"/>
        <w:ind w:left="236"/>
        <w:rPr>
          <w:rFonts w:ascii="宋体" w:hAnsi="宋体" w:eastAsia="宋体" w:cs="宋体"/>
          <w:sz w:val="21"/>
          <w:szCs w:val="21"/>
        </w:rPr>
      </w:pPr>
      <w:r>
        <w:rPr>
          <w:rFonts w:ascii="宋体" w:hAnsi="宋体" w:eastAsia="宋体" w:cs="宋体"/>
          <w:spacing w:val="-2"/>
          <w:sz w:val="21"/>
          <w:szCs w:val="21"/>
          <w14:textOutline w14:w="3831" w14:cap="flat" w14:cmpd="sng">
            <w14:solidFill>
              <w14:srgbClr w14:val="000000"/>
            </w14:solidFill>
            <w14:prstDash w14:val="solid"/>
            <w14:miter w14:val="0"/>
          </w14:textOutline>
        </w:rPr>
        <w:t>附件六</w:t>
      </w:r>
      <w:r>
        <w:rPr>
          <w:rFonts w:hint="eastAsia" w:ascii="宋体" w:hAnsi="宋体" w:cs="宋体"/>
          <w:spacing w:val="-2"/>
          <w:sz w:val="21"/>
          <w:szCs w:val="21"/>
          <w:lang w:val="en-US" w:eastAsia="zh-CN"/>
          <w14:textOutline w14:w="3831" w14:cap="flat" w14:cmpd="sng">
            <w14:solidFill>
              <w14:srgbClr w14:val="000000"/>
            </w14:solidFill>
            <w14:prstDash w14:val="solid"/>
            <w14:miter w14:val="0"/>
          </w14:textOutline>
        </w:rPr>
        <w:t xml:space="preserve">  </w:t>
      </w:r>
      <w:r>
        <w:rPr>
          <w:rFonts w:ascii="宋体" w:hAnsi="宋体" w:eastAsia="宋体" w:cs="宋体"/>
          <w:spacing w:val="-2"/>
          <w:sz w:val="21"/>
          <w:szCs w:val="21"/>
          <w14:textOutline w14:w="3831" w14:cap="flat" w14:cmpd="sng">
            <w14:solidFill>
              <w14:srgbClr w14:val="000000"/>
            </w14:solidFill>
            <w14:prstDash w14:val="solid"/>
            <w14:miter w14:val="0"/>
          </w14:textOutline>
        </w:rPr>
        <w:t>确认通知</w:t>
      </w:r>
    </w:p>
    <w:p>
      <w:pPr>
        <w:pStyle w:val="8"/>
        <w:spacing w:line="267" w:lineRule="auto"/>
      </w:pPr>
    </w:p>
    <w:p>
      <w:pPr>
        <w:pStyle w:val="8"/>
        <w:spacing w:line="267" w:lineRule="auto"/>
      </w:pPr>
    </w:p>
    <w:p>
      <w:pPr>
        <w:pStyle w:val="8"/>
        <w:spacing w:line="268" w:lineRule="auto"/>
      </w:pPr>
    </w:p>
    <w:p>
      <w:pPr>
        <w:spacing w:before="68" w:line="221" w:lineRule="auto"/>
        <w:ind w:left="4461"/>
        <w:rPr>
          <w:rFonts w:ascii="宋体" w:hAnsi="宋体" w:eastAsia="宋体" w:cs="宋体"/>
          <w:sz w:val="24"/>
          <w:szCs w:val="24"/>
        </w:rPr>
      </w:pPr>
      <w:r>
        <w:rPr>
          <w:rFonts w:ascii="宋体" w:hAnsi="宋体" w:eastAsia="宋体" w:cs="宋体"/>
          <w:spacing w:val="-1"/>
          <w:sz w:val="24"/>
          <w:szCs w:val="24"/>
          <w14:textOutline w14:w="3831" w14:cap="flat" w14:cmpd="sng">
            <w14:solidFill>
              <w14:srgbClr w14:val="000000"/>
            </w14:solidFill>
            <w14:prstDash w14:val="solid"/>
            <w14:miter w14:val="0"/>
          </w14:textOutline>
        </w:rPr>
        <w:t>确认通知</w:t>
      </w:r>
    </w:p>
    <w:p>
      <w:pPr>
        <w:pStyle w:val="8"/>
        <w:spacing w:line="246" w:lineRule="auto"/>
      </w:pPr>
    </w:p>
    <w:p>
      <w:pPr>
        <w:pStyle w:val="8"/>
        <w:spacing w:line="247" w:lineRule="auto"/>
      </w:pPr>
    </w:p>
    <w:p>
      <w:pPr>
        <w:tabs>
          <w:tab w:val="left" w:pos="1261"/>
        </w:tabs>
        <w:spacing w:before="68" w:line="221" w:lineRule="auto"/>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3"/>
          <w:sz w:val="21"/>
          <w:szCs w:val="21"/>
        </w:rPr>
        <w:t>（招标人名称</w:t>
      </w:r>
      <w:r>
        <w:rPr>
          <w:rFonts w:ascii="宋体" w:hAnsi="宋体" w:eastAsia="宋体" w:cs="宋体"/>
          <w:spacing w:val="-7"/>
          <w:sz w:val="21"/>
          <w:szCs w:val="21"/>
        </w:rPr>
        <w:t>）：</w:t>
      </w:r>
    </w:p>
    <w:p>
      <w:pPr>
        <w:pStyle w:val="8"/>
        <w:spacing w:line="247" w:lineRule="auto"/>
      </w:pPr>
    </w:p>
    <w:p>
      <w:pPr>
        <w:pStyle w:val="8"/>
        <w:spacing w:line="248" w:lineRule="auto"/>
      </w:pPr>
    </w:p>
    <w:p>
      <w:pPr>
        <w:pStyle w:val="8"/>
        <w:tabs>
          <w:tab w:val="left" w:pos="2471"/>
          <w:tab w:val="left" w:pos="6811"/>
        </w:tabs>
        <w:spacing w:beforeLines="0" w:afterLines="0" w:line="422" w:lineRule="auto"/>
        <w:ind w:left="424" w:right="380"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你方于</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pacing w:val="6"/>
          <w:sz w:val="21"/>
          <w:szCs w:val="21"/>
          <w:u w:val="single"/>
        </w:rPr>
        <w:t xml:space="preserve"> </w:t>
      </w:r>
      <w:r>
        <w:rPr>
          <w:rFonts w:hint="eastAsia" w:ascii="宋体" w:hAnsi="宋体" w:eastAsia="宋体" w:cs="宋体"/>
          <w:color w:val="auto"/>
          <w:sz w:val="21"/>
          <w:szCs w:val="21"/>
        </w:rPr>
        <w:t>日 发 出的</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rPr>
        <w:t>（项目名称）</w:t>
      </w:r>
      <w:r>
        <w:rPr>
          <w:rFonts w:hint="eastAsia" w:ascii="宋体" w:hAnsi="宋体" w:eastAsia="宋体" w:cs="宋体"/>
          <w:color w:val="auto"/>
          <w:spacing w:val="1"/>
          <w:sz w:val="21"/>
          <w:szCs w:val="21"/>
        </w:rPr>
        <w:t>施工招标关于招标</w:t>
      </w:r>
      <w:r>
        <w:rPr>
          <w:rFonts w:hint="eastAsia" w:ascii="宋体" w:hAnsi="宋体" w:eastAsia="宋体" w:cs="宋体"/>
          <w:color w:val="auto"/>
          <w:sz w:val="21"/>
          <w:szCs w:val="21"/>
        </w:rPr>
        <w:t>文</w:t>
      </w:r>
      <w:r>
        <w:rPr>
          <w:rFonts w:hint="eastAsia" w:ascii="宋体" w:hAnsi="宋体" w:eastAsia="宋体" w:cs="宋体"/>
          <w:color w:val="auto"/>
          <w:spacing w:val="1"/>
          <w:sz w:val="21"/>
          <w:szCs w:val="21"/>
        </w:rPr>
        <w:t>件澄</w:t>
      </w:r>
      <w:r>
        <w:rPr>
          <w:rFonts w:hint="eastAsia" w:ascii="宋体" w:hAnsi="宋体" w:eastAsia="宋体" w:cs="宋体"/>
          <w:color w:val="auto"/>
          <w:spacing w:val="2"/>
          <w:sz w:val="21"/>
          <w:szCs w:val="21"/>
        </w:rPr>
        <w:t>清</w:t>
      </w:r>
      <w:r>
        <w:rPr>
          <w:rFonts w:hint="eastAsia" w:ascii="宋体" w:hAnsi="宋体" w:eastAsia="宋体" w:cs="宋体"/>
          <w:color w:val="auto"/>
          <w:spacing w:val="1"/>
          <w:sz w:val="21"/>
          <w:szCs w:val="21"/>
        </w:rPr>
        <w:t>/修改的通知</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第</w:t>
      </w:r>
      <w:r>
        <w:rPr>
          <w:rFonts w:hint="eastAsia" w:ascii="宋体" w:hAnsi="宋体" w:eastAsia="宋体" w:cs="宋体"/>
          <w:color w:val="auto"/>
          <w:sz w:val="21"/>
          <w:szCs w:val="21"/>
          <w:u w:val="single"/>
        </w:rPr>
        <w:t xml:space="preserve">       </w:t>
      </w:r>
      <w:r>
        <w:rPr>
          <w:rFonts w:hint="eastAsia" w:ascii="宋体" w:hAnsi="宋体" w:eastAsia="宋体" w:cs="宋体"/>
          <w:color w:val="auto"/>
          <w:spacing w:val="8"/>
          <w:sz w:val="21"/>
          <w:szCs w:val="21"/>
          <w:u w:val="single"/>
        </w:rPr>
        <w:t xml:space="preserve"> </w:t>
      </w:r>
      <w:r>
        <w:rPr>
          <w:rFonts w:hint="eastAsia" w:ascii="宋体" w:hAnsi="宋体" w:eastAsia="宋体" w:cs="宋体"/>
          <w:color w:val="auto"/>
          <w:spacing w:val="1"/>
          <w:sz w:val="21"/>
          <w:szCs w:val="21"/>
        </w:rPr>
        <w:t>号补遗书，正</w:t>
      </w:r>
      <w:r>
        <w:rPr>
          <w:rFonts w:hint="eastAsia" w:ascii="宋体" w:hAnsi="宋体" w:eastAsia="宋体" w:cs="宋体"/>
          <w:color w:val="auto"/>
          <w:sz w:val="21"/>
          <w:szCs w:val="21"/>
        </w:rPr>
        <w:t>文</w:t>
      </w:r>
      <w:r>
        <w:rPr>
          <w:rFonts w:hint="eastAsia" w:ascii="宋体" w:hAnsi="宋体" w:eastAsia="宋体" w:cs="宋体"/>
          <w:color w:val="auto"/>
          <w:spacing w:val="3"/>
          <w:sz w:val="21"/>
          <w:szCs w:val="21"/>
        </w:rPr>
        <w:t>共</w:t>
      </w:r>
      <w:r>
        <w:rPr>
          <w:rFonts w:hint="eastAsia" w:ascii="宋体" w:hAnsi="宋体" w:eastAsia="宋体" w:cs="宋体"/>
          <w:color w:val="auto"/>
          <w:sz w:val="21"/>
          <w:szCs w:val="21"/>
          <w:u w:val="single"/>
        </w:rPr>
        <w:t xml:space="preserve">       </w:t>
      </w:r>
      <w:r>
        <w:rPr>
          <w:rFonts w:hint="eastAsia" w:ascii="宋体" w:hAnsi="宋体" w:eastAsia="宋体" w:cs="宋体"/>
          <w:color w:val="auto"/>
          <w:spacing w:val="8"/>
          <w:sz w:val="21"/>
          <w:szCs w:val="21"/>
          <w:u w:val="single"/>
        </w:rPr>
        <w:t xml:space="preserve"> </w:t>
      </w:r>
      <w:r>
        <w:rPr>
          <w:rFonts w:hint="eastAsia" w:ascii="宋体" w:hAnsi="宋体" w:eastAsia="宋体" w:cs="宋体"/>
          <w:color w:val="auto"/>
          <w:spacing w:val="1"/>
          <w:sz w:val="21"/>
          <w:szCs w:val="21"/>
        </w:rPr>
        <w:t>页</w:t>
      </w:r>
      <w:r>
        <w:rPr>
          <w:rFonts w:hint="eastAsia" w:ascii="宋体" w:hAnsi="宋体" w:eastAsia="宋体" w:cs="宋体"/>
          <w:color w:val="auto"/>
          <w:spacing w:val="-118"/>
          <w:sz w:val="21"/>
          <w:szCs w:val="21"/>
        </w:rPr>
        <w:t>）</w:t>
      </w:r>
      <w:r>
        <w:rPr>
          <w:rFonts w:hint="eastAsia" w:ascii="宋体" w:hAnsi="宋体" w:eastAsia="宋体" w:cs="宋体"/>
          <w:color w:val="auto"/>
          <w:spacing w:val="1"/>
          <w:sz w:val="21"/>
          <w:szCs w:val="21"/>
        </w:rPr>
        <w:t>，我</w:t>
      </w:r>
      <w:r>
        <w:rPr>
          <w:rFonts w:hint="eastAsia" w:ascii="宋体" w:hAnsi="宋体" w:eastAsia="宋体" w:cs="宋体"/>
          <w:color w:val="auto"/>
          <w:sz w:val="21"/>
          <w:szCs w:val="21"/>
        </w:rPr>
        <w:t>方已于</w:t>
      </w:r>
      <w:r>
        <w:rPr>
          <w:rFonts w:hint="eastAsia" w:ascii="宋体" w:hAnsi="宋体" w:eastAsia="宋体" w:cs="宋体"/>
          <w:color w:val="auto"/>
          <w:spacing w:val="118"/>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pacing w:val="118"/>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pacing w:val="118"/>
          <w:sz w:val="21"/>
          <w:szCs w:val="21"/>
          <w:u w:val="single"/>
        </w:rPr>
        <w:t xml:space="preserve"> </w:t>
      </w:r>
      <w:r>
        <w:rPr>
          <w:rFonts w:hint="eastAsia" w:ascii="宋体" w:hAnsi="宋体" w:eastAsia="宋体" w:cs="宋体"/>
          <w:color w:val="auto"/>
          <w:sz w:val="21"/>
          <w:szCs w:val="21"/>
        </w:rPr>
        <w:t>日收到。</w:t>
      </w:r>
    </w:p>
    <w:p>
      <w:pPr>
        <w:pStyle w:val="8"/>
        <w:spacing w:beforeLines="0" w:afterLines="0" w:line="305" w:lineRule="exact"/>
        <w:ind w:left="424"/>
        <w:jc w:val="both"/>
        <w:rPr>
          <w:rFonts w:hint="eastAsia" w:ascii="宋体" w:hAnsi="宋体" w:eastAsia="宋体" w:cs="宋体"/>
          <w:color w:val="auto"/>
          <w:sz w:val="21"/>
          <w:szCs w:val="21"/>
        </w:rPr>
      </w:pPr>
      <w:r>
        <w:rPr>
          <w:rFonts w:hint="eastAsia" w:ascii="宋体" w:hAnsi="宋体" w:eastAsia="宋体" w:cs="宋体"/>
          <w:color w:val="auto"/>
          <w:sz w:val="21"/>
          <w:szCs w:val="21"/>
        </w:rPr>
        <w:t xml:space="preserve">    特此确认。</w:t>
      </w:r>
    </w:p>
    <w:p>
      <w:pPr>
        <w:pStyle w:val="8"/>
        <w:spacing w:beforeLines="0" w:afterLines="0"/>
        <w:rPr>
          <w:rFonts w:hint="eastAsia" w:ascii="宋体" w:hAnsi="宋体" w:eastAsia="宋体" w:cs="宋体"/>
          <w:color w:val="auto"/>
          <w:sz w:val="21"/>
          <w:szCs w:val="21"/>
        </w:rPr>
      </w:pPr>
    </w:p>
    <w:p>
      <w:pPr>
        <w:pStyle w:val="8"/>
        <w:spacing w:beforeLines="0" w:afterLines="0"/>
        <w:rPr>
          <w:rFonts w:hint="eastAsia" w:ascii="宋体" w:hAnsi="宋体" w:eastAsia="宋体" w:cs="宋体"/>
          <w:color w:val="auto"/>
          <w:sz w:val="21"/>
          <w:szCs w:val="21"/>
        </w:rPr>
      </w:pPr>
    </w:p>
    <w:p>
      <w:pPr>
        <w:pStyle w:val="8"/>
        <w:spacing w:beforeLines="0" w:afterLines="0"/>
        <w:rPr>
          <w:rFonts w:hint="eastAsia" w:ascii="宋体" w:hAnsi="宋体" w:eastAsia="宋体" w:cs="宋体"/>
          <w:color w:val="auto"/>
          <w:sz w:val="21"/>
          <w:szCs w:val="21"/>
        </w:rPr>
      </w:pPr>
    </w:p>
    <w:p>
      <w:pPr>
        <w:pStyle w:val="8"/>
        <w:spacing w:beforeLines="0" w:afterLines="0"/>
        <w:rPr>
          <w:rFonts w:hint="eastAsia" w:ascii="宋体" w:hAnsi="宋体" w:eastAsia="宋体" w:cs="宋体"/>
          <w:color w:val="auto"/>
          <w:sz w:val="21"/>
          <w:szCs w:val="21"/>
        </w:rPr>
      </w:pPr>
    </w:p>
    <w:p>
      <w:pPr>
        <w:pStyle w:val="8"/>
        <w:spacing w:beforeLines="0" w:afterLines="0"/>
        <w:rPr>
          <w:rFonts w:hint="eastAsia" w:ascii="宋体" w:hAnsi="宋体" w:eastAsia="宋体" w:cs="宋体"/>
          <w:color w:val="auto"/>
          <w:sz w:val="21"/>
          <w:szCs w:val="21"/>
        </w:rPr>
      </w:pPr>
    </w:p>
    <w:p>
      <w:pPr>
        <w:pStyle w:val="8"/>
        <w:tabs>
          <w:tab w:val="left" w:pos="7625"/>
        </w:tabs>
        <w:spacing w:beforeLines="0" w:afterLines="0"/>
        <w:ind w:left="4025"/>
        <w:rPr>
          <w:rFonts w:hint="eastAsia" w:ascii="宋体" w:hAnsi="宋体" w:eastAsia="宋体" w:cs="宋体"/>
          <w:color w:val="auto"/>
          <w:sz w:val="21"/>
          <w:szCs w:val="21"/>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rPr>
        <w:t>（盖单位章）</w:t>
      </w:r>
    </w:p>
    <w:p>
      <w:pPr>
        <w:pStyle w:val="8"/>
        <w:spacing w:beforeLines="0" w:afterLines="0"/>
        <w:rPr>
          <w:rFonts w:hint="eastAsia" w:ascii="宋体" w:hAnsi="宋体" w:eastAsia="宋体" w:cs="宋体"/>
          <w:color w:val="auto"/>
          <w:sz w:val="21"/>
          <w:szCs w:val="21"/>
        </w:rPr>
      </w:pPr>
    </w:p>
    <w:p>
      <w:pPr>
        <w:pStyle w:val="8"/>
        <w:spacing w:before="8" w:beforeLines="0" w:afterLines="0"/>
        <w:rPr>
          <w:rFonts w:hint="eastAsia" w:ascii="宋体" w:hAnsi="宋体" w:eastAsia="宋体" w:cs="宋体"/>
          <w:color w:val="auto"/>
          <w:sz w:val="21"/>
          <w:szCs w:val="21"/>
        </w:rPr>
      </w:pPr>
    </w:p>
    <w:p>
      <w:pPr>
        <w:pStyle w:val="8"/>
        <w:tabs>
          <w:tab w:val="left" w:pos="5945"/>
          <w:tab w:val="left" w:pos="6665"/>
          <w:tab w:val="left" w:pos="7385"/>
        </w:tabs>
        <w:spacing w:before="66" w:beforeLines="0" w:afterLines="0"/>
        <w:ind w:left="4985"/>
        <w:rPr>
          <w:rFonts w:hint="eastAsia" w:ascii="宋体" w:hAnsi="宋体" w:eastAsia="宋体" w:cs="宋体"/>
          <w:color w:val="auto"/>
          <w:sz w:val="21"/>
          <w:szCs w:val="21"/>
        </w:rPr>
      </w:pP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rPr>
        <w:t>日</w:t>
      </w:r>
    </w:p>
    <w:p>
      <w:pPr>
        <w:tabs>
          <w:tab w:val="left" w:pos="6200"/>
        </w:tabs>
        <w:spacing w:line="220" w:lineRule="auto"/>
        <w:ind w:left="5569"/>
        <w:rPr>
          <w:rFonts w:ascii="宋体" w:hAnsi="宋体" w:eastAsia="宋体" w:cs="宋体"/>
          <w:sz w:val="21"/>
          <w:szCs w:val="21"/>
        </w:rPr>
        <w:sectPr>
          <w:footerReference r:id="rId14" w:type="default"/>
          <w:pgSz w:w="11907" w:h="16841"/>
          <w:pgMar w:top="1431" w:right="1075" w:bottom="1216" w:left="1080" w:header="0" w:footer="1055" w:gutter="0"/>
          <w:pgNumType w:fmt="decimal"/>
          <w:cols w:space="720" w:num="1"/>
        </w:sectPr>
      </w:pPr>
    </w:p>
    <w:bookmarkEnd w:id="26"/>
    <w:bookmarkEnd w:id="27"/>
    <w:bookmarkEnd w:id="28"/>
    <w:bookmarkEnd w:id="60"/>
    <w:bookmarkEnd w:id="61"/>
    <w:bookmarkEnd w:id="62"/>
    <w:bookmarkEnd w:id="63"/>
    <w:p>
      <w:pPr>
        <w:pStyle w:val="2"/>
        <w:pageBreakBefore w:val="0"/>
        <w:tabs>
          <w:tab w:val="left" w:pos="1260"/>
          <w:tab w:val="left" w:pos="3110"/>
        </w:tabs>
        <w:kinsoku/>
        <w:overflowPunct/>
        <w:bidi w:val="0"/>
        <w:spacing w:beforeAutospacing="0" w:afterAutospacing="0" w:line="360" w:lineRule="auto"/>
        <w:ind w:left="0" w:leftChars="0" w:right="0" w:rightChars="0" w:hanging="420"/>
        <w:outlineLvl w:val="0"/>
        <w:rPr>
          <w:rFonts w:hint="eastAsia" w:ascii="宋体" w:hAnsi="宋体" w:eastAsia="宋体" w:cs="宋体"/>
          <w:color w:val="auto"/>
          <w:sz w:val="28"/>
          <w:szCs w:val="28"/>
          <w:highlight w:val="none"/>
        </w:rPr>
      </w:pPr>
      <w:bookmarkStart w:id="119" w:name="_Toc32135"/>
      <w:bookmarkStart w:id="120" w:name="_Toc12748"/>
      <w:bookmarkStart w:id="121" w:name="_Toc13291"/>
      <w:bookmarkStart w:id="122" w:name="_Toc20830"/>
      <w:bookmarkStart w:id="123" w:name="_Toc18714"/>
      <w:bookmarkStart w:id="124" w:name="_Toc490748551"/>
      <w:r>
        <w:rPr>
          <w:rFonts w:hint="eastAsia" w:ascii="宋体" w:hAnsi="宋体" w:eastAsia="宋体" w:cs="宋体"/>
          <w:bCs w:val="0"/>
          <w:color w:val="auto"/>
          <w:sz w:val="28"/>
          <w:szCs w:val="28"/>
          <w:highlight w:val="none"/>
        </w:rPr>
        <w:t>第三章</w:t>
      </w:r>
      <w:r>
        <w:rPr>
          <w:rFonts w:hint="eastAsia" w:ascii="宋体" w:hAnsi="宋体" w:eastAsia="宋体" w:cs="宋体"/>
          <w:bCs w:val="0"/>
          <w:color w:val="auto"/>
          <w:sz w:val="28"/>
          <w:szCs w:val="28"/>
          <w:highlight w:val="none"/>
          <w:lang w:val="en-US" w:eastAsia="zh-CN"/>
        </w:rPr>
        <w:t>、</w:t>
      </w:r>
      <w:r>
        <w:rPr>
          <w:rFonts w:hint="eastAsia" w:ascii="宋体" w:hAnsi="宋体" w:eastAsia="宋体" w:cs="宋体"/>
          <w:bCs w:val="0"/>
          <w:color w:val="auto"/>
          <w:sz w:val="28"/>
          <w:szCs w:val="28"/>
          <w:highlight w:val="none"/>
        </w:rPr>
        <w:t>评标办法</w:t>
      </w:r>
      <w:bookmarkEnd w:id="119"/>
      <w:bookmarkEnd w:id="120"/>
      <w:bookmarkEnd w:id="121"/>
      <w:bookmarkEnd w:id="122"/>
      <w:r>
        <w:rPr>
          <w:rFonts w:hint="eastAsia" w:ascii="宋体" w:hAnsi="宋体" w:eastAsia="宋体" w:cs="宋体"/>
          <w:bCs w:val="0"/>
          <w:color w:val="auto"/>
          <w:sz w:val="28"/>
          <w:szCs w:val="28"/>
          <w:highlight w:val="none"/>
        </w:rPr>
        <w:t>（技术评分最低标价法)</w:t>
      </w:r>
      <w:bookmarkEnd w:id="123"/>
    </w:p>
    <w:p>
      <w:pPr>
        <w:pStyle w:val="8"/>
        <w:pageBreakBefore w:val="0"/>
        <w:kinsoku/>
        <w:overflowPunct/>
        <w:bidi w:val="0"/>
        <w:spacing w:beforeAutospacing="0" w:afterAutospacing="0" w:line="360" w:lineRule="auto"/>
        <w:ind w:left="0" w:leftChars="0" w:right="0" w:rightChars="0"/>
        <w:jc w:val="center"/>
        <w:rPr>
          <w:rFonts w:hint="eastAsia" w:ascii="宋体" w:hAnsi="宋体" w:eastAsia="宋体" w:cs="宋体"/>
          <w:b/>
          <w:bCs w:val="0"/>
          <w:color w:val="auto"/>
          <w:kern w:val="2"/>
          <w:sz w:val="28"/>
          <w:szCs w:val="28"/>
          <w:highlight w:val="none"/>
          <w:lang w:val="en-US" w:eastAsia="zh-CN" w:bidi="ar-SA"/>
        </w:rPr>
      </w:pPr>
      <w:bookmarkStart w:id="125" w:name="_bookmark125"/>
      <w:bookmarkEnd w:id="125"/>
      <w:r>
        <w:rPr>
          <w:rFonts w:hint="eastAsia" w:ascii="宋体" w:hAnsi="宋体" w:eastAsia="宋体" w:cs="宋体"/>
          <w:b/>
          <w:bCs w:val="0"/>
          <w:color w:val="auto"/>
          <w:kern w:val="2"/>
          <w:sz w:val="28"/>
          <w:szCs w:val="28"/>
          <w:highlight w:val="none"/>
          <w:lang w:val="en-US" w:eastAsia="zh-CN" w:bidi="ar-SA"/>
        </w:rPr>
        <w:t>评标办法前附表</w:t>
      </w:r>
    </w:p>
    <w:tbl>
      <w:tblPr>
        <w:tblStyle w:val="20"/>
        <w:tblW w:w="9719" w:type="dxa"/>
        <w:jc w:val="right"/>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789"/>
        <w:gridCol w:w="818"/>
        <w:gridCol w:w="866"/>
        <w:gridCol w:w="1293"/>
        <w:gridCol w:w="1761"/>
        <w:gridCol w:w="983"/>
        <w:gridCol w:w="320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right"/>
        </w:trPr>
        <w:tc>
          <w:tcPr>
            <w:tcW w:w="2473" w:type="dxa"/>
            <w:gridSpan w:val="3"/>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jc w:val="center"/>
              <w:rPr>
                <w:rFonts w:hint="eastAsia" w:ascii="宋体" w:hAnsi="宋体" w:eastAsia="宋体" w:cs="宋体"/>
                <w:b/>
                <w:sz w:val="24"/>
                <w:szCs w:val="24"/>
              </w:rPr>
            </w:pPr>
            <w:r>
              <w:rPr>
                <w:rFonts w:hint="eastAsia" w:ascii="宋体" w:hAnsi="宋体" w:eastAsia="宋体" w:cs="宋体"/>
                <w:b/>
                <w:sz w:val="24"/>
                <w:szCs w:val="24"/>
              </w:rPr>
              <w:t>条款号</w:t>
            </w:r>
          </w:p>
        </w:tc>
        <w:tc>
          <w:tcPr>
            <w:tcW w:w="7246" w:type="dxa"/>
            <w:gridSpan w:val="4"/>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jc w:val="center"/>
              <w:rPr>
                <w:rFonts w:hint="eastAsia" w:ascii="宋体" w:hAnsi="宋体" w:eastAsia="宋体" w:cs="宋体"/>
                <w:b/>
                <w:sz w:val="24"/>
                <w:szCs w:val="24"/>
              </w:rPr>
            </w:pPr>
            <w:r>
              <w:rPr>
                <w:rFonts w:hint="eastAsia" w:ascii="宋体" w:hAnsi="宋体" w:eastAsia="宋体" w:cs="宋体"/>
                <w:b/>
                <w:sz w:val="24"/>
                <w:szCs w:val="24"/>
              </w:rPr>
              <w:t>评审因素与标准评审标准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0" w:hRule="atLeast"/>
          <w:jc w:val="right"/>
        </w:trPr>
        <w:tc>
          <w:tcPr>
            <w:tcW w:w="789"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jc w:val="center"/>
              <w:rPr>
                <w:rStyle w:val="67"/>
                <w:rFonts w:hint="eastAsia" w:ascii="宋体" w:hAnsi="宋体" w:eastAsia="宋体" w:cs="宋体"/>
                <w:spacing w:val="2"/>
                <w:kern w:val="0"/>
                <w:sz w:val="21"/>
                <w:szCs w:val="21"/>
                <w:highlight w:val="none"/>
              </w:rPr>
            </w:pPr>
            <w:r>
              <w:rPr>
                <w:rStyle w:val="67"/>
                <w:rFonts w:hint="eastAsia" w:ascii="宋体" w:hAnsi="宋体" w:eastAsia="宋体" w:cs="宋体"/>
                <w:spacing w:val="2"/>
                <w:kern w:val="0"/>
                <w:sz w:val="21"/>
                <w:szCs w:val="21"/>
                <w:highlight w:val="none"/>
              </w:rPr>
              <w:t>1</w:t>
            </w:r>
          </w:p>
        </w:tc>
        <w:tc>
          <w:tcPr>
            <w:tcW w:w="1684" w:type="dxa"/>
            <w:gridSpan w:val="2"/>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jc w:val="center"/>
              <w:rPr>
                <w:rStyle w:val="67"/>
                <w:rFonts w:hint="eastAsia" w:ascii="宋体" w:hAnsi="宋体" w:eastAsia="宋体" w:cs="宋体"/>
                <w:spacing w:val="2"/>
                <w:kern w:val="0"/>
                <w:sz w:val="21"/>
                <w:szCs w:val="21"/>
                <w:highlight w:val="none"/>
              </w:rPr>
            </w:pPr>
            <w:r>
              <w:rPr>
                <w:rStyle w:val="67"/>
                <w:rFonts w:hint="eastAsia" w:ascii="宋体" w:hAnsi="宋体" w:eastAsia="宋体" w:cs="宋体"/>
                <w:spacing w:val="2"/>
                <w:kern w:val="0"/>
                <w:sz w:val="21"/>
                <w:szCs w:val="21"/>
                <w:highlight w:val="none"/>
              </w:rPr>
              <w:t>评标方法</w:t>
            </w:r>
          </w:p>
        </w:tc>
        <w:tc>
          <w:tcPr>
            <w:tcW w:w="7246" w:type="dxa"/>
            <w:gridSpan w:val="4"/>
            <w:noWrap w:val="0"/>
            <w:vAlign w:val="center"/>
          </w:tcPr>
          <w:p>
            <w:pPr>
              <w:pStyle w:val="6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322" w:firstLineChars="150"/>
              <w:jc w:val="both"/>
              <w:textAlignment w:val="auto"/>
              <w:rPr>
                <w:rStyle w:val="67"/>
                <w:rFonts w:hint="eastAsia" w:ascii="宋体" w:hAnsi="宋体" w:eastAsia="宋体" w:cs="宋体"/>
                <w:b/>
                <w:bCs/>
                <w:spacing w:val="2"/>
                <w:sz w:val="21"/>
                <w:szCs w:val="21"/>
                <w:highlight w:val="none"/>
                <w:lang w:eastAsia="zh-CN"/>
              </w:rPr>
            </w:pPr>
            <w:r>
              <w:rPr>
                <w:rStyle w:val="67"/>
                <w:rFonts w:hint="eastAsia" w:ascii="宋体" w:hAnsi="宋体" w:eastAsia="宋体" w:cs="宋体"/>
                <w:b/>
                <w:bCs/>
                <w:spacing w:val="2"/>
                <w:sz w:val="21"/>
                <w:szCs w:val="21"/>
                <w:highlight w:val="none"/>
                <w:lang w:eastAsia="zh-CN"/>
              </w:rPr>
              <w:t>本项目评标办法为技术评分最低标价法，因洛阳市电子招投标系统暂不支持此评标办法，所以本项目第二信封得分统一固定为0.01分。</w:t>
            </w:r>
          </w:p>
          <w:p>
            <w:pPr>
              <w:pStyle w:val="6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321" w:firstLineChars="150"/>
              <w:jc w:val="both"/>
              <w:textAlignment w:val="auto"/>
              <w:rPr>
                <w:rStyle w:val="67"/>
                <w:rFonts w:hint="eastAsia" w:ascii="宋体" w:hAnsi="宋体" w:eastAsia="宋体" w:cs="宋体"/>
                <w:spacing w:val="2"/>
                <w:sz w:val="21"/>
                <w:szCs w:val="21"/>
                <w:highlight w:val="none"/>
                <w:lang w:eastAsia="zh-CN"/>
              </w:rPr>
            </w:pPr>
            <w:r>
              <w:rPr>
                <w:rStyle w:val="67"/>
                <w:rFonts w:hint="eastAsia" w:ascii="宋体" w:hAnsi="宋体" w:eastAsia="宋体" w:cs="宋体"/>
                <w:spacing w:val="2"/>
                <w:sz w:val="21"/>
                <w:szCs w:val="21"/>
                <w:highlight w:val="none"/>
                <w:lang w:eastAsia="zh-CN"/>
              </w:rPr>
              <w:t>中标候选人的推选以招标文件中的评标办法为准。评标系统中标候选人排序与评标报告上中标候选人排序不一致的情况时，评标委员会以交通运输部规定的技术评分最低标价法出具最终评标报告。</w:t>
            </w:r>
          </w:p>
          <w:p>
            <w:pPr>
              <w:pStyle w:val="2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firstLine="376" w:firstLineChars="200"/>
              <w:textAlignment w:val="auto"/>
              <w:rPr>
                <w:rFonts w:hint="eastAsia" w:ascii="宋体" w:hAnsi="宋体" w:eastAsia="宋体" w:cs="宋体"/>
                <w:spacing w:val="-11"/>
                <w:sz w:val="21"/>
                <w:szCs w:val="21"/>
                <w:lang w:val="en-US" w:eastAsia="zh-CN"/>
              </w:rPr>
            </w:pPr>
            <w:r>
              <w:rPr>
                <w:rFonts w:hint="eastAsia" w:ascii="宋体" w:hAnsi="宋体" w:eastAsia="宋体" w:cs="宋体"/>
                <w:spacing w:val="-11"/>
                <w:sz w:val="21"/>
                <w:szCs w:val="21"/>
                <w:lang w:val="en-US" w:eastAsia="zh-CN"/>
              </w:rPr>
              <w:t>评标价相等时，评标委员会依次按照以下优先顺序推荐中标候选人或确定中标人：</w:t>
            </w:r>
          </w:p>
          <w:p>
            <w:pPr>
              <w:pStyle w:val="2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firstLine="376" w:firstLineChars="200"/>
              <w:textAlignment w:val="auto"/>
              <w:rPr>
                <w:rFonts w:hint="eastAsia" w:ascii="宋体" w:hAnsi="宋体" w:eastAsia="宋体" w:cs="宋体"/>
                <w:spacing w:val="-11"/>
                <w:sz w:val="21"/>
                <w:szCs w:val="21"/>
                <w:lang w:val="en-US" w:eastAsia="zh-CN"/>
              </w:rPr>
            </w:pPr>
            <w:r>
              <w:rPr>
                <w:rFonts w:hint="eastAsia" w:ascii="宋体" w:hAnsi="宋体" w:eastAsia="宋体" w:cs="宋体"/>
                <w:spacing w:val="-11"/>
                <w:sz w:val="21"/>
                <w:szCs w:val="21"/>
                <w:lang w:val="en-US" w:eastAsia="zh-CN"/>
              </w:rPr>
              <w:t>（1）投标报价低的投标人优先；</w:t>
            </w:r>
          </w:p>
          <w:p>
            <w:pPr>
              <w:pStyle w:val="2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firstLine="376" w:firstLineChars="200"/>
              <w:textAlignment w:val="auto"/>
              <w:rPr>
                <w:rFonts w:hint="eastAsia" w:ascii="宋体" w:hAnsi="宋体" w:eastAsia="宋体" w:cs="宋体"/>
                <w:spacing w:val="-11"/>
                <w:sz w:val="21"/>
                <w:szCs w:val="21"/>
                <w:lang w:val="en-US" w:eastAsia="zh-CN"/>
              </w:rPr>
            </w:pPr>
            <w:r>
              <w:rPr>
                <w:rFonts w:hint="eastAsia" w:ascii="宋体" w:hAnsi="宋体" w:eastAsia="宋体" w:cs="宋体"/>
                <w:spacing w:val="-11"/>
                <w:sz w:val="21"/>
                <w:szCs w:val="21"/>
                <w:lang w:val="en-US" w:eastAsia="zh-CN"/>
              </w:rPr>
              <w:t>（2）被交通运输部或河南省交通运输厅或河南省交通事业发展中心（原河南省交通运输厅公路管理局）评为较高信用等级的投标人优先；</w:t>
            </w:r>
          </w:p>
          <w:p>
            <w:pPr>
              <w:pStyle w:val="2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firstLine="376" w:firstLineChars="200"/>
              <w:textAlignment w:val="auto"/>
              <w:rPr>
                <w:rFonts w:hint="eastAsia" w:ascii="宋体" w:hAnsi="宋体" w:eastAsia="宋体" w:cs="宋体"/>
                <w:b/>
                <w:sz w:val="24"/>
                <w:szCs w:val="24"/>
              </w:rPr>
            </w:pPr>
            <w:r>
              <w:rPr>
                <w:rFonts w:hint="eastAsia" w:ascii="宋体" w:hAnsi="宋体" w:eastAsia="宋体" w:cs="宋体"/>
                <w:spacing w:val="-11"/>
                <w:sz w:val="21"/>
                <w:szCs w:val="21"/>
                <w:lang w:val="en-US" w:eastAsia="zh-CN"/>
              </w:rPr>
              <w:t>（3）商务和技术得分较高的投标人优先；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398" w:hRule="atLeast"/>
          <w:jc w:val="right"/>
        </w:trPr>
        <w:tc>
          <w:tcPr>
            <w:tcW w:w="789"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jc w:val="center"/>
              <w:rPr>
                <w:rStyle w:val="67"/>
                <w:rFonts w:hint="eastAsia" w:ascii="宋体" w:hAnsi="宋体" w:eastAsia="宋体" w:cs="宋体"/>
                <w:spacing w:val="2"/>
                <w:kern w:val="0"/>
                <w:sz w:val="21"/>
                <w:szCs w:val="21"/>
                <w:highlight w:val="none"/>
              </w:rPr>
            </w:pPr>
          </w:p>
          <w:p>
            <w:pPr>
              <w:keepNext w:val="0"/>
              <w:keepLines w:val="0"/>
              <w:pageBreakBefore w:val="0"/>
              <w:suppressLineNumbers w:val="0"/>
              <w:kinsoku/>
              <w:overflowPunct/>
              <w:bidi w:val="0"/>
              <w:spacing w:before="0" w:beforeAutospacing="0" w:after="0" w:afterAutospacing="0" w:line="360" w:lineRule="auto"/>
              <w:ind w:left="0" w:leftChars="0" w:right="0"/>
              <w:jc w:val="center"/>
              <w:rPr>
                <w:rStyle w:val="67"/>
                <w:rFonts w:hint="eastAsia" w:ascii="宋体" w:hAnsi="宋体" w:eastAsia="宋体" w:cs="宋体"/>
                <w:spacing w:val="2"/>
                <w:kern w:val="0"/>
                <w:sz w:val="21"/>
                <w:szCs w:val="21"/>
                <w:highlight w:val="none"/>
              </w:rPr>
            </w:pPr>
            <w:r>
              <w:rPr>
                <w:rStyle w:val="67"/>
                <w:rFonts w:hint="eastAsia" w:ascii="宋体" w:hAnsi="宋体" w:eastAsia="宋体" w:cs="宋体"/>
                <w:spacing w:val="2"/>
                <w:kern w:val="0"/>
                <w:sz w:val="21"/>
                <w:szCs w:val="21"/>
                <w:highlight w:val="none"/>
              </w:rPr>
              <w:t>2.1.1</w:t>
            </w:r>
          </w:p>
          <w:p>
            <w:pPr>
              <w:keepNext w:val="0"/>
              <w:keepLines w:val="0"/>
              <w:pageBreakBefore w:val="0"/>
              <w:suppressLineNumbers w:val="0"/>
              <w:kinsoku/>
              <w:overflowPunct/>
              <w:bidi w:val="0"/>
              <w:spacing w:before="0" w:beforeAutospacing="0" w:after="0" w:afterAutospacing="0" w:line="360" w:lineRule="auto"/>
              <w:ind w:left="0" w:leftChars="0" w:right="0"/>
              <w:jc w:val="center"/>
              <w:rPr>
                <w:rStyle w:val="67"/>
                <w:rFonts w:hint="default" w:ascii="宋体" w:hAnsi="宋体" w:eastAsia="宋体" w:cs="宋体"/>
                <w:spacing w:val="2"/>
                <w:kern w:val="0"/>
                <w:sz w:val="21"/>
                <w:szCs w:val="21"/>
                <w:highlight w:val="none"/>
                <w:lang w:val="en-US" w:eastAsia="zh-CN"/>
              </w:rPr>
            </w:pPr>
            <w:r>
              <w:rPr>
                <w:rStyle w:val="67"/>
                <w:rFonts w:hint="eastAsia" w:ascii="宋体" w:hAnsi="宋体" w:eastAsia="宋体" w:cs="宋体"/>
                <w:spacing w:val="2"/>
                <w:kern w:val="0"/>
                <w:sz w:val="21"/>
                <w:szCs w:val="21"/>
                <w:highlight w:val="none"/>
                <w:lang w:val="en-US" w:eastAsia="zh-CN"/>
              </w:rPr>
              <w:t>2.1.3</w:t>
            </w:r>
          </w:p>
          <w:p>
            <w:pPr>
              <w:keepNext w:val="0"/>
              <w:keepLines w:val="0"/>
              <w:pageBreakBefore w:val="0"/>
              <w:suppressLineNumbers w:val="0"/>
              <w:kinsoku/>
              <w:overflowPunct/>
              <w:bidi w:val="0"/>
              <w:spacing w:before="0" w:beforeAutospacing="0" w:after="0" w:afterAutospacing="0" w:line="360" w:lineRule="auto"/>
              <w:ind w:left="0" w:leftChars="0" w:right="0"/>
              <w:jc w:val="center"/>
              <w:rPr>
                <w:rStyle w:val="67"/>
                <w:rFonts w:hint="eastAsia" w:ascii="宋体" w:hAnsi="宋体" w:eastAsia="宋体" w:cs="宋体"/>
                <w:spacing w:val="2"/>
                <w:kern w:val="0"/>
                <w:sz w:val="21"/>
                <w:szCs w:val="21"/>
                <w:highlight w:val="none"/>
              </w:rPr>
            </w:pPr>
          </w:p>
        </w:tc>
        <w:tc>
          <w:tcPr>
            <w:tcW w:w="1684" w:type="dxa"/>
            <w:gridSpan w:val="2"/>
            <w:noWrap w:val="0"/>
            <w:vAlign w:val="center"/>
          </w:tcPr>
          <w:p>
            <w:pPr>
              <w:keepNext w:val="0"/>
              <w:keepLines w:val="0"/>
              <w:pageBreakBefore w:val="0"/>
              <w:suppressLineNumbers w:val="0"/>
              <w:kinsoku/>
              <w:overflowPunct/>
              <w:bidi w:val="0"/>
              <w:snapToGrid w:val="0"/>
              <w:spacing w:before="0" w:beforeAutospacing="0" w:after="0" w:afterAutospacing="0" w:line="360" w:lineRule="auto"/>
              <w:ind w:left="0" w:leftChars="0" w:right="0" w:firstLine="77" w:firstLineChars="36"/>
              <w:contextualSpacing/>
              <w:jc w:val="center"/>
              <w:rPr>
                <w:rStyle w:val="67"/>
                <w:rFonts w:hint="eastAsia" w:ascii="宋体" w:hAnsi="宋体" w:eastAsia="宋体" w:cs="宋体"/>
                <w:spacing w:val="2"/>
                <w:kern w:val="0"/>
                <w:sz w:val="21"/>
                <w:szCs w:val="21"/>
                <w:highlight w:val="none"/>
              </w:rPr>
            </w:pPr>
            <w:r>
              <w:rPr>
                <w:rStyle w:val="67"/>
                <w:rFonts w:hint="eastAsia" w:ascii="宋体" w:hAnsi="宋体" w:eastAsia="宋体" w:cs="宋体"/>
                <w:spacing w:val="2"/>
                <w:kern w:val="0"/>
                <w:sz w:val="21"/>
                <w:szCs w:val="21"/>
                <w:highlight w:val="none"/>
              </w:rPr>
              <w:t>形式评审与响应性评审标准</w:t>
            </w:r>
          </w:p>
        </w:tc>
        <w:tc>
          <w:tcPr>
            <w:tcW w:w="7246" w:type="dxa"/>
            <w:gridSpan w:val="4"/>
            <w:noWrap w:val="0"/>
            <w:vAlign w:val="center"/>
          </w:tcPr>
          <w:p>
            <w:pPr>
              <w:pStyle w:val="25"/>
              <w:keepNext w:val="0"/>
              <w:keepLines w:val="0"/>
              <w:pageBreakBefore w:val="0"/>
              <w:suppressLineNumbers w:val="0"/>
              <w:kinsoku/>
              <w:overflowPunct/>
              <w:bidi w:val="0"/>
              <w:spacing w:before="0" w:beforeAutospacing="0" w:after="0" w:afterAutospacing="0" w:line="360" w:lineRule="auto"/>
              <w:ind w:left="0" w:leftChars="0" w:right="0"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第一个信封（商务及技术文件）评审标准：</w:t>
            </w:r>
          </w:p>
          <w:p>
            <w:pPr>
              <w:pStyle w:val="25"/>
              <w:keepNext w:val="0"/>
              <w:keepLines w:val="0"/>
              <w:pageBreakBefore w:val="0"/>
              <w:suppressLineNumbers w:val="0"/>
              <w:kinsoku/>
              <w:overflowPunct/>
              <w:bidi w:val="0"/>
              <w:spacing w:before="0" w:beforeAutospacing="0" w:after="0" w:afterAutospacing="0" w:line="360" w:lineRule="auto"/>
              <w:ind w:left="0" w:leftChars="0" w:right="0"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（1）投标文件按照招标文件规定的格式、内容填写，字迹清晰可辨：</w:t>
            </w:r>
          </w:p>
          <w:p>
            <w:pPr>
              <w:pStyle w:val="25"/>
              <w:keepNext w:val="0"/>
              <w:keepLines w:val="0"/>
              <w:pageBreakBefore w:val="0"/>
              <w:suppressLineNumbers w:val="0"/>
              <w:kinsoku/>
              <w:overflowPunct/>
              <w:bidi w:val="0"/>
              <w:spacing w:before="0" w:beforeAutospacing="0" w:after="0" w:afterAutospacing="0" w:line="360" w:lineRule="auto"/>
              <w:ind w:left="0" w:leftChars="0" w:right="0"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a.投标函按招标文件规定填报了项目名称、补遗书编号（如有）、工期、工程</w:t>
            </w:r>
            <w:r>
              <w:rPr>
                <w:rFonts w:hint="eastAsia" w:hAnsi="宋体" w:cs="宋体"/>
                <w:sz w:val="21"/>
                <w:szCs w:val="21"/>
                <w:lang w:val="en-US" w:eastAsia="zh-CN"/>
              </w:rPr>
              <w:t>质量目标</w:t>
            </w:r>
            <w:r>
              <w:rPr>
                <w:rFonts w:hint="eastAsia" w:ascii="宋体" w:hAnsi="宋体" w:eastAsia="宋体" w:cs="宋体"/>
                <w:sz w:val="21"/>
                <w:szCs w:val="21"/>
                <w:lang w:val="en-US" w:eastAsia="zh-CN"/>
              </w:rPr>
              <w:t>及安全目标；</w:t>
            </w:r>
          </w:p>
          <w:p>
            <w:pPr>
              <w:pStyle w:val="25"/>
              <w:keepNext w:val="0"/>
              <w:keepLines w:val="0"/>
              <w:pageBreakBefore w:val="0"/>
              <w:suppressLineNumbers w:val="0"/>
              <w:kinsoku/>
              <w:overflowPunct/>
              <w:bidi w:val="0"/>
              <w:spacing w:before="0" w:beforeAutospacing="0" w:after="0" w:afterAutospacing="0" w:line="360" w:lineRule="auto"/>
              <w:ind w:left="0" w:leftChars="0" w:right="0"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b.投标函附录的所有数据均符合招标文件规定；</w:t>
            </w:r>
          </w:p>
          <w:p>
            <w:pPr>
              <w:pStyle w:val="25"/>
              <w:keepNext w:val="0"/>
              <w:keepLines w:val="0"/>
              <w:pageBreakBefore w:val="0"/>
              <w:suppressLineNumbers w:val="0"/>
              <w:kinsoku/>
              <w:overflowPunct/>
              <w:bidi w:val="0"/>
              <w:spacing w:before="0" w:beforeAutospacing="0" w:after="0" w:afterAutospacing="0" w:line="360" w:lineRule="auto"/>
              <w:ind w:left="0" w:leftChars="0" w:right="0"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c.投标文件组成齐全完整，内容均按规定填写。</w:t>
            </w:r>
          </w:p>
          <w:p>
            <w:pPr>
              <w:pStyle w:val="25"/>
              <w:keepNext w:val="0"/>
              <w:keepLines w:val="0"/>
              <w:pageBreakBefore w:val="0"/>
              <w:suppressLineNumbers w:val="0"/>
              <w:kinsoku/>
              <w:overflowPunct/>
              <w:bidi w:val="0"/>
              <w:spacing w:before="0" w:beforeAutospacing="0" w:after="0" w:afterAutospacing="0" w:line="360" w:lineRule="auto"/>
              <w:ind w:left="0" w:leftChars="0" w:right="0"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（2）投标文件上法定代表人或其委托代理人的签字或签章、投标人的单位章盖章齐全，符合招标文件规定。</w:t>
            </w:r>
          </w:p>
          <w:p>
            <w:pPr>
              <w:pStyle w:val="25"/>
              <w:keepNext w:val="0"/>
              <w:keepLines w:val="0"/>
              <w:pageBreakBefore w:val="0"/>
              <w:suppressLineNumbers w:val="0"/>
              <w:kinsoku/>
              <w:overflowPunct/>
              <w:bidi w:val="0"/>
              <w:spacing w:before="0" w:beforeAutospacing="0" w:after="0" w:afterAutospacing="0" w:line="360" w:lineRule="auto"/>
              <w:ind w:left="0" w:leftChars="0" w:right="0"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（3）投标人按照招标文件的规定提供了投标保证金：</w:t>
            </w:r>
            <w:r>
              <w:rPr>
                <w:rFonts w:hint="eastAsia" w:hAnsi="宋体" w:cs="宋体"/>
                <w:sz w:val="21"/>
                <w:szCs w:val="21"/>
                <w:lang w:val="en-US" w:eastAsia="zh-CN"/>
              </w:rPr>
              <w:t>（本项目不适用）</w:t>
            </w:r>
          </w:p>
          <w:p>
            <w:pPr>
              <w:pStyle w:val="25"/>
              <w:keepNext w:val="0"/>
              <w:keepLines w:val="0"/>
              <w:pageBreakBefore w:val="0"/>
              <w:suppressLineNumbers w:val="0"/>
              <w:kinsoku/>
              <w:overflowPunct/>
              <w:bidi w:val="0"/>
              <w:spacing w:before="0" w:beforeAutospacing="0" w:after="0" w:afterAutospacing="0" w:line="360" w:lineRule="auto"/>
              <w:ind w:left="0" w:leftChars="0" w:right="0"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a.投标保证金金额符合招标文件规定的金额，且投标保证金有效期不少于投标有效期；</w:t>
            </w:r>
          </w:p>
          <w:p>
            <w:pPr>
              <w:pStyle w:val="25"/>
              <w:keepNext w:val="0"/>
              <w:keepLines w:val="0"/>
              <w:pageBreakBefore w:val="0"/>
              <w:suppressLineNumbers w:val="0"/>
              <w:kinsoku/>
              <w:overflowPunct/>
              <w:bidi w:val="0"/>
              <w:spacing w:before="0" w:beforeAutospacing="0" w:after="0" w:afterAutospacing="0" w:line="360" w:lineRule="auto"/>
              <w:ind w:left="0" w:leftChars="0" w:right="0"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b.若投标保证金采用线下转账，投标人应在递交投标文件截止时间之前，将投标保证金由投标人的基本账户转入指定账户；</w:t>
            </w:r>
          </w:p>
          <w:p>
            <w:pPr>
              <w:pStyle w:val="25"/>
              <w:keepNext w:val="0"/>
              <w:keepLines w:val="0"/>
              <w:pageBreakBefore w:val="0"/>
              <w:suppressLineNumbers w:val="0"/>
              <w:kinsoku/>
              <w:overflowPunct/>
              <w:bidi w:val="0"/>
              <w:spacing w:before="0" w:beforeAutospacing="0" w:after="0" w:afterAutospacing="0" w:line="360" w:lineRule="auto"/>
              <w:ind w:left="0" w:leftChars="0" w:right="0" w:firstLine="210" w:firstLineChars="100"/>
              <w:rPr>
                <w:rFonts w:hint="eastAsia" w:ascii="宋体" w:hAnsi="宋体" w:eastAsia="宋体" w:cs="宋体"/>
                <w:sz w:val="24"/>
                <w:szCs w:val="24"/>
                <w:lang w:val="en-US" w:eastAsia="zh-CN"/>
              </w:rPr>
            </w:pPr>
            <w:r>
              <w:rPr>
                <w:rFonts w:hint="eastAsia" w:ascii="宋体" w:hAnsi="宋体" w:eastAsia="宋体" w:cs="宋体"/>
                <w:sz w:val="21"/>
                <w:szCs w:val="21"/>
                <w:lang w:val="en-US" w:eastAsia="zh-CN"/>
              </w:rPr>
              <w:t>c.若投标保证金采用投标保函形式提交，在递交投标文件截止时间之前开具投标保函，在投标文件中递交了投标保函原件的扫描件。</w:t>
            </w:r>
          </w:p>
          <w:p>
            <w:pPr>
              <w:pStyle w:val="25"/>
              <w:keepNext w:val="0"/>
              <w:keepLines w:val="0"/>
              <w:pageBreakBefore w:val="0"/>
              <w:suppressLineNumbers w:val="0"/>
              <w:kinsoku/>
              <w:overflowPunct/>
              <w:bidi w:val="0"/>
              <w:spacing w:before="0" w:beforeAutospacing="0" w:after="0" w:afterAutospacing="0" w:line="360" w:lineRule="auto"/>
              <w:ind w:left="0" w:leftChars="0" w:right="0"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（4）投标人法定代表人授权委托代理人签署投标文件的，须提交授权委托书，且授权人和被授权人均在授权委托书上签字或签章。</w:t>
            </w:r>
          </w:p>
          <w:p>
            <w:pPr>
              <w:pStyle w:val="25"/>
              <w:keepNext w:val="0"/>
              <w:keepLines w:val="0"/>
              <w:pageBreakBefore w:val="0"/>
              <w:suppressLineNumbers w:val="0"/>
              <w:kinsoku/>
              <w:overflowPunct/>
              <w:bidi w:val="0"/>
              <w:spacing w:before="0" w:beforeAutospacing="0" w:after="0" w:afterAutospacing="0" w:line="360" w:lineRule="auto"/>
              <w:ind w:left="0" w:leftChars="0" w:right="0"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（5）投标人法定代表人亲自签署投标文件的，提供了法定代表人身份证明，且法定代表人在法定代表人身份证明上签字或签章。</w:t>
            </w:r>
          </w:p>
          <w:p>
            <w:pPr>
              <w:pStyle w:val="25"/>
              <w:keepNext w:val="0"/>
              <w:keepLines w:val="0"/>
              <w:pageBreakBefore w:val="0"/>
              <w:suppressLineNumbers w:val="0"/>
              <w:kinsoku/>
              <w:overflowPunct/>
              <w:bidi w:val="0"/>
              <w:spacing w:before="0" w:beforeAutospacing="0" w:after="0" w:afterAutospacing="0" w:line="360" w:lineRule="auto"/>
              <w:ind w:left="0" w:leftChars="0" w:right="0"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（6）投标人如有分包计划，符合招标文件第二章“投标人须知”第1.11款规定，且按招标文件第九章“投标文件格式”的要求填写了“拟分包项目情况表”。</w:t>
            </w:r>
          </w:p>
          <w:p>
            <w:pPr>
              <w:pStyle w:val="25"/>
              <w:keepNext w:val="0"/>
              <w:keepLines w:val="0"/>
              <w:pageBreakBefore w:val="0"/>
              <w:suppressLineNumbers w:val="0"/>
              <w:kinsoku/>
              <w:overflowPunct/>
              <w:bidi w:val="0"/>
              <w:spacing w:before="0" w:beforeAutospacing="0" w:after="0" w:afterAutospacing="0" w:line="360" w:lineRule="auto"/>
              <w:ind w:left="0" w:leftChars="0" w:right="0"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（7）同一投标人未提交两个以上不同的投标文件，但招标文件要求提交备选投标的除外。</w:t>
            </w:r>
          </w:p>
          <w:p>
            <w:pPr>
              <w:pStyle w:val="25"/>
              <w:keepNext w:val="0"/>
              <w:keepLines w:val="0"/>
              <w:pageBreakBefore w:val="0"/>
              <w:suppressLineNumbers w:val="0"/>
              <w:kinsoku/>
              <w:overflowPunct/>
              <w:bidi w:val="0"/>
              <w:spacing w:before="0" w:beforeAutospacing="0" w:after="0" w:afterAutospacing="0" w:line="360" w:lineRule="auto"/>
              <w:ind w:left="0" w:leftChars="0" w:right="0"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（8）投标文件中未出现有关投标报价的内容。</w:t>
            </w:r>
          </w:p>
          <w:p>
            <w:pPr>
              <w:pStyle w:val="25"/>
              <w:keepNext w:val="0"/>
              <w:keepLines w:val="0"/>
              <w:pageBreakBefore w:val="0"/>
              <w:suppressLineNumbers w:val="0"/>
              <w:kinsoku/>
              <w:overflowPunct/>
              <w:bidi w:val="0"/>
              <w:spacing w:before="0" w:beforeAutospacing="0" w:after="0" w:afterAutospacing="0" w:line="360" w:lineRule="auto"/>
              <w:ind w:left="0" w:leftChars="0" w:right="0"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（9）投标文件载明的招标项目完成期限未超过招标文件规定的时限。</w:t>
            </w:r>
          </w:p>
          <w:p>
            <w:pPr>
              <w:pStyle w:val="25"/>
              <w:keepNext w:val="0"/>
              <w:keepLines w:val="0"/>
              <w:pageBreakBefore w:val="0"/>
              <w:suppressLineNumbers w:val="0"/>
              <w:kinsoku/>
              <w:overflowPunct/>
              <w:bidi w:val="0"/>
              <w:spacing w:before="0" w:beforeAutospacing="0" w:after="0" w:afterAutospacing="0" w:line="360" w:lineRule="auto"/>
              <w:ind w:left="0" w:leftChars="0" w:right="0"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（10）投标文件对招标文件的实质性要求和条件作出响应。</w:t>
            </w:r>
          </w:p>
          <w:p>
            <w:pPr>
              <w:pStyle w:val="25"/>
              <w:keepNext w:val="0"/>
              <w:keepLines w:val="0"/>
              <w:pageBreakBefore w:val="0"/>
              <w:suppressLineNumbers w:val="0"/>
              <w:kinsoku/>
              <w:overflowPunct/>
              <w:bidi w:val="0"/>
              <w:spacing w:before="0" w:beforeAutospacing="0" w:after="0" w:afterAutospacing="0" w:line="360" w:lineRule="auto"/>
              <w:ind w:left="0" w:leftChars="0" w:right="0"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（11）权利义务符合招标文件规定：</w:t>
            </w:r>
          </w:p>
          <w:p>
            <w:pPr>
              <w:pStyle w:val="25"/>
              <w:keepNext w:val="0"/>
              <w:keepLines w:val="0"/>
              <w:pageBreakBefore w:val="0"/>
              <w:suppressLineNumbers w:val="0"/>
              <w:kinsoku/>
              <w:overflowPunct/>
              <w:bidi w:val="0"/>
              <w:spacing w:before="0" w:beforeAutospacing="0" w:after="0" w:afterAutospacing="0" w:line="360" w:lineRule="auto"/>
              <w:ind w:left="0" w:leftChars="0" w:right="0"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a.投标人应接受招标文件规定的风险划分原则，未提出新的风险划分办法；</w:t>
            </w:r>
          </w:p>
          <w:p>
            <w:pPr>
              <w:pStyle w:val="25"/>
              <w:keepNext w:val="0"/>
              <w:keepLines w:val="0"/>
              <w:pageBreakBefore w:val="0"/>
              <w:suppressLineNumbers w:val="0"/>
              <w:kinsoku/>
              <w:overflowPunct/>
              <w:bidi w:val="0"/>
              <w:spacing w:before="0" w:beforeAutospacing="0" w:after="0" w:afterAutospacing="0" w:line="360" w:lineRule="auto"/>
              <w:ind w:left="0" w:leftChars="0" w:right="0"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b.投标人未增加发包人的责任范围，或减少投标人义务；</w:t>
            </w:r>
          </w:p>
          <w:p>
            <w:pPr>
              <w:pStyle w:val="25"/>
              <w:keepNext w:val="0"/>
              <w:keepLines w:val="0"/>
              <w:pageBreakBefore w:val="0"/>
              <w:suppressLineNumbers w:val="0"/>
              <w:kinsoku/>
              <w:overflowPunct/>
              <w:bidi w:val="0"/>
              <w:spacing w:before="0" w:beforeAutospacing="0" w:after="0" w:afterAutospacing="0" w:line="360" w:lineRule="auto"/>
              <w:ind w:left="0" w:leftChars="0" w:right="0"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c.投标人未提出不同的工程验收、计量、支付办法；</w:t>
            </w:r>
          </w:p>
          <w:p>
            <w:pPr>
              <w:pStyle w:val="25"/>
              <w:keepNext w:val="0"/>
              <w:keepLines w:val="0"/>
              <w:pageBreakBefore w:val="0"/>
              <w:suppressLineNumbers w:val="0"/>
              <w:kinsoku/>
              <w:overflowPunct/>
              <w:bidi w:val="0"/>
              <w:spacing w:before="0" w:beforeAutospacing="0" w:after="0" w:afterAutospacing="0" w:line="360" w:lineRule="auto"/>
              <w:ind w:left="0" w:leftChars="0" w:right="0"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d.投标人对合同纠纷、事故处理办法未提出异议；</w:t>
            </w:r>
          </w:p>
          <w:p>
            <w:pPr>
              <w:pStyle w:val="25"/>
              <w:keepNext w:val="0"/>
              <w:keepLines w:val="0"/>
              <w:pageBreakBefore w:val="0"/>
              <w:suppressLineNumbers w:val="0"/>
              <w:kinsoku/>
              <w:overflowPunct/>
              <w:bidi w:val="0"/>
              <w:spacing w:before="0" w:beforeAutospacing="0" w:after="0" w:afterAutospacing="0" w:line="360" w:lineRule="auto"/>
              <w:ind w:left="0" w:leftChars="0" w:right="0"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e.投标人在投标活动中无欺诈行为；</w:t>
            </w:r>
          </w:p>
          <w:p>
            <w:pPr>
              <w:pStyle w:val="25"/>
              <w:keepNext w:val="0"/>
              <w:keepLines w:val="0"/>
              <w:pageBreakBefore w:val="0"/>
              <w:suppressLineNumbers w:val="0"/>
              <w:kinsoku/>
              <w:overflowPunct/>
              <w:bidi w:val="0"/>
              <w:spacing w:before="0" w:beforeAutospacing="0" w:after="0" w:afterAutospacing="0" w:line="360" w:lineRule="auto"/>
              <w:ind w:left="0" w:leftChars="0" w:right="0" w:firstLine="210" w:firstLineChars="100"/>
              <w:rPr>
                <w:rFonts w:hint="eastAsia" w:ascii="宋体" w:hAnsi="宋体" w:eastAsia="宋体" w:cs="宋体"/>
                <w:sz w:val="24"/>
                <w:szCs w:val="24"/>
              </w:rPr>
            </w:pPr>
            <w:r>
              <w:rPr>
                <w:rFonts w:hint="eastAsia" w:ascii="宋体" w:hAnsi="宋体" w:eastAsia="宋体" w:cs="宋体"/>
                <w:sz w:val="21"/>
                <w:szCs w:val="21"/>
                <w:lang w:val="en-US" w:eastAsia="zh-CN"/>
              </w:rPr>
              <w:t>f.投标人未对合同条款有重要保留。</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8" w:hRule="atLeast"/>
          <w:jc w:val="right"/>
        </w:trPr>
        <w:tc>
          <w:tcPr>
            <w:tcW w:w="789"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jc w:val="center"/>
              <w:rPr>
                <w:rStyle w:val="67"/>
                <w:rFonts w:hint="eastAsia" w:ascii="宋体" w:hAnsi="宋体" w:eastAsia="宋体" w:cs="宋体"/>
                <w:spacing w:val="2"/>
                <w:kern w:val="0"/>
                <w:sz w:val="21"/>
                <w:szCs w:val="21"/>
                <w:highlight w:val="none"/>
                <w:lang w:val="en-US" w:eastAsia="zh-CN"/>
              </w:rPr>
            </w:pPr>
          </w:p>
        </w:tc>
        <w:tc>
          <w:tcPr>
            <w:tcW w:w="1684" w:type="dxa"/>
            <w:gridSpan w:val="2"/>
            <w:noWrap w:val="0"/>
            <w:vAlign w:val="center"/>
          </w:tcPr>
          <w:p>
            <w:pPr>
              <w:keepNext w:val="0"/>
              <w:keepLines w:val="0"/>
              <w:pageBreakBefore w:val="0"/>
              <w:suppressLineNumbers w:val="0"/>
              <w:kinsoku/>
              <w:overflowPunct/>
              <w:bidi w:val="0"/>
              <w:snapToGrid w:val="0"/>
              <w:spacing w:before="0" w:beforeAutospacing="0" w:after="0" w:afterAutospacing="0" w:line="360" w:lineRule="auto"/>
              <w:ind w:left="0" w:leftChars="0" w:right="0" w:firstLine="77" w:firstLineChars="36"/>
              <w:contextualSpacing/>
              <w:jc w:val="center"/>
              <w:rPr>
                <w:rStyle w:val="67"/>
                <w:rFonts w:hint="eastAsia" w:ascii="宋体" w:hAnsi="宋体" w:eastAsia="宋体" w:cs="宋体"/>
                <w:spacing w:val="2"/>
                <w:kern w:val="0"/>
                <w:sz w:val="21"/>
                <w:szCs w:val="21"/>
                <w:highlight w:val="none"/>
              </w:rPr>
            </w:pPr>
            <w:r>
              <w:rPr>
                <w:rStyle w:val="67"/>
                <w:rFonts w:hint="eastAsia" w:ascii="宋体" w:hAnsi="宋体" w:eastAsia="宋体" w:cs="宋体"/>
                <w:spacing w:val="2"/>
                <w:kern w:val="0"/>
                <w:sz w:val="21"/>
                <w:szCs w:val="21"/>
                <w:highlight w:val="none"/>
              </w:rPr>
              <w:t>形式评审与响应性评审标准</w:t>
            </w:r>
          </w:p>
        </w:tc>
        <w:tc>
          <w:tcPr>
            <w:tcW w:w="7246" w:type="dxa"/>
            <w:gridSpan w:val="4"/>
            <w:noWrap w:val="0"/>
            <w:vAlign w:val="center"/>
          </w:tcPr>
          <w:p>
            <w:pPr>
              <w:pStyle w:val="25"/>
              <w:keepNext w:val="0"/>
              <w:keepLines w:val="0"/>
              <w:pageBreakBefore w:val="0"/>
              <w:suppressLineNumbers w:val="0"/>
              <w:kinsoku/>
              <w:overflowPunct/>
              <w:bidi w:val="0"/>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b/>
                <w:bCs/>
                <w:sz w:val="21"/>
                <w:szCs w:val="21"/>
              </w:rPr>
              <w:t>第二个信封（报价文件）评审标准：</w:t>
            </w:r>
          </w:p>
          <w:p>
            <w:pPr>
              <w:pStyle w:val="25"/>
              <w:keepNext w:val="0"/>
              <w:keepLines w:val="0"/>
              <w:pageBreakBefore w:val="0"/>
              <w:suppressLineNumbers w:val="0"/>
              <w:kinsoku/>
              <w:overflowPunct/>
              <w:bidi w:val="0"/>
              <w:spacing w:before="0" w:beforeAutospacing="0" w:after="0" w:afterAutospacing="0" w:line="360" w:lineRule="auto"/>
              <w:ind w:left="0" w:leftChars="0" w:right="0"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（1）投标文件按照招标文件规定的格式、内容填写，字迹清晰可辨：</w:t>
            </w:r>
          </w:p>
          <w:p>
            <w:pPr>
              <w:pStyle w:val="25"/>
              <w:keepNext w:val="0"/>
              <w:keepLines w:val="0"/>
              <w:pageBreakBefore w:val="0"/>
              <w:suppressLineNumbers w:val="0"/>
              <w:kinsoku/>
              <w:overflowPunct/>
              <w:bidi w:val="0"/>
              <w:spacing w:before="0" w:beforeAutospacing="0" w:after="0" w:afterAutospacing="0" w:line="360" w:lineRule="auto"/>
              <w:ind w:left="0" w:leftChars="0" w:right="0"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a.投标函按招标文件规定填报了项目名称、补遗书编号（如有）、投标价（包括大写金额和小写金额）；</w:t>
            </w:r>
          </w:p>
          <w:p>
            <w:pPr>
              <w:pStyle w:val="25"/>
              <w:keepNext w:val="0"/>
              <w:keepLines w:val="0"/>
              <w:pageBreakBefore w:val="0"/>
              <w:suppressLineNumbers w:val="0"/>
              <w:kinsoku/>
              <w:overflowPunct/>
              <w:bidi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b.已标价工程量清单说明文字与招标文件规定一致，未进行实质性修改和删减；</w:t>
            </w:r>
          </w:p>
          <w:p>
            <w:pPr>
              <w:pStyle w:val="25"/>
              <w:keepNext w:val="0"/>
              <w:keepLines w:val="0"/>
              <w:pageBreakBefore w:val="0"/>
              <w:suppressLineNumbers w:val="0"/>
              <w:kinsoku/>
              <w:overflowPunct/>
              <w:bidi w:val="0"/>
              <w:spacing w:before="0" w:beforeAutospacing="0" w:after="0" w:afterAutospacing="0" w:line="360" w:lineRule="auto"/>
              <w:ind w:left="0" w:leftChars="0" w:right="0"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c.投标文件组成齐全完整，内容均按规定填写。</w:t>
            </w:r>
          </w:p>
          <w:p>
            <w:pPr>
              <w:pStyle w:val="25"/>
              <w:keepNext w:val="0"/>
              <w:keepLines w:val="0"/>
              <w:pageBreakBefore w:val="0"/>
              <w:suppressLineNumbers w:val="0"/>
              <w:kinsoku/>
              <w:overflowPunct/>
              <w:bidi w:val="0"/>
              <w:spacing w:before="0" w:beforeAutospacing="0" w:after="0" w:afterAutospacing="0" w:line="360" w:lineRule="auto"/>
              <w:ind w:left="0" w:leftChars="0" w:right="0"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（2）投标文件上法定代表人或其委托代理人的签字或签章、投标人的单位章盖章齐全，符合招标文件规定。</w:t>
            </w:r>
          </w:p>
          <w:p>
            <w:pPr>
              <w:pStyle w:val="25"/>
              <w:keepNext w:val="0"/>
              <w:keepLines w:val="0"/>
              <w:pageBreakBefore w:val="0"/>
              <w:suppressLineNumbers w:val="0"/>
              <w:kinsoku/>
              <w:overflowPunct/>
              <w:bidi w:val="0"/>
              <w:spacing w:before="0" w:beforeAutospacing="0" w:after="0" w:afterAutospacing="0" w:line="360" w:lineRule="auto"/>
              <w:ind w:left="0" w:leftChars="0" w:right="0"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（3）投标报价中的报价未超过招标文件设定的最高投标限价。</w:t>
            </w:r>
          </w:p>
          <w:p>
            <w:pPr>
              <w:pStyle w:val="25"/>
              <w:keepNext w:val="0"/>
              <w:keepLines w:val="0"/>
              <w:pageBreakBefore w:val="0"/>
              <w:suppressLineNumbers w:val="0"/>
              <w:kinsoku/>
              <w:overflowPunct/>
              <w:bidi w:val="0"/>
              <w:spacing w:before="0" w:beforeAutospacing="0" w:after="0" w:afterAutospacing="0" w:line="360" w:lineRule="auto"/>
              <w:ind w:left="0" w:leftChars="0" w:right="0"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（4）投标报价中报价的大写金额能够确定具体数值。</w:t>
            </w:r>
          </w:p>
          <w:p>
            <w:pPr>
              <w:pStyle w:val="25"/>
              <w:keepNext w:val="0"/>
              <w:keepLines w:val="0"/>
              <w:pageBreakBefore w:val="0"/>
              <w:suppressLineNumbers w:val="0"/>
              <w:kinsoku/>
              <w:overflowPunct/>
              <w:bidi w:val="0"/>
              <w:spacing w:before="0" w:beforeAutospacing="0" w:after="0" w:afterAutospacing="0" w:line="360" w:lineRule="auto"/>
              <w:ind w:left="0" w:leftChars="0" w:right="0"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（5）同一投标人未提交两个以上不同的投标报价，但招标文件要求提交备选投标的除外。</w:t>
            </w:r>
          </w:p>
          <w:p>
            <w:pPr>
              <w:pStyle w:val="25"/>
              <w:keepNext w:val="0"/>
              <w:keepLines w:val="0"/>
              <w:pageBreakBefore w:val="0"/>
              <w:suppressLineNumbers w:val="0"/>
              <w:kinsoku/>
              <w:overflowPunct/>
              <w:bidi w:val="0"/>
              <w:spacing w:before="0" w:beforeAutospacing="0" w:after="0" w:afterAutospacing="0" w:line="360" w:lineRule="auto"/>
              <w:ind w:left="0" w:leftChars="0" w:right="0" w:firstLine="210" w:firstLineChars="100"/>
              <w:rPr>
                <w:rFonts w:hint="eastAsia" w:ascii="宋体" w:hAnsi="宋体" w:eastAsia="宋体" w:cs="宋体"/>
                <w:sz w:val="24"/>
                <w:szCs w:val="24"/>
              </w:rPr>
            </w:pPr>
            <w:r>
              <w:rPr>
                <w:rFonts w:hint="eastAsia" w:ascii="宋体" w:hAnsi="宋体" w:eastAsia="宋体" w:cs="宋体"/>
                <w:sz w:val="21"/>
                <w:szCs w:val="21"/>
                <w:lang w:val="en-US" w:eastAsia="zh-CN"/>
              </w:rPr>
              <w:t>（6）投标人若填写工程量固化清单，填写完毕的工程量固化清单未对工程量固化清单电子文件中的数据、格式和运算定义进行修改；工程量固化清单中的投标报价和投标函大写金额报价一致。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089" w:hRule="atLeast"/>
          <w:jc w:val="right"/>
        </w:trPr>
        <w:tc>
          <w:tcPr>
            <w:tcW w:w="789"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jc w:val="center"/>
              <w:rPr>
                <w:rStyle w:val="67"/>
                <w:rFonts w:hint="eastAsia" w:ascii="宋体" w:hAnsi="宋体" w:eastAsia="宋体" w:cs="宋体"/>
                <w:spacing w:val="2"/>
                <w:kern w:val="0"/>
                <w:sz w:val="21"/>
                <w:szCs w:val="21"/>
                <w:highlight w:val="none"/>
                <w:lang w:eastAsia="zh-CN"/>
              </w:rPr>
            </w:pPr>
            <w:r>
              <w:rPr>
                <w:rStyle w:val="67"/>
                <w:rFonts w:hint="eastAsia" w:ascii="宋体" w:hAnsi="宋体" w:eastAsia="宋体" w:cs="宋体"/>
                <w:spacing w:val="2"/>
                <w:kern w:val="0"/>
                <w:sz w:val="21"/>
                <w:szCs w:val="21"/>
                <w:highlight w:val="none"/>
              </w:rPr>
              <w:t>2.1.</w:t>
            </w:r>
            <w:r>
              <w:rPr>
                <w:rStyle w:val="67"/>
                <w:rFonts w:hint="eastAsia" w:ascii="宋体" w:hAnsi="宋体" w:eastAsia="宋体" w:cs="宋体"/>
                <w:spacing w:val="2"/>
                <w:kern w:val="0"/>
                <w:sz w:val="21"/>
                <w:szCs w:val="21"/>
                <w:highlight w:val="none"/>
                <w:lang w:val="en-US" w:eastAsia="zh-CN"/>
              </w:rPr>
              <w:t>2</w:t>
            </w:r>
          </w:p>
        </w:tc>
        <w:tc>
          <w:tcPr>
            <w:tcW w:w="1684" w:type="dxa"/>
            <w:gridSpan w:val="2"/>
            <w:noWrap w:val="0"/>
            <w:vAlign w:val="center"/>
          </w:tcPr>
          <w:p>
            <w:pPr>
              <w:keepNext w:val="0"/>
              <w:keepLines w:val="0"/>
              <w:pageBreakBefore w:val="0"/>
              <w:suppressLineNumbers w:val="0"/>
              <w:kinsoku/>
              <w:overflowPunct/>
              <w:bidi w:val="0"/>
              <w:snapToGrid w:val="0"/>
              <w:spacing w:before="0" w:beforeAutospacing="0" w:after="0" w:afterAutospacing="0" w:line="360" w:lineRule="auto"/>
              <w:ind w:left="0" w:leftChars="0" w:right="0" w:firstLine="77" w:firstLineChars="36"/>
              <w:contextualSpacing/>
              <w:jc w:val="center"/>
              <w:rPr>
                <w:rStyle w:val="67"/>
                <w:rFonts w:hint="eastAsia" w:ascii="宋体" w:hAnsi="宋体" w:eastAsia="宋体" w:cs="宋体"/>
                <w:spacing w:val="2"/>
                <w:kern w:val="0"/>
                <w:sz w:val="21"/>
                <w:szCs w:val="21"/>
                <w:highlight w:val="none"/>
              </w:rPr>
            </w:pPr>
            <w:r>
              <w:rPr>
                <w:rStyle w:val="67"/>
                <w:rFonts w:hint="eastAsia" w:ascii="宋体" w:hAnsi="宋体" w:eastAsia="宋体" w:cs="宋体"/>
                <w:spacing w:val="2"/>
                <w:kern w:val="0"/>
                <w:sz w:val="21"/>
                <w:szCs w:val="21"/>
                <w:highlight w:val="none"/>
              </w:rPr>
              <w:t>资格评</w:t>
            </w:r>
          </w:p>
          <w:p>
            <w:pPr>
              <w:keepNext w:val="0"/>
              <w:keepLines w:val="0"/>
              <w:pageBreakBefore w:val="0"/>
              <w:suppressLineNumbers w:val="0"/>
              <w:kinsoku/>
              <w:overflowPunct/>
              <w:bidi w:val="0"/>
              <w:snapToGrid w:val="0"/>
              <w:spacing w:before="0" w:beforeAutospacing="0" w:after="0" w:afterAutospacing="0" w:line="360" w:lineRule="auto"/>
              <w:ind w:left="0" w:leftChars="0" w:right="0" w:firstLine="77" w:firstLineChars="36"/>
              <w:contextualSpacing/>
              <w:jc w:val="center"/>
              <w:rPr>
                <w:rStyle w:val="67"/>
                <w:rFonts w:hint="eastAsia" w:ascii="宋体" w:hAnsi="宋体" w:eastAsia="宋体" w:cs="宋体"/>
                <w:spacing w:val="2"/>
                <w:kern w:val="0"/>
                <w:sz w:val="21"/>
                <w:szCs w:val="21"/>
                <w:highlight w:val="none"/>
              </w:rPr>
            </w:pPr>
            <w:r>
              <w:rPr>
                <w:rStyle w:val="67"/>
                <w:rFonts w:hint="eastAsia" w:ascii="宋体" w:hAnsi="宋体" w:eastAsia="宋体" w:cs="宋体"/>
                <w:spacing w:val="2"/>
                <w:kern w:val="0"/>
                <w:sz w:val="21"/>
                <w:szCs w:val="21"/>
                <w:highlight w:val="none"/>
              </w:rPr>
              <w:t>审标准</w:t>
            </w:r>
          </w:p>
        </w:tc>
        <w:tc>
          <w:tcPr>
            <w:tcW w:w="7246" w:type="dxa"/>
            <w:gridSpan w:val="4"/>
            <w:noWrap w:val="0"/>
            <w:vAlign w:val="center"/>
          </w:tcPr>
          <w:p>
            <w:pPr>
              <w:pStyle w:val="72"/>
              <w:keepNext w:val="0"/>
              <w:keepLines w:val="0"/>
              <w:suppressLineNumbers w:val="0"/>
              <w:spacing w:before="68" w:beforeAutospacing="0" w:after="0" w:afterAutospacing="0" w:line="265" w:lineRule="auto"/>
              <w:ind w:left="0" w:right="0" w:firstLine="420" w:firstLineChars="200"/>
              <w:rPr>
                <w:rFonts w:hint="eastAsia"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bidi="ar-SA"/>
              </w:rPr>
              <w:t>（1）投标人具备有效的营业执照、资质证书、安全生产许可证和基本账户开户许可证（或基本存款账户信息）。</w:t>
            </w:r>
          </w:p>
          <w:p>
            <w:pPr>
              <w:pStyle w:val="72"/>
              <w:keepNext w:val="0"/>
              <w:keepLines w:val="0"/>
              <w:suppressLineNumbers w:val="0"/>
              <w:spacing w:before="104" w:beforeAutospacing="0" w:after="0" w:afterAutospacing="0" w:line="221" w:lineRule="auto"/>
              <w:ind w:left="435" w:right="0"/>
              <w:rPr>
                <w:rFonts w:hint="eastAsia"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bidi="ar-SA"/>
              </w:rPr>
              <w:t>（2）投标人的资质等级符合招标文件规定。</w:t>
            </w:r>
          </w:p>
          <w:p>
            <w:pPr>
              <w:pStyle w:val="72"/>
              <w:keepNext w:val="0"/>
              <w:keepLines w:val="0"/>
              <w:suppressLineNumbers w:val="0"/>
              <w:spacing w:before="101" w:beforeAutospacing="0" w:after="0" w:afterAutospacing="0" w:line="221" w:lineRule="auto"/>
              <w:ind w:left="435" w:right="0"/>
              <w:rPr>
                <w:rFonts w:hint="default"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bidi="ar-SA"/>
              </w:rPr>
              <w:t>（3）投标人的财务状况符合招标文件规定。</w:t>
            </w:r>
            <w:r>
              <w:rPr>
                <w:rFonts w:hint="eastAsia" w:cs="宋体"/>
                <w:b/>
                <w:bCs/>
                <w:color w:val="000000"/>
                <w:sz w:val="21"/>
                <w:szCs w:val="21"/>
                <w:lang w:val="en-US" w:eastAsia="zh-CN" w:bidi="ar-SA"/>
              </w:rPr>
              <w:t>（本项目不适用）</w:t>
            </w:r>
          </w:p>
          <w:p>
            <w:pPr>
              <w:pStyle w:val="72"/>
              <w:keepNext w:val="0"/>
              <w:keepLines w:val="0"/>
              <w:suppressLineNumbers w:val="0"/>
              <w:spacing w:before="103" w:beforeAutospacing="0" w:after="0" w:afterAutospacing="0" w:line="221" w:lineRule="auto"/>
              <w:ind w:left="435" w:right="0"/>
              <w:rPr>
                <w:rFonts w:hint="eastAsia"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bidi="ar-SA"/>
              </w:rPr>
              <w:t>（4）投标人的类似项目业绩符合招标文件规定。</w:t>
            </w:r>
          </w:p>
          <w:p>
            <w:pPr>
              <w:pStyle w:val="72"/>
              <w:keepNext w:val="0"/>
              <w:keepLines w:val="0"/>
              <w:suppressLineNumbers w:val="0"/>
              <w:spacing w:before="102" w:beforeAutospacing="0" w:after="0" w:afterAutospacing="0" w:line="220" w:lineRule="auto"/>
              <w:ind w:left="435" w:right="0"/>
              <w:rPr>
                <w:rFonts w:hint="eastAsia"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bidi="ar-SA"/>
              </w:rPr>
              <w:t>（5）投标人的信誉符合招标文件规定。</w:t>
            </w:r>
          </w:p>
          <w:p>
            <w:pPr>
              <w:pStyle w:val="72"/>
              <w:keepNext w:val="0"/>
              <w:keepLines w:val="0"/>
              <w:suppressLineNumbers w:val="0"/>
              <w:spacing w:before="105" w:beforeAutospacing="0" w:after="0" w:afterAutospacing="0" w:line="221" w:lineRule="auto"/>
              <w:ind w:left="435" w:right="0"/>
              <w:rPr>
                <w:rFonts w:hint="eastAsia"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bidi="ar-SA"/>
              </w:rPr>
              <w:t>（6）投标人的项目经理和项目总工资格、在岗情况符合招标文件规定。</w:t>
            </w:r>
          </w:p>
          <w:p>
            <w:pPr>
              <w:pStyle w:val="72"/>
              <w:keepNext w:val="0"/>
              <w:keepLines w:val="0"/>
              <w:suppressLineNumbers w:val="0"/>
              <w:spacing w:before="102" w:beforeAutospacing="0" w:after="0" w:afterAutospacing="0" w:line="267" w:lineRule="auto"/>
              <w:ind w:left="12" w:right="2" w:firstLine="422"/>
              <w:rPr>
                <w:rFonts w:hint="eastAsia"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bidi="ar-SA"/>
              </w:rPr>
              <w:t>（7）投标人不存在第二章“投标人须知”第1.4.3项或第1.4.4项规定的任何一种情形。</w:t>
            </w:r>
          </w:p>
          <w:p>
            <w:pPr>
              <w:pStyle w:val="72"/>
              <w:keepNext w:val="0"/>
              <w:keepLines w:val="0"/>
              <w:suppressLineNumbers w:val="0"/>
              <w:spacing w:before="102" w:beforeAutospacing="0" w:after="0" w:afterAutospacing="0" w:line="267" w:lineRule="auto"/>
              <w:ind w:left="12" w:right="2" w:firstLine="422"/>
              <w:rPr>
                <w:rFonts w:hint="eastAsia" w:ascii="宋体" w:hAnsi="宋体" w:eastAsia="宋体" w:cs="宋体"/>
                <w:sz w:val="24"/>
                <w:szCs w:val="24"/>
              </w:rPr>
            </w:pPr>
            <w:r>
              <w:rPr>
                <w:rFonts w:hint="eastAsia" w:ascii="宋体" w:hAnsi="宋体" w:eastAsia="宋体" w:cs="宋体"/>
                <w:color w:val="000000"/>
                <w:sz w:val="21"/>
                <w:szCs w:val="21"/>
                <w:lang w:val="en-US" w:eastAsia="zh-CN" w:bidi="ar-SA"/>
              </w:rPr>
              <w:t>（8）投标人符合第二章“投标人须知”第1.4.5项规定。</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right"/>
        </w:trPr>
        <w:tc>
          <w:tcPr>
            <w:tcW w:w="789"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Pr>
                <w:rFonts w:hint="eastAsia" w:ascii="宋体" w:hAnsi="宋体" w:eastAsia="宋体" w:cs="宋体"/>
                <w:b/>
                <w:bCs/>
                <w:sz w:val="24"/>
                <w:szCs w:val="24"/>
              </w:rPr>
            </w:pPr>
            <w:r>
              <w:rPr>
                <w:rFonts w:hint="eastAsia" w:ascii="宋体" w:hAnsi="宋体" w:eastAsia="宋体" w:cs="宋体"/>
                <w:b/>
                <w:bCs/>
                <w:sz w:val="24"/>
                <w:szCs w:val="24"/>
              </w:rPr>
              <w:br w:type="page"/>
            </w:r>
            <w:r>
              <w:rPr>
                <w:rFonts w:hint="eastAsia" w:ascii="宋体" w:hAnsi="宋体" w:eastAsia="宋体" w:cs="宋体"/>
                <w:b/>
                <w:bCs/>
                <w:sz w:val="24"/>
                <w:szCs w:val="24"/>
              </w:rPr>
              <w:t>条款号</w:t>
            </w:r>
          </w:p>
        </w:tc>
        <w:tc>
          <w:tcPr>
            <w:tcW w:w="1684" w:type="dxa"/>
            <w:gridSpan w:val="2"/>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条款内容</w:t>
            </w:r>
          </w:p>
        </w:tc>
        <w:tc>
          <w:tcPr>
            <w:tcW w:w="7246" w:type="dxa"/>
            <w:gridSpan w:val="4"/>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编列内容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67" w:hRule="atLeast"/>
          <w:jc w:val="right"/>
        </w:trPr>
        <w:tc>
          <w:tcPr>
            <w:tcW w:w="78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Style w:val="67"/>
                <w:rFonts w:hint="eastAsia" w:ascii="宋体" w:hAnsi="宋体" w:eastAsia="宋体" w:cs="宋体"/>
                <w:spacing w:val="2"/>
                <w:kern w:val="0"/>
                <w:sz w:val="21"/>
                <w:szCs w:val="21"/>
                <w:highlight w:val="none"/>
              </w:rPr>
            </w:pPr>
            <w:r>
              <w:rPr>
                <w:rStyle w:val="67"/>
                <w:rFonts w:hint="eastAsia" w:ascii="宋体" w:hAnsi="宋体" w:eastAsia="宋体" w:cs="宋体"/>
                <w:spacing w:val="2"/>
                <w:kern w:val="0"/>
                <w:sz w:val="21"/>
                <w:szCs w:val="21"/>
                <w:highlight w:val="none"/>
              </w:rPr>
              <w:t>2.2.1</w:t>
            </w:r>
          </w:p>
        </w:tc>
        <w:tc>
          <w:tcPr>
            <w:tcW w:w="1684" w:type="dxa"/>
            <w:gridSpan w:val="2"/>
            <w:noWrap w:val="0"/>
            <w:vAlign w:val="center"/>
          </w:tcPr>
          <w:p>
            <w:pPr>
              <w:keepNext w:val="0"/>
              <w:keepLines w:val="0"/>
              <w:pageBreakBefore w:val="0"/>
              <w:suppressLineNumbers w:val="0"/>
              <w:kinsoku/>
              <w:overflowPunct/>
              <w:bidi w:val="0"/>
              <w:snapToGrid w:val="0"/>
              <w:spacing w:before="0" w:beforeAutospacing="0" w:after="0" w:afterAutospacing="0" w:line="360" w:lineRule="auto"/>
              <w:ind w:left="0" w:leftChars="0" w:right="0" w:firstLine="77" w:firstLineChars="36"/>
              <w:contextualSpacing/>
              <w:jc w:val="center"/>
              <w:rPr>
                <w:rStyle w:val="67"/>
                <w:rFonts w:hint="eastAsia" w:ascii="宋体" w:hAnsi="宋体" w:eastAsia="宋体" w:cs="宋体"/>
                <w:spacing w:val="2"/>
                <w:kern w:val="0"/>
                <w:sz w:val="21"/>
                <w:szCs w:val="21"/>
                <w:highlight w:val="none"/>
                <w:lang w:val="en-US" w:eastAsia="zh-CN"/>
              </w:rPr>
            </w:pPr>
            <w:r>
              <w:rPr>
                <w:rStyle w:val="67"/>
                <w:rFonts w:hint="eastAsia" w:ascii="宋体" w:hAnsi="宋体" w:eastAsia="宋体" w:cs="宋体"/>
                <w:spacing w:val="2"/>
                <w:kern w:val="0"/>
                <w:sz w:val="21"/>
                <w:szCs w:val="21"/>
                <w:highlight w:val="none"/>
                <w:lang w:val="en-US" w:eastAsia="zh-CN"/>
              </w:rPr>
              <w:t>第一个信封</w:t>
            </w:r>
          </w:p>
          <w:p>
            <w:pPr>
              <w:keepNext w:val="0"/>
              <w:keepLines w:val="0"/>
              <w:pageBreakBefore w:val="0"/>
              <w:suppressLineNumbers w:val="0"/>
              <w:kinsoku/>
              <w:overflowPunct/>
              <w:bidi w:val="0"/>
              <w:snapToGrid w:val="0"/>
              <w:spacing w:before="0" w:beforeAutospacing="0" w:after="0" w:afterAutospacing="0" w:line="360" w:lineRule="auto"/>
              <w:ind w:left="0" w:leftChars="0" w:right="0" w:firstLine="77" w:firstLineChars="36"/>
              <w:contextualSpacing/>
              <w:jc w:val="center"/>
              <w:rPr>
                <w:rStyle w:val="67"/>
                <w:rFonts w:hint="eastAsia" w:ascii="宋体" w:hAnsi="宋体" w:eastAsia="宋体" w:cs="宋体"/>
                <w:spacing w:val="2"/>
                <w:kern w:val="0"/>
                <w:sz w:val="21"/>
                <w:szCs w:val="21"/>
                <w:highlight w:val="none"/>
                <w:lang w:val="en-US" w:eastAsia="zh-CN"/>
              </w:rPr>
            </w:pPr>
            <w:r>
              <w:rPr>
                <w:rStyle w:val="67"/>
                <w:rFonts w:hint="eastAsia" w:ascii="宋体" w:hAnsi="宋体" w:eastAsia="宋体" w:cs="宋体"/>
                <w:spacing w:val="2"/>
                <w:kern w:val="0"/>
                <w:sz w:val="21"/>
                <w:szCs w:val="21"/>
                <w:highlight w:val="none"/>
                <w:lang w:val="en-US" w:eastAsia="zh-CN"/>
              </w:rPr>
              <w:t>评分分值构成</w:t>
            </w:r>
          </w:p>
          <w:p>
            <w:pPr>
              <w:keepNext w:val="0"/>
              <w:keepLines w:val="0"/>
              <w:pageBreakBefore w:val="0"/>
              <w:suppressLineNumbers w:val="0"/>
              <w:kinsoku/>
              <w:overflowPunct/>
              <w:bidi w:val="0"/>
              <w:snapToGrid w:val="0"/>
              <w:spacing w:before="0" w:beforeAutospacing="0" w:after="0" w:afterAutospacing="0" w:line="360" w:lineRule="auto"/>
              <w:ind w:left="0" w:leftChars="0" w:right="0" w:firstLine="77" w:firstLineChars="36"/>
              <w:contextualSpacing/>
              <w:jc w:val="center"/>
              <w:rPr>
                <w:rStyle w:val="67"/>
                <w:rFonts w:hint="eastAsia" w:ascii="宋体" w:hAnsi="宋体" w:eastAsia="宋体" w:cs="宋体"/>
                <w:spacing w:val="2"/>
                <w:kern w:val="0"/>
                <w:sz w:val="21"/>
                <w:szCs w:val="21"/>
                <w:highlight w:val="none"/>
                <w:lang w:val="en-US" w:eastAsia="zh-CN"/>
              </w:rPr>
            </w:pPr>
            <w:r>
              <w:rPr>
                <w:rStyle w:val="67"/>
                <w:rFonts w:hint="eastAsia" w:ascii="宋体" w:hAnsi="宋体" w:eastAsia="宋体" w:cs="宋体"/>
                <w:spacing w:val="2"/>
                <w:kern w:val="0"/>
                <w:sz w:val="21"/>
                <w:szCs w:val="21"/>
                <w:highlight w:val="none"/>
                <w:lang w:val="en-US" w:eastAsia="zh-CN"/>
              </w:rPr>
              <w:t>（总分100分）</w:t>
            </w:r>
          </w:p>
        </w:tc>
        <w:tc>
          <w:tcPr>
            <w:tcW w:w="7246" w:type="dxa"/>
            <w:gridSpan w:val="4"/>
            <w:noWrap w:val="0"/>
            <w:vAlign w:val="center"/>
          </w:tcPr>
          <w:p>
            <w:pPr>
              <w:pStyle w:val="66"/>
              <w:keepNext w:val="0"/>
              <w:keepLines w:val="0"/>
              <w:pageBreakBefore w:val="0"/>
              <w:widowControl/>
              <w:suppressLineNumbers w:val="0"/>
              <w:kinsoku/>
              <w:overflowPunct/>
              <w:bidi w:val="0"/>
              <w:snapToGrid w:val="0"/>
              <w:spacing w:before="0" w:beforeAutospacing="0" w:after="0" w:afterAutospacing="0" w:line="360" w:lineRule="auto"/>
              <w:ind w:left="0" w:leftChars="0" w:right="0" w:firstLine="422" w:firstLineChars="200"/>
              <w:jc w:val="left"/>
              <w:textAlignment w:val="baseline"/>
              <w:rPr>
                <w:rStyle w:val="67"/>
                <w:rFonts w:hint="eastAsia" w:ascii="宋体" w:hAnsi="宋体" w:eastAsia="宋体" w:cs="宋体"/>
                <w:b/>
                <w:bCs/>
                <w:i w:val="0"/>
                <w:caps w:val="0"/>
                <w:spacing w:val="0"/>
                <w:w w:val="100"/>
                <w:kern w:val="0"/>
                <w:sz w:val="21"/>
                <w:szCs w:val="21"/>
                <w:lang w:val="en-US" w:eastAsia="zh-CN" w:bidi="ar-SA"/>
              </w:rPr>
            </w:pPr>
            <w:r>
              <w:rPr>
                <w:rStyle w:val="67"/>
                <w:rFonts w:hint="eastAsia" w:ascii="宋体" w:hAnsi="宋体" w:eastAsia="宋体" w:cs="宋体"/>
                <w:b/>
                <w:bCs/>
                <w:i w:val="0"/>
                <w:caps w:val="0"/>
                <w:spacing w:val="0"/>
                <w:w w:val="100"/>
                <w:kern w:val="0"/>
                <w:sz w:val="21"/>
                <w:szCs w:val="21"/>
                <w:lang w:val="en-US" w:eastAsia="zh-CN" w:bidi="ar-SA"/>
              </w:rPr>
              <w:t>（一）施工组织设计：</w:t>
            </w:r>
            <w:r>
              <w:rPr>
                <w:rStyle w:val="67"/>
                <w:rFonts w:hint="eastAsia" w:ascii="宋体" w:hAnsi="宋体" w:eastAsia="宋体" w:cs="宋体"/>
                <w:b/>
                <w:bCs/>
                <w:i w:val="0"/>
                <w:caps w:val="0"/>
                <w:spacing w:val="0"/>
                <w:w w:val="100"/>
                <w:kern w:val="0"/>
                <w:sz w:val="21"/>
                <w:szCs w:val="21"/>
                <w:u w:val="single" w:color="000000"/>
                <w:lang w:val="en-US" w:eastAsia="zh-CN" w:bidi="ar-SA"/>
              </w:rPr>
              <w:t>40</w:t>
            </w:r>
            <w:r>
              <w:rPr>
                <w:rStyle w:val="67"/>
                <w:rFonts w:hint="eastAsia" w:ascii="宋体" w:hAnsi="宋体" w:eastAsia="宋体" w:cs="宋体"/>
                <w:b/>
                <w:bCs/>
                <w:i w:val="0"/>
                <w:caps w:val="0"/>
                <w:spacing w:val="0"/>
                <w:w w:val="100"/>
                <w:kern w:val="0"/>
                <w:sz w:val="21"/>
                <w:szCs w:val="21"/>
                <w:lang w:val="en-US" w:eastAsia="zh-CN" w:bidi="ar-SA"/>
              </w:rPr>
              <w:t>分</w:t>
            </w:r>
          </w:p>
          <w:p>
            <w:pPr>
              <w:pStyle w:val="66"/>
              <w:keepNext w:val="0"/>
              <w:keepLines w:val="0"/>
              <w:pageBreakBefore w:val="0"/>
              <w:widowControl/>
              <w:suppressLineNumbers w:val="0"/>
              <w:kinsoku/>
              <w:overflowPunct/>
              <w:bidi w:val="0"/>
              <w:snapToGrid w:val="0"/>
              <w:spacing w:before="0" w:beforeAutospacing="0" w:after="0" w:afterAutospacing="0" w:line="360" w:lineRule="auto"/>
              <w:ind w:left="0" w:leftChars="0" w:right="0" w:firstLine="422" w:firstLineChars="200"/>
              <w:jc w:val="left"/>
              <w:textAlignment w:val="baseline"/>
              <w:rPr>
                <w:rStyle w:val="67"/>
                <w:rFonts w:hint="eastAsia" w:ascii="宋体" w:hAnsi="宋体" w:eastAsia="宋体" w:cs="宋体"/>
                <w:b/>
                <w:bCs/>
                <w:i w:val="0"/>
                <w:caps w:val="0"/>
                <w:color w:val="auto"/>
                <w:spacing w:val="0"/>
                <w:w w:val="100"/>
                <w:kern w:val="0"/>
                <w:sz w:val="21"/>
                <w:szCs w:val="21"/>
                <w:lang w:val="en-US" w:eastAsia="zh-CN" w:bidi="ar-SA"/>
              </w:rPr>
            </w:pPr>
            <w:r>
              <w:rPr>
                <w:rStyle w:val="67"/>
                <w:rFonts w:hint="eastAsia" w:ascii="宋体" w:hAnsi="宋体" w:eastAsia="宋体" w:cs="宋体"/>
                <w:b/>
                <w:bCs/>
                <w:i w:val="0"/>
                <w:caps w:val="0"/>
                <w:color w:val="auto"/>
                <w:spacing w:val="0"/>
                <w:w w:val="100"/>
                <w:kern w:val="0"/>
                <w:sz w:val="21"/>
                <w:szCs w:val="21"/>
                <w:lang w:val="en-US" w:eastAsia="zh-CN" w:bidi="ar-SA"/>
              </w:rPr>
              <w:t>（二）主要人员：</w:t>
            </w:r>
            <w:r>
              <w:rPr>
                <w:rStyle w:val="67"/>
                <w:rFonts w:hint="eastAsia" w:ascii="宋体" w:hAnsi="宋体" w:eastAsia="宋体" w:cs="宋体"/>
                <w:b/>
                <w:bCs/>
                <w:i w:val="0"/>
                <w:caps w:val="0"/>
                <w:color w:val="auto"/>
                <w:spacing w:val="0"/>
                <w:w w:val="100"/>
                <w:kern w:val="0"/>
                <w:sz w:val="21"/>
                <w:szCs w:val="21"/>
                <w:u w:val="single" w:color="000000"/>
                <w:lang w:val="en-US" w:eastAsia="zh-CN" w:bidi="ar-SA"/>
              </w:rPr>
              <w:t>28</w:t>
            </w:r>
            <w:r>
              <w:rPr>
                <w:rStyle w:val="67"/>
                <w:rFonts w:hint="eastAsia" w:ascii="宋体" w:hAnsi="宋体" w:eastAsia="宋体" w:cs="宋体"/>
                <w:b/>
                <w:bCs/>
                <w:i w:val="0"/>
                <w:caps w:val="0"/>
                <w:color w:val="auto"/>
                <w:spacing w:val="0"/>
                <w:w w:val="100"/>
                <w:kern w:val="0"/>
                <w:sz w:val="21"/>
                <w:szCs w:val="21"/>
                <w:lang w:val="en-US" w:eastAsia="zh-CN" w:bidi="ar-SA"/>
              </w:rPr>
              <w:t>分</w:t>
            </w:r>
          </w:p>
          <w:p>
            <w:pPr>
              <w:pStyle w:val="66"/>
              <w:keepNext w:val="0"/>
              <w:keepLines w:val="0"/>
              <w:pageBreakBefore w:val="0"/>
              <w:widowControl/>
              <w:suppressLineNumbers w:val="0"/>
              <w:kinsoku/>
              <w:overflowPunct/>
              <w:bidi w:val="0"/>
              <w:snapToGrid w:val="0"/>
              <w:spacing w:before="0" w:beforeAutospacing="0" w:after="0" w:afterAutospacing="0" w:line="360" w:lineRule="auto"/>
              <w:ind w:left="0" w:leftChars="0" w:right="0" w:firstLine="422" w:firstLineChars="200"/>
              <w:jc w:val="left"/>
              <w:textAlignment w:val="baseline"/>
              <w:rPr>
                <w:rStyle w:val="67"/>
                <w:rFonts w:hint="eastAsia" w:ascii="宋体" w:hAnsi="宋体" w:eastAsia="宋体" w:cs="宋体"/>
                <w:b w:val="0"/>
                <w:i w:val="0"/>
                <w:caps w:val="0"/>
                <w:color w:val="auto"/>
                <w:spacing w:val="0"/>
                <w:w w:val="100"/>
                <w:kern w:val="0"/>
                <w:sz w:val="21"/>
                <w:szCs w:val="21"/>
                <w:lang w:val="en-US" w:eastAsia="zh-CN" w:bidi="ar-SA"/>
              </w:rPr>
            </w:pPr>
            <w:r>
              <w:rPr>
                <w:rStyle w:val="67"/>
                <w:rFonts w:hint="eastAsia" w:ascii="宋体" w:hAnsi="宋体" w:eastAsia="宋体" w:cs="宋体"/>
                <w:b/>
                <w:bCs/>
                <w:i w:val="0"/>
                <w:caps w:val="0"/>
                <w:color w:val="auto"/>
                <w:spacing w:val="0"/>
                <w:w w:val="100"/>
                <w:kern w:val="0"/>
                <w:sz w:val="21"/>
                <w:szCs w:val="21"/>
                <w:lang w:val="en-US" w:eastAsia="zh-CN" w:bidi="ar-SA"/>
              </w:rPr>
              <w:t>（三）其他因素：</w:t>
            </w:r>
            <w:r>
              <w:rPr>
                <w:rStyle w:val="67"/>
                <w:rFonts w:hint="eastAsia" w:ascii="宋体" w:hAnsi="宋体" w:eastAsia="宋体" w:cs="宋体"/>
                <w:b/>
                <w:bCs/>
                <w:i w:val="0"/>
                <w:caps w:val="0"/>
                <w:color w:val="auto"/>
                <w:spacing w:val="0"/>
                <w:w w:val="100"/>
                <w:kern w:val="0"/>
                <w:sz w:val="21"/>
                <w:szCs w:val="21"/>
                <w:u w:val="single"/>
                <w:lang w:val="en-US" w:eastAsia="zh-CN" w:bidi="ar-SA"/>
              </w:rPr>
              <w:t>32</w:t>
            </w:r>
            <w:r>
              <w:rPr>
                <w:rStyle w:val="67"/>
                <w:rFonts w:hint="eastAsia" w:ascii="宋体" w:hAnsi="宋体" w:eastAsia="宋体" w:cs="宋体"/>
                <w:b/>
                <w:bCs/>
                <w:i w:val="0"/>
                <w:caps w:val="0"/>
                <w:color w:val="auto"/>
                <w:spacing w:val="0"/>
                <w:w w:val="100"/>
                <w:kern w:val="0"/>
                <w:sz w:val="21"/>
                <w:szCs w:val="21"/>
                <w:lang w:val="en-US" w:eastAsia="zh-CN" w:bidi="ar-SA"/>
              </w:rPr>
              <w:t>分</w:t>
            </w:r>
          </w:p>
          <w:p>
            <w:pPr>
              <w:pStyle w:val="66"/>
              <w:keepNext w:val="0"/>
              <w:keepLines w:val="0"/>
              <w:pageBreakBefore w:val="0"/>
              <w:widowControl/>
              <w:suppressLineNumbers w:val="0"/>
              <w:kinsoku/>
              <w:overflowPunct/>
              <w:bidi w:val="0"/>
              <w:snapToGrid w:val="0"/>
              <w:spacing w:before="0" w:beforeAutospacing="0" w:after="0" w:afterAutospacing="0" w:line="360" w:lineRule="auto"/>
              <w:ind w:left="0" w:leftChars="0" w:right="0" w:firstLine="420" w:firstLineChars="200"/>
              <w:jc w:val="left"/>
              <w:textAlignment w:val="baseline"/>
              <w:rPr>
                <w:rStyle w:val="67"/>
                <w:rFonts w:hint="eastAsia" w:ascii="宋体" w:hAnsi="宋体" w:eastAsia="宋体" w:cs="宋体"/>
                <w:b w:val="0"/>
                <w:i w:val="0"/>
                <w:caps w:val="0"/>
                <w:color w:val="auto"/>
                <w:spacing w:val="0"/>
                <w:w w:val="100"/>
                <w:kern w:val="0"/>
                <w:sz w:val="21"/>
                <w:szCs w:val="21"/>
                <w:highlight w:val="none"/>
                <w:u w:val="single"/>
                <w:lang w:val="en-US" w:eastAsia="zh-CN" w:bidi="ar-SA"/>
              </w:rPr>
            </w:pPr>
            <w:r>
              <w:rPr>
                <w:rStyle w:val="67"/>
                <w:rFonts w:hint="eastAsia" w:ascii="宋体" w:hAnsi="宋体" w:eastAsia="宋体" w:cs="宋体"/>
                <w:b w:val="0"/>
                <w:i w:val="0"/>
                <w:caps w:val="0"/>
                <w:color w:val="auto"/>
                <w:spacing w:val="0"/>
                <w:w w:val="100"/>
                <w:kern w:val="0"/>
                <w:sz w:val="21"/>
                <w:szCs w:val="21"/>
                <w:highlight w:val="none"/>
                <w:lang w:val="en-US" w:eastAsia="zh-CN" w:bidi="ar-SA"/>
              </w:rPr>
              <w:t>（1）企业业绩：</w:t>
            </w:r>
            <w:r>
              <w:rPr>
                <w:rStyle w:val="67"/>
                <w:rFonts w:hint="eastAsia" w:ascii="宋体" w:hAnsi="宋体" w:eastAsia="宋体" w:cs="宋体"/>
                <w:b w:val="0"/>
                <w:i w:val="0"/>
                <w:caps w:val="0"/>
                <w:color w:val="auto"/>
                <w:spacing w:val="0"/>
                <w:w w:val="100"/>
                <w:kern w:val="0"/>
                <w:sz w:val="21"/>
                <w:szCs w:val="21"/>
                <w:highlight w:val="none"/>
                <w:u w:val="single" w:color="000000"/>
                <w:lang w:val="en-US" w:eastAsia="zh-CN" w:bidi="ar-SA"/>
              </w:rPr>
              <w:t>10</w:t>
            </w:r>
            <w:r>
              <w:rPr>
                <w:rStyle w:val="67"/>
                <w:rFonts w:hint="eastAsia" w:ascii="宋体" w:hAnsi="宋体" w:eastAsia="宋体" w:cs="宋体"/>
                <w:b w:val="0"/>
                <w:i w:val="0"/>
                <w:caps w:val="0"/>
                <w:color w:val="auto"/>
                <w:spacing w:val="0"/>
                <w:w w:val="100"/>
                <w:kern w:val="0"/>
                <w:sz w:val="21"/>
                <w:szCs w:val="21"/>
                <w:highlight w:val="none"/>
                <w:lang w:val="en-US" w:eastAsia="zh-CN" w:bidi="ar-SA"/>
              </w:rPr>
              <w:t>分</w:t>
            </w:r>
          </w:p>
          <w:p>
            <w:pPr>
              <w:pStyle w:val="66"/>
              <w:keepNext w:val="0"/>
              <w:keepLines w:val="0"/>
              <w:pageBreakBefore w:val="0"/>
              <w:widowControl/>
              <w:suppressLineNumbers w:val="0"/>
              <w:kinsoku/>
              <w:overflowPunct/>
              <w:bidi w:val="0"/>
              <w:snapToGrid w:val="0"/>
              <w:spacing w:before="0" w:beforeAutospacing="0" w:after="0" w:afterAutospacing="0" w:line="360" w:lineRule="auto"/>
              <w:ind w:left="0" w:leftChars="0" w:right="0" w:firstLine="420" w:firstLineChars="200"/>
              <w:jc w:val="left"/>
              <w:textAlignment w:val="baseline"/>
              <w:rPr>
                <w:rStyle w:val="67"/>
                <w:rFonts w:hint="eastAsia" w:ascii="宋体" w:hAnsi="宋体" w:eastAsia="宋体" w:cs="宋体"/>
                <w:b w:val="0"/>
                <w:i w:val="0"/>
                <w:caps w:val="0"/>
                <w:color w:val="auto"/>
                <w:spacing w:val="0"/>
                <w:w w:val="100"/>
                <w:kern w:val="0"/>
                <w:sz w:val="21"/>
                <w:szCs w:val="21"/>
                <w:highlight w:val="none"/>
                <w:lang w:val="en-US" w:eastAsia="zh-CN" w:bidi="ar-SA"/>
              </w:rPr>
            </w:pPr>
            <w:r>
              <w:rPr>
                <w:rStyle w:val="67"/>
                <w:rFonts w:hint="eastAsia" w:ascii="宋体" w:hAnsi="宋体" w:eastAsia="宋体" w:cs="宋体"/>
                <w:b w:val="0"/>
                <w:i w:val="0"/>
                <w:caps w:val="0"/>
                <w:color w:val="auto"/>
                <w:spacing w:val="0"/>
                <w:w w:val="100"/>
                <w:kern w:val="0"/>
                <w:sz w:val="21"/>
                <w:szCs w:val="21"/>
                <w:highlight w:val="none"/>
                <w:lang w:val="en-US" w:eastAsia="zh-CN" w:bidi="ar-SA"/>
              </w:rPr>
              <w:t>（2）履约信誉：</w:t>
            </w:r>
            <w:r>
              <w:rPr>
                <w:rStyle w:val="67"/>
                <w:rFonts w:hint="eastAsia" w:ascii="宋体" w:hAnsi="宋体" w:eastAsia="宋体" w:cs="宋体"/>
                <w:b w:val="0"/>
                <w:i w:val="0"/>
                <w:caps w:val="0"/>
                <w:color w:val="auto"/>
                <w:spacing w:val="0"/>
                <w:w w:val="100"/>
                <w:kern w:val="0"/>
                <w:sz w:val="21"/>
                <w:szCs w:val="21"/>
                <w:u w:val="single" w:color="000000"/>
                <w:lang w:val="en-US" w:eastAsia="zh-CN" w:bidi="ar-SA"/>
              </w:rPr>
              <w:t>12</w:t>
            </w:r>
            <w:r>
              <w:rPr>
                <w:rStyle w:val="67"/>
                <w:rFonts w:hint="eastAsia" w:ascii="宋体" w:hAnsi="宋体" w:eastAsia="宋体" w:cs="宋体"/>
                <w:b w:val="0"/>
                <w:i w:val="0"/>
                <w:caps w:val="0"/>
                <w:color w:val="auto"/>
                <w:spacing w:val="0"/>
                <w:w w:val="100"/>
                <w:kern w:val="0"/>
                <w:sz w:val="21"/>
                <w:szCs w:val="21"/>
                <w:highlight w:val="none"/>
                <w:lang w:val="en-US" w:eastAsia="zh-CN" w:bidi="ar-SA"/>
              </w:rPr>
              <w:t>分</w:t>
            </w:r>
          </w:p>
          <w:p>
            <w:pPr>
              <w:pStyle w:val="66"/>
              <w:keepNext w:val="0"/>
              <w:keepLines w:val="0"/>
              <w:pageBreakBefore w:val="0"/>
              <w:widowControl/>
              <w:suppressLineNumbers w:val="0"/>
              <w:kinsoku/>
              <w:overflowPunct/>
              <w:bidi w:val="0"/>
              <w:snapToGrid w:val="0"/>
              <w:spacing w:before="0" w:beforeAutospacing="0" w:after="0" w:afterAutospacing="0" w:line="360" w:lineRule="auto"/>
              <w:ind w:left="0" w:leftChars="0" w:right="0" w:rightChars="0" w:firstLine="420" w:firstLineChars="200"/>
              <w:jc w:val="left"/>
              <w:textAlignment w:val="baseline"/>
              <w:rPr>
                <w:rStyle w:val="67"/>
                <w:rFonts w:hint="eastAsia" w:ascii="宋体" w:hAnsi="宋体" w:eastAsia="宋体" w:cs="宋体"/>
                <w:b w:val="0"/>
                <w:i w:val="0"/>
                <w:caps w:val="0"/>
                <w:spacing w:val="0"/>
                <w:w w:val="100"/>
                <w:kern w:val="0"/>
                <w:sz w:val="21"/>
                <w:szCs w:val="21"/>
                <w:highlight w:val="none"/>
                <w:lang w:val="en-US" w:eastAsia="zh-CN" w:bidi="ar-SA"/>
              </w:rPr>
            </w:pPr>
            <w:r>
              <w:rPr>
                <w:rStyle w:val="67"/>
                <w:rFonts w:hint="eastAsia" w:ascii="宋体" w:hAnsi="宋体" w:eastAsia="宋体" w:cs="宋体"/>
                <w:b w:val="0"/>
                <w:i w:val="0"/>
                <w:caps w:val="0"/>
                <w:spacing w:val="0"/>
                <w:w w:val="100"/>
                <w:kern w:val="0"/>
                <w:sz w:val="21"/>
                <w:szCs w:val="21"/>
                <w:highlight w:val="none"/>
                <w:lang w:val="en-US" w:eastAsia="zh-CN" w:bidi="ar-SA"/>
              </w:rPr>
              <w:t>（3）</w:t>
            </w:r>
            <w:r>
              <w:rPr>
                <w:rFonts w:hint="eastAsia" w:ascii="宋体" w:hAnsi="宋体" w:eastAsia="宋体" w:cs="宋体"/>
                <w:sz w:val="21"/>
                <w:szCs w:val="21"/>
                <w:highlight w:val="none"/>
                <w:lang w:val="en-US" w:eastAsia="zh-CN"/>
              </w:rPr>
              <w:t>对招标人的服务承诺</w:t>
            </w:r>
            <w:r>
              <w:rPr>
                <w:rStyle w:val="67"/>
                <w:rFonts w:hint="eastAsia" w:ascii="宋体" w:hAnsi="宋体" w:eastAsia="宋体" w:cs="宋体"/>
                <w:b w:val="0"/>
                <w:i w:val="0"/>
                <w:caps w:val="0"/>
                <w:spacing w:val="0"/>
                <w:w w:val="100"/>
                <w:kern w:val="0"/>
                <w:sz w:val="21"/>
                <w:szCs w:val="21"/>
                <w:highlight w:val="none"/>
                <w:lang w:val="en-US" w:eastAsia="zh-CN" w:bidi="ar-SA"/>
              </w:rPr>
              <w:t>：</w:t>
            </w:r>
            <w:r>
              <w:rPr>
                <w:rStyle w:val="67"/>
                <w:rFonts w:hint="eastAsia" w:ascii="宋体" w:hAnsi="宋体" w:eastAsia="宋体" w:cs="宋体"/>
                <w:b w:val="0"/>
                <w:i w:val="0"/>
                <w:caps w:val="0"/>
                <w:color w:val="auto"/>
                <w:spacing w:val="0"/>
                <w:w w:val="100"/>
                <w:kern w:val="0"/>
                <w:sz w:val="21"/>
                <w:szCs w:val="21"/>
                <w:highlight w:val="none"/>
                <w:u w:val="single" w:color="000000"/>
                <w:lang w:val="en-US" w:eastAsia="zh-CN" w:bidi="ar-SA"/>
              </w:rPr>
              <w:t>6</w:t>
            </w:r>
            <w:r>
              <w:rPr>
                <w:rStyle w:val="67"/>
                <w:rFonts w:hint="eastAsia" w:ascii="宋体" w:hAnsi="宋体" w:eastAsia="宋体" w:cs="宋体"/>
                <w:b w:val="0"/>
                <w:i w:val="0"/>
                <w:caps w:val="0"/>
                <w:spacing w:val="0"/>
                <w:w w:val="100"/>
                <w:kern w:val="0"/>
                <w:sz w:val="21"/>
                <w:szCs w:val="21"/>
                <w:highlight w:val="none"/>
                <w:lang w:val="en-US" w:eastAsia="zh-CN" w:bidi="ar-SA"/>
              </w:rPr>
              <w:t>分</w:t>
            </w:r>
          </w:p>
          <w:p>
            <w:pPr>
              <w:pStyle w:val="66"/>
              <w:keepNext w:val="0"/>
              <w:keepLines w:val="0"/>
              <w:pageBreakBefore w:val="0"/>
              <w:widowControl/>
              <w:suppressLineNumbers w:val="0"/>
              <w:kinsoku/>
              <w:overflowPunct/>
              <w:bidi w:val="0"/>
              <w:snapToGrid w:val="0"/>
              <w:spacing w:before="0" w:beforeAutospacing="0" w:after="0" w:afterAutospacing="0" w:line="360" w:lineRule="auto"/>
              <w:ind w:left="0" w:leftChars="0" w:right="0" w:rightChars="0" w:firstLine="420" w:firstLineChars="200"/>
              <w:jc w:val="left"/>
              <w:textAlignment w:val="baseline"/>
              <w:rPr>
                <w:rStyle w:val="67"/>
                <w:rFonts w:hint="eastAsia" w:ascii="宋体" w:hAnsi="宋体" w:eastAsia="宋体" w:cs="宋体"/>
                <w:b w:val="0"/>
                <w:i w:val="0"/>
                <w:caps w:val="0"/>
                <w:spacing w:val="0"/>
                <w:w w:val="100"/>
                <w:kern w:val="0"/>
                <w:sz w:val="24"/>
                <w:szCs w:val="24"/>
                <w:highlight w:val="none"/>
                <w:lang w:val="en-US" w:eastAsia="zh-CN" w:bidi="ar-SA"/>
              </w:rPr>
            </w:pPr>
            <w:r>
              <w:rPr>
                <w:rStyle w:val="67"/>
                <w:rFonts w:hint="eastAsia" w:ascii="宋体" w:hAnsi="宋体" w:eastAsia="宋体" w:cs="宋体"/>
                <w:b w:val="0"/>
                <w:i w:val="0"/>
                <w:caps w:val="0"/>
                <w:spacing w:val="0"/>
                <w:w w:val="100"/>
                <w:kern w:val="0"/>
                <w:sz w:val="21"/>
                <w:szCs w:val="21"/>
                <w:highlight w:val="none"/>
                <w:lang w:val="en-US" w:eastAsia="zh-CN" w:bidi="ar-SA"/>
              </w:rPr>
              <w:t>（4）综合评价：</w:t>
            </w:r>
            <w:r>
              <w:rPr>
                <w:rStyle w:val="67"/>
                <w:rFonts w:hint="eastAsia" w:ascii="宋体" w:hAnsi="宋体" w:eastAsia="宋体" w:cs="宋体"/>
                <w:b w:val="0"/>
                <w:i w:val="0"/>
                <w:caps w:val="0"/>
                <w:color w:val="auto"/>
                <w:spacing w:val="0"/>
                <w:w w:val="100"/>
                <w:kern w:val="0"/>
                <w:sz w:val="21"/>
                <w:szCs w:val="21"/>
                <w:highlight w:val="none"/>
                <w:u w:val="single"/>
                <w:lang w:val="en-US" w:eastAsia="zh-CN" w:bidi="ar-SA"/>
              </w:rPr>
              <w:t>4</w:t>
            </w:r>
            <w:r>
              <w:rPr>
                <w:rStyle w:val="67"/>
                <w:rFonts w:hint="eastAsia" w:ascii="宋体" w:hAnsi="宋体" w:eastAsia="宋体" w:cs="宋体"/>
                <w:b w:val="0"/>
                <w:i w:val="0"/>
                <w:caps w:val="0"/>
                <w:spacing w:val="0"/>
                <w:w w:val="100"/>
                <w:kern w:val="0"/>
                <w:sz w:val="21"/>
                <w:szCs w:val="21"/>
                <w:highlight w:val="none"/>
                <w:lang w:val="en-US" w:eastAsia="zh-CN" w:bidi="ar-SA"/>
              </w:rPr>
              <w:t>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76" w:hRule="atLeast"/>
          <w:jc w:val="right"/>
        </w:trPr>
        <w:tc>
          <w:tcPr>
            <w:tcW w:w="78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Style w:val="67"/>
                <w:rFonts w:hint="eastAsia" w:ascii="宋体" w:hAnsi="宋体" w:eastAsia="宋体" w:cs="宋体"/>
                <w:spacing w:val="2"/>
                <w:kern w:val="0"/>
                <w:sz w:val="21"/>
                <w:szCs w:val="21"/>
                <w:highlight w:val="none"/>
                <w:lang w:val="en-US" w:eastAsia="zh-CN"/>
              </w:rPr>
            </w:pPr>
            <w:r>
              <w:rPr>
                <w:rStyle w:val="67"/>
                <w:rFonts w:hint="eastAsia" w:ascii="宋体" w:hAnsi="宋体" w:eastAsia="宋体" w:cs="宋体"/>
                <w:spacing w:val="2"/>
                <w:kern w:val="0"/>
                <w:sz w:val="21"/>
                <w:szCs w:val="21"/>
                <w:highlight w:val="none"/>
              </w:rPr>
              <w:t>2.2.</w:t>
            </w:r>
            <w:r>
              <w:rPr>
                <w:rStyle w:val="67"/>
                <w:rFonts w:hint="eastAsia" w:ascii="宋体" w:hAnsi="宋体" w:eastAsia="宋体" w:cs="宋体"/>
                <w:spacing w:val="2"/>
                <w:kern w:val="0"/>
                <w:sz w:val="21"/>
                <w:szCs w:val="21"/>
                <w:highlight w:val="none"/>
                <w:lang w:val="en-US" w:eastAsia="zh-CN"/>
              </w:rPr>
              <w:t>3</w:t>
            </w:r>
          </w:p>
        </w:tc>
        <w:tc>
          <w:tcPr>
            <w:tcW w:w="1684" w:type="dxa"/>
            <w:gridSpan w:val="2"/>
            <w:noWrap w:val="0"/>
            <w:vAlign w:val="center"/>
          </w:tcPr>
          <w:p>
            <w:pPr>
              <w:keepNext w:val="0"/>
              <w:keepLines w:val="0"/>
              <w:pageBreakBefore w:val="0"/>
              <w:suppressLineNumbers w:val="0"/>
              <w:kinsoku/>
              <w:overflowPunct/>
              <w:bidi w:val="0"/>
              <w:snapToGrid w:val="0"/>
              <w:spacing w:before="0" w:beforeAutospacing="0" w:after="0" w:afterAutospacing="0" w:line="360" w:lineRule="auto"/>
              <w:ind w:left="0" w:leftChars="0" w:right="0" w:firstLine="77" w:firstLineChars="36"/>
              <w:contextualSpacing/>
              <w:jc w:val="center"/>
              <w:rPr>
                <w:rStyle w:val="67"/>
                <w:rFonts w:hint="eastAsia" w:ascii="宋体" w:hAnsi="宋体" w:eastAsia="宋体" w:cs="宋体"/>
                <w:spacing w:val="2"/>
                <w:kern w:val="0"/>
                <w:sz w:val="21"/>
                <w:szCs w:val="21"/>
                <w:highlight w:val="none"/>
                <w:lang w:val="en-US" w:eastAsia="zh-CN"/>
              </w:rPr>
            </w:pPr>
            <w:r>
              <w:rPr>
                <w:rStyle w:val="67"/>
                <w:rFonts w:hint="eastAsia" w:ascii="宋体" w:hAnsi="宋体" w:eastAsia="宋体" w:cs="宋体"/>
                <w:spacing w:val="2"/>
                <w:kern w:val="0"/>
                <w:sz w:val="21"/>
                <w:szCs w:val="21"/>
                <w:highlight w:val="none"/>
                <w:lang w:val="en-US" w:eastAsia="zh-CN"/>
              </w:rPr>
              <w:t>第二个信封</w:t>
            </w:r>
          </w:p>
          <w:p>
            <w:pPr>
              <w:keepNext w:val="0"/>
              <w:keepLines w:val="0"/>
              <w:pageBreakBefore w:val="0"/>
              <w:suppressLineNumbers w:val="0"/>
              <w:kinsoku/>
              <w:overflowPunct/>
              <w:bidi w:val="0"/>
              <w:snapToGrid w:val="0"/>
              <w:spacing w:before="0" w:beforeAutospacing="0" w:after="0" w:afterAutospacing="0" w:line="360" w:lineRule="auto"/>
              <w:ind w:left="0" w:leftChars="0" w:right="0" w:firstLine="77" w:firstLineChars="36"/>
              <w:contextualSpacing/>
              <w:jc w:val="center"/>
              <w:rPr>
                <w:rStyle w:val="67"/>
                <w:rFonts w:hint="eastAsia" w:ascii="宋体" w:hAnsi="宋体" w:eastAsia="宋体" w:cs="宋体"/>
                <w:spacing w:val="2"/>
                <w:kern w:val="0"/>
                <w:sz w:val="21"/>
                <w:szCs w:val="21"/>
                <w:highlight w:val="none"/>
                <w:lang w:val="en-US" w:eastAsia="zh-CN"/>
              </w:rPr>
            </w:pPr>
            <w:r>
              <w:rPr>
                <w:rStyle w:val="67"/>
                <w:rFonts w:hint="eastAsia" w:ascii="宋体" w:hAnsi="宋体" w:eastAsia="宋体" w:cs="宋体"/>
                <w:spacing w:val="2"/>
                <w:kern w:val="0"/>
                <w:sz w:val="21"/>
                <w:szCs w:val="21"/>
                <w:highlight w:val="none"/>
                <w:lang w:val="en-US" w:eastAsia="zh-CN"/>
              </w:rPr>
              <w:t>详细评审标准</w:t>
            </w:r>
          </w:p>
        </w:tc>
        <w:tc>
          <w:tcPr>
            <w:tcW w:w="7246" w:type="dxa"/>
            <w:gridSpan w:val="4"/>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评标价计算公式：评标价＝投标函文字报价－暂估价－暂列金额（不含计日工总额）-小微企业价格扣除</w:t>
            </w:r>
            <w:r>
              <w:rPr>
                <w:rFonts w:hint="eastAsia" w:ascii="宋体" w:hAnsi="宋体" w:cs="宋体"/>
                <w:sz w:val="21"/>
                <w:szCs w:val="21"/>
                <w:lang w:val="en-US" w:eastAsia="zh-CN"/>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210" w:firstLineChars="100"/>
              <w:textAlignment w:val="auto"/>
              <w:rPr>
                <w:rFonts w:hint="eastAsia" w:ascii="宋体" w:hAnsi="宋体" w:eastAsia="宋体" w:cs="宋体"/>
                <w:sz w:val="24"/>
                <w:szCs w:val="24"/>
                <w:lang w:val="en-US" w:eastAsia="zh-CN"/>
              </w:rPr>
            </w:pPr>
            <w:r>
              <w:rPr>
                <w:rFonts w:hint="eastAsia" w:ascii="宋体" w:hAnsi="宋体" w:eastAsia="宋体" w:cs="宋体"/>
                <w:sz w:val="21"/>
                <w:szCs w:val="21"/>
                <w:lang w:val="en-US" w:eastAsia="zh-CN"/>
              </w:rPr>
              <w:t>根据财政部、工业和信息化部《政府采购促进中小企业发展管理办法》(财库〔2020〕46号、洛财购〔2022〕5号）的规定，对于经主管预算单位统筹后未预留份额专门面向中小企业采购的采购项目，以及预留份额项目中的非预留部分采购包，采购人、采购代理机构应当对符合本办法规定的小微企业报价给予5%的扣除，用扣除后的价格参加评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right"/>
        </w:trPr>
        <w:tc>
          <w:tcPr>
            <w:tcW w:w="78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Style w:val="67"/>
                <w:rFonts w:hint="eastAsia" w:ascii="宋体" w:hAnsi="宋体" w:eastAsia="宋体" w:cs="宋体"/>
                <w:spacing w:val="2"/>
                <w:kern w:val="0"/>
                <w:sz w:val="21"/>
                <w:szCs w:val="21"/>
                <w:highlight w:val="none"/>
                <w:lang w:val="en-US" w:eastAsia="zh-CN"/>
              </w:rPr>
            </w:pPr>
            <w:r>
              <w:rPr>
                <w:rStyle w:val="67"/>
                <w:rFonts w:hint="eastAsia" w:ascii="宋体" w:hAnsi="宋体" w:eastAsia="宋体" w:cs="宋体"/>
                <w:spacing w:val="2"/>
                <w:kern w:val="0"/>
                <w:sz w:val="21"/>
                <w:szCs w:val="21"/>
                <w:highlight w:val="none"/>
                <w:lang w:val="en-US" w:eastAsia="zh-CN"/>
              </w:rPr>
              <w:t>3.2.4</w:t>
            </w:r>
          </w:p>
        </w:tc>
        <w:tc>
          <w:tcPr>
            <w:tcW w:w="1684" w:type="dxa"/>
            <w:gridSpan w:val="2"/>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Style w:val="67"/>
                <w:rFonts w:hint="eastAsia" w:ascii="宋体" w:hAnsi="宋体" w:eastAsia="宋体" w:cs="宋体"/>
                <w:spacing w:val="2"/>
                <w:kern w:val="0"/>
                <w:sz w:val="21"/>
                <w:szCs w:val="21"/>
                <w:highlight w:val="none"/>
              </w:rPr>
            </w:pPr>
            <w:r>
              <w:rPr>
                <w:rStyle w:val="67"/>
                <w:rFonts w:hint="eastAsia" w:ascii="宋体" w:hAnsi="宋体" w:eastAsia="宋体" w:cs="宋体"/>
                <w:spacing w:val="2"/>
                <w:kern w:val="0"/>
                <w:sz w:val="21"/>
                <w:szCs w:val="21"/>
                <w:highlight w:val="none"/>
                <w:lang w:val="en-US" w:eastAsia="zh-CN"/>
              </w:rPr>
              <w:t>通过第一个信封详细评审的投标人数量</w:t>
            </w:r>
          </w:p>
        </w:tc>
        <w:tc>
          <w:tcPr>
            <w:tcW w:w="7246" w:type="dxa"/>
            <w:gridSpan w:val="4"/>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210" w:firstLineChars="100"/>
              <w:textAlignment w:val="auto"/>
              <w:rPr>
                <w:rFonts w:hint="eastAsia" w:ascii="宋体" w:hAnsi="宋体" w:eastAsia="宋体" w:cs="宋体"/>
                <w:sz w:val="24"/>
                <w:szCs w:val="24"/>
                <w:lang w:val="en-US" w:eastAsia="zh-CN"/>
              </w:rPr>
            </w:pPr>
            <w:r>
              <w:rPr>
                <w:rFonts w:hint="eastAsia" w:ascii="宋体" w:hAnsi="宋体" w:eastAsia="宋体" w:cs="宋体"/>
                <w:sz w:val="21"/>
                <w:szCs w:val="21"/>
                <w:lang w:val="en-US" w:eastAsia="zh-CN"/>
              </w:rPr>
              <w:t>按照投标人的商务和技术得分由高到低排序，选择前3名通过详细评审。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9"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b/>
                <w:sz w:val="21"/>
                <w:szCs w:val="21"/>
              </w:rPr>
            </w:pPr>
            <w:r>
              <w:rPr>
                <w:rFonts w:hint="eastAsia" w:ascii="宋体" w:hAnsi="宋体" w:eastAsia="宋体" w:cs="宋体"/>
                <w:b/>
                <w:sz w:val="21"/>
                <w:szCs w:val="21"/>
              </w:rPr>
              <w:t>条款号</w:t>
            </w:r>
          </w:p>
        </w:tc>
        <w:tc>
          <w:tcPr>
            <w:tcW w:w="1684" w:type="dxa"/>
            <w:gridSpan w:val="2"/>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b/>
                <w:sz w:val="21"/>
                <w:szCs w:val="21"/>
              </w:rPr>
            </w:pPr>
            <w:r>
              <w:rPr>
                <w:rFonts w:hint="eastAsia" w:ascii="宋体" w:hAnsi="宋体" w:eastAsia="宋体" w:cs="宋体"/>
                <w:b/>
                <w:sz w:val="21"/>
                <w:szCs w:val="21"/>
              </w:rPr>
              <w:t>评分因素</w:t>
            </w:r>
          </w:p>
        </w:tc>
        <w:tc>
          <w:tcPr>
            <w:tcW w:w="1293"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b/>
                <w:sz w:val="21"/>
                <w:szCs w:val="21"/>
              </w:rPr>
            </w:pPr>
            <w:r>
              <w:rPr>
                <w:rFonts w:hint="eastAsia" w:ascii="宋体" w:hAnsi="宋体" w:eastAsia="宋体" w:cs="宋体"/>
                <w:b/>
                <w:spacing w:val="25"/>
                <w:sz w:val="21"/>
                <w:szCs w:val="21"/>
              </w:rPr>
              <w:t>评分因素</w:t>
            </w:r>
            <w:r>
              <w:rPr>
                <w:rFonts w:hint="eastAsia" w:ascii="宋体" w:hAnsi="宋体" w:eastAsia="宋体" w:cs="宋体"/>
                <w:b/>
                <w:spacing w:val="-3"/>
                <w:sz w:val="21"/>
                <w:szCs w:val="21"/>
              </w:rPr>
              <w:t>权重分值</w:t>
            </w:r>
          </w:p>
        </w:tc>
        <w:tc>
          <w:tcPr>
            <w:tcW w:w="1761"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b/>
                <w:sz w:val="21"/>
                <w:szCs w:val="21"/>
              </w:rPr>
            </w:pPr>
            <w:r>
              <w:rPr>
                <w:rFonts w:hint="eastAsia" w:ascii="宋体" w:hAnsi="宋体" w:eastAsia="宋体" w:cs="宋体"/>
                <w:b/>
                <w:sz w:val="21"/>
                <w:szCs w:val="21"/>
              </w:rPr>
              <w:t>各评分因素细分项</w:t>
            </w:r>
          </w:p>
        </w:tc>
        <w:tc>
          <w:tcPr>
            <w:tcW w:w="983"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b/>
                <w:sz w:val="21"/>
                <w:szCs w:val="21"/>
              </w:rPr>
            </w:pPr>
            <w:r>
              <w:rPr>
                <w:rFonts w:hint="eastAsia" w:ascii="宋体" w:hAnsi="宋体" w:eastAsia="宋体" w:cs="宋体"/>
                <w:b/>
                <w:sz w:val="21"/>
                <w:szCs w:val="21"/>
              </w:rPr>
              <w:t>分值</w:t>
            </w:r>
          </w:p>
        </w:tc>
        <w:tc>
          <w:tcPr>
            <w:tcW w:w="3209"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9" w:type="dxa"/>
            <w:vMerge w:val="restart"/>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Style w:val="67"/>
                <w:rFonts w:hint="eastAsia" w:ascii="宋体" w:hAnsi="宋体" w:eastAsia="宋体" w:cs="宋体"/>
                <w:spacing w:val="2"/>
                <w:kern w:val="0"/>
                <w:sz w:val="21"/>
                <w:szCs w:val="21"/>
                <w:highlight w:val="none"/>
                <w:lang w:val="en-US" w:eastAsia="zh-CN"/>
              </w:rPr>
            </w:pPr>
            <w:r>
              <w:rPr>
                <w:rStyle w:val="67"/>
                <w:rFonts w:hint="eastAsia" w:ascii="宋体" w:hAnsi="宋体" w:eastAsia="宋体" w:cs="宋体"/>
                <w:spacing w:val="2"/>
                <w:kern w:val="0"/>
                <w:sz w:val="21"/>
                <w:szCs w:val="21"/>
                <w:highlight w:val="none"/>
                <w:lang w:val="en-US" w:eastAsia="zh-CN"/>
              </w:rPr>
              <w:t>2.2.2（1）</w:t>
            </w:r>
          </w:p>
        </w:tc>
        <w:tc>
          <w:tcPr>
            <w:tcW w:w="1684" w:type="dxa"/>
            <w:gridSpan w:val="2"/>
            <w:vMerge w:val="restart"/>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Style w:val="67"/>
                <w:rFonts w:hint="eastAsia" w:ascii="宋体" w:hAnsi="宋体" w:eastAsia="宋体" w:cs="宋体"/>
                <w:spacing w:val="2"/>
                <w:kern w:val="0"/>
                <w:sz w:val="21"/>
                <w:szCs w:val="21"/>
                <w:highlight w:val="none"/>
                <w:lang w:val="en-US" w:eastAsia="zh-CN"/>
              </w:rPr>
            </w:pPr>
            <w:r>
              <w:rPr>
                <w:rStyle w:val="67"/>
                <w:rFonts w:hint="eastAsia" w:ascii="宋体" w:hAnsi="宋体" w:eastAsia="宋体" w:cs="宋体"/>
                <w:spacing w:val="2"/>
                <w:kern w:val="0"/>
                <w:sz w:val="21"/>
                <w:szCs w:val="21"/>
                <w:highlight w:val="none"/>
                <w:lang w:val="en-US" w:eastAsia="zh-CN"/>
              </w:rPr>
              <w:t>施工组织设计</w:t>
            </w:r>
          </w:p>
        </w:tc>
        <w:tc>
          <w:tcPr>
            <w:tcW w:w="1293" w:type="dxa"/>
            <w:vMerge w:val="restart"/>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Style w:val="67"/>
                <w:rFonts w:hint="eastAsia" w:ascii="宋体" w:hAnsi="宋体" w:eastAsia="宋体" w:cs="宋体"/>
                <w:spacing w:val="2"/>
                <w:kern w:val="0"/>
                <w:sz w:val="21"/>
                <w:szCs w:val="21"/>
                <w:highlight w:val="none"/>
                <w:lang w:val="en-US" w:eastAsia="zh-CN"/>
              </w:rPr>
            </w:pPr>
            <w:r>
              <w:rPr>
                <w:rStyle w:val="67"/>
                <w:rFonts w:hint="eastAsia" w:ascii="宋体" w:hAnsi="宋体" w:eastAsia="宋体" w:cs="宋体"/>
                <w:spacing w:val="2"/>
                <w:kern w:val="0"/>
                <w:sz w:val="21"/>
                <w:szCs w:val="21"/>
                <w:highlight w:val="none"/>
                <w:lang w:val="en-US" w:eastAsia="zh-CN"/>
              </w:rPr>
              <w:t>40分</w:t>
            </w:r>
          </w:p>
        </w:tc>
        <w:tc>
          <w:tcPr>
            <w:tcW w:w="1761"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Style w:val="67"/>
                <w:rFonts w:hint="eastAsia" w:ascii="宋体" w:hAnsi="宋体" w:eastAsia="宋体" w:cs="宋体"/>
                <w:spacing w:val="2"/>
                <w:kern w:val="0"/>
                <w:sz w:val="21"/>
                <w:szCs w:val="21"/>
                <w:highlight w:val="none"/>
                <w:lang w:val="en-US" w:eastAsia="zh-CN"/>
              </w:rPr>
            </w:pPr>
            <w:r>
              <w:rPr>
                <w:rStyle w:val="67"/>
                <w:rFonts w:hint="eastAsia" w:ascii="宋体" w:hAnsi="宋体" w:eastAsia="宋体" w:cs="宋体"/>
                <w:spacing w:val="2"/>
                <w:kern w:val="0"/>
                <w:sz w:val="21"/>
                <w:szCs w:val="21"/>
                <w:highlight w:val="none"/>
                <w:lang w:val="en-US" w:eastAsia="zh-CN"/>
              </w:rPr>
              <w:t>主要施工方案</w:t>
            </w:r>
          </w:p>
        </w:tc>
        <w:tc>
          <w:tcPr>
            <w:tcW w:w="983"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Style w:val="67"/>
                <w:rFonts w:hint="eastAsia" w:ascii="宋体" w:hAnsi="宋体" w:eastAsia="宋体" w:cs="宋体"/>
                <w:spacing w:val="2"/>
                <w:kern w:val="0"/>
                <w:sz w:val="21"/>
                <w:szCs w:val="21"/>
                <w:highlight w:val="none"/>
                <w:lang w:val="en-US" w:eastAsia="zh-CN"/>
              </w:rPr>
            </w:pPr>
            <w:r>
              <w:rPr>
                <w:rStyle w:val="67"/>
                <w:rFonts w:hint="eastAsia" w:ascii="宋体" w:hAnsi="宋体" w:eastAsia="宋体" w:cs="宋体"/>
                <w:spacing w:val="2"/>
                <w:kern w:val="0"/>
                <w:sz w:val="21"/>
                <w:szCs w:val="21"/>
                <w:highlight w:val="none"/>
                <w:u w:val="single"/>
                <w:lang w:val="en-US" w:eastAsia="zh-CN"/>
              </w:rPr>
              <w:t>0-5</w:t>
            </w:r>
            <w:r>
              <w:rPr>
                <w:rStyle w:val="67"/>
                <w:rFonts w:hint="eastAsia" w:ascii="宋体" w:hAnsi="宋体" w:eastAsia="宋体" w:cs="宋体"/>
                <w:spacing w:val="2"/>
                <w:kern w:val="0"/>
                <w:sz w:val="21"/>
                <w:szCs w:val="21"/>
                <w:highlight w:val="none"/>
                <w:lang w:val="en-US" w:eastAsia="zh-CN"/>
              </w:rPr>
              <w:t>分</w:t>
            </w:r>
          </w:p>
        </w:tc>
        <w:tc>
          <w:tcPr>
            <w:tcW w:w="3209"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主要施工实施方案（含工程特点、施工重点与难点、绿色施工）总体安排合理，施工工艺、施工机械合理、可行；对施工难点有先进和合理的建议。内容编制全面的得5分；一般的得4分；差的得3分；没有的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9" w:type="dxa"/>
            <w:vMerge w:val="continue"/>
            <w:tcBorders>
              <w:top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textAlignment w:val="auto"/>
              <w:rPr>
                <w:rFonts w:hint="eastAsia" w:ascii="宋体" w:hAnsi="宋体" w:eastAsia="宋体" w:cs="宋体"/>
                <w:sz w:val="21"/>
                <w:szCs w:val="21"/>
              </w:rPr>
            </w:pPr>
          </w:p>
        </w:tc>
        <w:tc>
          <w:tcPr>
            <w:tcW w:w="1684" w:type="dxa"/>
            <w:gridSpan w:val="2"/>
            <w:vMerge w:val="continue"/>
            <w:noWrap w:val="0"/>
            <w:vAlign w:val="top"/>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rPr>
            </w:pPr>
          </w:p>
        </w:tc>
        <w:tc>
          <w:tcPr>
            <w:tcW w:w="129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rPr>
            </w:pPr>
          </w:p>
        </w:tc>
        <w:tc>
          <w:tcPr>
            <w:tcW w:w="1761"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Style w:val="67"/>
                <w:rFonts w:hint="eastAsia" w:ascii="宋体" w:hAnsi="宋体" w:eastAsia="宋体" w:cs="宋体"/>
                <w:spacing w:val="2"/>
                <w:kern w:val="0"/>
                <w:sz w:val="21"/>
                <w:szCs w:val="21"/>
                <w:highlight w:val="none"/>
                <w:lang w:val="en-US" w:eastAsia="zh-CN"/>
              </w:rPr>
            </w:pPr>
            <w:r>
              <w:rPr>
                <w:rStyle w:val="67"/>
                <w:rFonts w:hint="eastAsia" w:ascii="宋体" w:hAnsi="宋体" w:eastAsia="宋体" w:cs="宋体"/>
                <w:spacing w:val="2"/>
                <w:kern w:val="0"/>
                <w:sz w:val="21"/>
                <w:szCs w:val="21"/>
                <w:highlight w:val="none"/>
                <w:lang w:val="en-US" w:eastAsia="zh-CN"/>
              </w:rPr>
              <w:t>质量管理体系及保证措施</w:t>
            </w:r>
          </w:p>
        </w:tc>
        <w:tc>
          <w:tcPr>
            <w:tcW w:w="983"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Style w:val="67"/>
                <w:rFonts w:hint="eastAsia" w:ascii="宋体" w:hAnsi="宋体" w:eastAsia="宋体" w:cs="宋体"/>
                <w:spacing w:val="2"/>
                <w:kern w:val="0"/>
                <w:sz w:val="21"/>
                <w:szCs w:val="21"/>
                <w:highlight w:val="none"/>
                <w:lang w:val="en-US" w:eastAsia="zh-CN"/>
              </w:rPr>
            </w:pPr>
            <w:r>
              <w:rPr>
                <w:rStyle w:val="67"/>
                <w:rFonts w:hint="eastAsia" w:ascii="宋体" w:hAnsi="宋体" w:eastAsia="宋体" w:cs="宋体"/>
                <w:spacing w:val="2"/>
                <w:kern w:val="0"/>
                <w:sz w:val="21"/>
                <w:szCs w:val="21"/>
                <w:highlight w:val="none"/>
                <w:u w:val="single"/>
                <w:lang w:val="en-US" w:eastAsia="zh-CN"/>
              </w:rPr>
              <w:t>0-5</w:t>
            </w:r>
            <w:r>
              <w:rPr>
                <w:rStyle w:val="67"/>
                <w:rFonts w:hint="eastAsia" w:ascii="宋体" w:hAnsi="宋体" w:eastAsia="宋体" w:cs="宋体"/>
                <w:spacing w:val="2"/>
                <w:kern w:val="0"/>
                <w:sz w:val="21"/>
                <w:szCs w:val="21"/>
                <w:highlight w:val="none"/>
                <w:lang w:val="en-US" w:eastAsia="zh-CN"/>
              </w:rPr>
              <w:t>分</w:t>
            </w:r>
          </w:p>
        </w:tc>
        <w:tc>
          <w:tcPr>
            <w:tcW w:w="3209"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组织机构形式合理，有完善的指挥系统、质量监控系统、联络协调系统，对本项目提出先进、可行、具体的保证措施。内容编制全面的得5分；一般的得4分；差的得3分；没有的得0分。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9" w:type="dxa"/>
            <w:vMerge w:val="continue"/>
            <w:tcBorders>
              <w:top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textAlignment w:val="auto"/>
              <w:rPr>
                <w:rFonts w:hint="eastAsia" w:ascii="宋体" w:hAnsi="宋体" w:eastAsia="宋体" w:cs="宋体"/>
                <w:sz w:val="21"/>
                <w:szCs w:val="21"/>
              </w:rPr>
            </w:pPr>
          </w:p>
        </w:tc>
        <w:tc>
          <w:tcPr>
            <w:tcW w:w="1684" w:type="dxa"/>
            <w:gridSpan w:val="2"/>
            <w:vMerge w:val="continue"/>
            <w:noWrap w:val="0"/>
            <w:vAlign w:val="top"/>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rPr>
            </w:pPr>
          </w:p>
        </w:tc>
        <w:tc>
          <w:tcPr>
            <w:tcW w:w="129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rPr>
            </w:pPr>
          </w:p>
        </w:tc>
        <w:tc>
          <w:tcPr>
            <w:tcW w:w="1761"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Style w:val="67"/>
                <w:rFonts w:hint="eastAsia" w:ascii="宋体" w:hAnsi="宋体" w:eastAsia="宋体" w:cs="宋体"/>
                <w:spacing w:val="2"/>
                <w:kern w:val="0"/>
                <w:sz w:val="21"/>
                <w:szCs w:val="21"/>
                <w:highlight w:val="none"/>
                <w:lang w:val="en-US" w:eastAsia="zh-CN"/>
              </w:rPr>
            </w:pPr>
            <w:r>
              <w:rPr>
                <w:rStyle w:val="67"/>
                <w:rFonts w:hint="eastAsia" w:ascii="宋体" w:hAnsi="宋体" w:eastAsia="宋体" w:cs="宋体"/>
                <w:spacing w:val="2"/>
                <w:kern w:val="0"/>
                <w:sz w:val="21"/>
                <w:szCs w:val="21"/>
                <w:highlight w:val="none"/>
                <w:lang w:val="en-US" w:eastAsia="zh-CN"/>
              </w:rPr>
              <w:t>工期进度计划与措施</w:t>
            </w:r>
          </w:p>
        </w:tc>
        <w:tc>
          <w:tcPr>
            <w:tcW w:w="983"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Style w:val="67"/>
                <w:rFonts w:hint="eastAsia" w:ascii="宋体" w:hAnsi="宋体" w:eastAsia="宋体" w:cs="宋体"/>
                <w:spacing w:val="2"/>
                <w:kern w:val="0"/>
                <w:sz w:val="21"/>
                <w:szCs w:val="21"/>
                <w:highlight w:val="none"/>
                <w:lang w:val="en-US" w:eastAsia="zh-CN"/>
              </w:rPr>
            </w:pPr>
            <w:r>
              <w:rPr>
                <w:rStyle w:val="67"/>
                <w:rFonts w:hint="eastAsia" w:ascii="宋体" w:hAnsi="宋体" w:eastAsia="宋体" w:cs="宋体"/>
                <w:spacing w:val="2"/>
                <w:kern w:val="0"/>
                <w:sz w:val="21"/>
                <w:szCs w:val="21"/>
                <w:highlight w:val="none"/>
                <w:u w:val="single"/>
                <w:lang w:val="en-US" w:eastAsia="zh-CN"/>
              </w:rPr>
              <w:t>0-5</w:t>
            </w:r>
            <w:r>
              <w:rPr>
                <w:rStyle w:val="67"/>
                <w:rFonts w:hint="eastAsia" w:ascii="宋体" w:hAnsi="宋体" w:eastAsia="宋体" w:cs="宋体"/>
                <w:spacing w:val="2"/>
                <w:kern w:val="0"/>
                <w:sz w:val="21"/>
                <w:szCs w:val="21"/>
                <w:highlight w:val="none"/>
                <w:lang w:val="en-US" w:eastAsia="zh-CN"/>
              </w:rPr>
              <w:t>分</w:t>
            </w:r>
          </w:p>
        </w:tc>
        <w:tc>
          <w:tcPr>
            <w:tcW w:w="3209"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工期进度计划性，有具体的违约责任，有施工横道图或网络计划图。内容编制全面的科学合理，工期保证措施合理且有针对得5分；一般的得4分；差的得3分；没有的得0分。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9" w:type="dxa"/>
            <w:vMerge w:val="continue"/>
            <w:tcBorders>
              <w:top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textAlignment w:val="auto"/>
              <w:rPr>
                <w:rFonts w:hint="eastAsia" w:ascii="宋体" w:hAnsi="宋体" w:eastAsia="宋体" w:cs="宋体"/>
                <w:sz w:val="21"/>
                <w:szCs w:val="21"/>
              </w:rPr>
            </w:pPr>
          </w:p>
        </w:tc>
        <w:tc>
          <w:tcPr>
            <w:tcW w:w="1684" w:type="dxa"/>
            <w:gridSpan w:val="2"/>
            <w:vMerge w:val="continue"/>
            <w:noWrap w:val="0"/>
            <w:vAlign w:val="top"/>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rPr>
            </w:pPr>
          </w:p>
        </w:tc>
        <w:tc>
          <w:tcPr>
            <w:tcW w:w="129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rPr>
            </w:pPr>
          </w:p>
        </w:tc>
        <w:tc>
          <w:tcPr>
            <w:tcW w:w="1761"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Style w:val="67"/>
                <w:rFonts w:hint="eastAsia" w:ascii="宋体" w:hAnsi="宋体" w:eastAsia="宋体" w:cs="宋体"/>
                <w:spacing w:val="2"/>
                <w:kern w:val="0"/>
                <w:sz w:val="21"/>
                <w:szCs w:val="21"/>
                <w:highlight w:val="none"/>
                <w:lang w:val="en-US" w:eastAsia="zh-CN"/>
              </w:rPr>
            </w:pPr>
            <w:r>
              <w:rPr>
                <w:rStyle w:val="67"/>
                <w:rFonts w:hint="eastAsia" w:ascii="宋体" w:hAnsi="宋体" w:eastAsia="宋体" w:cs="宋体"/>
                <w:spacing w:val="2"/>
                <w:kern w:val="0"/>
                <w:sz w:val="21"/>
                <w:szCs w:val="21"/>
                <w:highlight w:val="none"/>
                <w:lang w:val="en-US" w:eastAsia="zh-CN"/>
              </w:rPr>
              <w:t>安全生产的技术组织措施</w:t>
            </w:r>
          </w:p>
        </w:tc>
        <w:tc>
          <w:tcPr>
            <w:tcW w:w="983"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Style w:val="67"/>
                <w:rFonts w:hint="eastAsia" w:ascii="宋体" w:hAnsi="宋体" w:eastAsia="宋体" w:cs="宋体"/>
                <w:spacing w:val="2"/>
                <w:kern w:val="0"/>
                <w:sz w:val="21"/>
                <w:szCs w:val="21"/>
                <w:highlight w:val="none"/>
                <w:lang w:val="en-US" w:eastAsia="zh-CN"/>
              </w:rPr>
            </w:pPr>
            <w:r>
              <w:rPr>
                <w:rStyle w:val="67"/>
                <w:rFonts w:hint="eastAsia" w:ascii="宋体" w:hAnsi="宋体" w:eastAsia="宋体" w:cs="宋体"/>
                <w:spacing w:val="2"/>
                <w:kern w:val="0"/>
                <w:sz w:val="21"/>
                <w:szCs w:val="21"/>
                <w:highlight w:val="none"/>
                <w:u w:val="single"/>
                <w:lang w:val="en-US" w:eastAsia="zh-CN"/>
              </w:rPr>
              <w:t>0-5</w:t>
            </w:r>
            <w:r>
              <w:rPr>
                <w:rStyle w:val="67"/>
                <w:rFonts w:hint="eastAsia" w:ascii="宋体" w:hAnsi="宋体" w:eastAsia="宋体" w:cs="宋体"/>
                <w:spacing w:val="2"/>
                <w:kern w:val="0"/>
                <w:sz w:val="21"/>
                <w:szCs w:val="21"/>
                <w:highlight w:val="none"/>
                <w:lang w:val="en-US" w:eastAsia="zh-CN"/>
              </w:rPr>
              <w:t>分</w:t>
            </w:r>
          </w:p>
        </w:tc>
        <w:tc>
          <w:tcPr>
            <w:tcW w:w="320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2" w:firstLineChars="1"/>
              <w:textAlignment w:val="bottom"/>
              <w:rPr>
                <w:rFonts w:hint="eastAsia" w:ascii="宋体" w:hAnsi="宋体" w:eastAsia="宋体" w:cs="宋体"/>
                <w:sz w:val="21"/>
                <w:szCs w:val="21"/>
                <w:highlight w:val="none"/>
                <w:lang w:val="en-US" w:eastAsia="zh-CN"/>
              </w:rPr>
            </w:pPr>
            <w:r>
              <w:rPr>
                <w:rFonts w:hint="eastAsia" w:ascii="宋体" w:hAnsi="宋体" w:eastAsia="宋体" w:cs="宋体"/>
                <w:kern w:val="0"/>
                <w:sz w:val="21"/>
                <w:szCs w:val="21"/>
                <w:highlight w:val="none"/>
                <w:lang w:val="en-US" w:eastAsia="zh-CN" w:bidi="zh-CN"/>
              </w:rPr>
              <w:t>施工安全生产保障体系健全，安全管理制度完善，安全管理目标具体，全员安全责任制明确，现场安全管理组织机构、人员配备满足国家规定要求。根据工程特点、周边环境和施工工艺。安全技术方案措施科学合理、先进可行。内容编制全面的</w:t>
            </w:r>
            <w:r>
              <w:rPr>
                <w:rFonts w:hint="eastAsia" w:ascii="宋体" w:hAnsi="宋体" w:eastAsia="宋体" w:cs="宋体"/>
                <w:sz w:val="21"/>
                <w:szCs w:val="21"/>
                <w:highlight w:val="none"/>
                <w:lang w:val="en-US" w:eastAsia="zh-CN"/>
              </w:rPr>
              <w:t>得5分；一般的得4分；差的得3分；没有的得0分。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9" w:type="dxa"/>
            <w:vMerge w:val="continue"/>
            <w:tcBorders>
              <w:top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textAlignment w:val="auto"/>
              <w:rPr>
                <w:rFonts w:hint="eastAsia" w:ascii="宋体" w:hAnsi="宋体" w:eastAsia="宋体" w:cs="宋体"/>
                <w:sz w:val="21"/>
                <w:szCs w:val="21"/>
              </w:rPr>
            </w:pPr>
          </w:p>
        </w:tc>
        <w:tc>
          <w:tcPr>
            <w:tcW w:w="1684" w:type="dxa"/>
            <w:gridSpan w:val="2"/>
            <w:vMerge w:val="continue"/>
            <w:noWrap w:val="0"/>
            <w:vAlign w:val="top"/>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rPr>
            </w:pPr>
          </w:p>
        </w:tc>
        <w:tc>
          <w:tcPr>
            <w:tcW w:w="129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rPr>
            </w:pPr>
          </w:p>
        </w:tc>
        <w:tc>
          <w:tcPr>
            <w:tcW w:w="1761"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宋体" w:hAnsi="宋体" w:eastAsia="宋体" w:cs="宋体"/>
                <w:sz w:val="21"/>
                <w:szCs w:val="21"/>
              </w:rPr>
            </w:pPr>
            <w:r>
              <w:rPr>
                <w:rFonts w:hint="eastAsia" w:ascii="宋体" w:hAnsi="宋体" w:eastAsia="宋体" w:cs="宋体"/>
                <w:sz w:val="21"/>
                <w:szCs w:val="21"/>
              </w:rPr>
              <w:t>文明施工、环境保护管理体系及施工现场扬尘治理措施</w:t>
            </w:r>
          </w:p>
        </w:tc>
        <w:tc>
          <w:tcPr>
            <w:tcW w:w="983"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宋体"/>
                <w:sz w:val="21"/>
                <w:szCs w:val="21"/>
              </w:rPr>
            </w:pPr>
            <w:r>
              <w:rPr>
                <w:rFonts w:hint="eastAsia" w:ascii="宋体" w:hAnsi="宋体" w:eastAsia="宋体" w:cs="宋体"/>
                <w:sz w:val="21"/>
                <w:szCs w:val="21"/>
                <w:u w:val="single"/>
              </w:rPr>
              <w:t>0-</w:t>
            </w:r>
            <w:r>
              <w:rPr>
                <w:rFonts w:hint="eastAsia" w:ascii="宋体" w:hAnsi="宋体" w:eastAsia="宋体" w:cs="宋体"/>
                <w:sz w:val="21"/>
                <w:szCs w:val="21"/>
                <w:u w:val="single"/>
                <w:lang w:val="en-US" w:eastAsia="zh-CN"/>
              </w:rPr>
              <w:t>5</w:t>
            </w:r>
            <w:r>
              <w:rPr>
                <w:rFonts w:hint="eastAsia" w:ascii="宋体" w:hAnsi="宋体" w:eastAsia="宋体" w:cs="宋体"/>
                <w:sz w:val="21"/>
                <w:szCs w:val="21"/>
              </w:rPr>
              <w:t>分</w:t>
            </w:r>
          </w:p>
        </w:tc>
        <w:tc>
          <w:tcPr>
            <w:tcW w:w="3209"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有安全文明标准化工地创建目标计划和创建措施，有安全文明措施费用投入使用计划，现场施工区、土方运输等设置符合有关文明施工、健康卫生的规定。施工现场扬尘治理措施基本达到相关的规定，有防治方案。内容编制全面的得5分；一般的得4分；差的得3分；没有的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9" w:type="dxa"/>
            <w:vMerge w:val="continue"/>
            <w:tcBorders>
              <w:top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textAlignment w:val="auto"/>
              <w:rPr>
                <w:rFonts w:hint="eastAsia" w:ascii="宋体" w:hAnsi="宋体" w:eastAsia="宋体" w:cs="宋体"/>
                <w:sz w:val="21"/>
                <w:szCs w:val="21"/>
              </w:rPr>
            </w:pPr>
          </w:p>
        </w:tc>
        <w:tc>
          <w:tcPr>
            <w:tcW w:w="1684" w:type="dxa"/>
            <w:gridSpan w:val="2"/>
            <w:vMerge w:val="continue"/>
            <w:noWrap w:val="0"/>
            <w:vAlign w:val="top"/>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rPr>
            </w:pPr>
          </w:p>
        </w:tc>
        <w:tc>
          <w:tcPr>
            <w:tcW w:w="129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rPr>
            </w:pPr>
          </w:p>
        </w:tc>
        <w:tc>
          <w:tcPr>
            <w:tcW w:w="1761"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宋体" w:hAnsi="宋体" w:eastAsia="宋体" w:cs="宋体"/>
                <w:sz w:val="21"/>
                <w:szCs w:val="21"/>
              </w:rPr>
            </w:pPr>
            <w:r>
              <w:rPr>
                <w:rFonts w:hint="eastAsia" w:ascii="宋体" w:hAnsi="宋体" w:eastAsia="宋体" w:cs="宋体"/>
                <w:sz w:val="21"/>
                <w:szCs w:val="21"/>
              </w:rPr>
              <w:t>拟投入资源配备计划</w:t>
            </w:r>
          </w:p>
        </w:tc>
        <w:tc>
          <w:tcPr>
            <w:tcW w:w="983"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宋体"/>
                <w:sz w:val="21"/>
                <w:szCs w:val="21"/>
                <w:u w:val="single"/>
              </w:rPr>
            </w:pPr>
            <w:r>
              <w:rPr>
                <w:rFonts w:hint="eastAsia" w:ascii="宋体" w:hAnsi="宋体" w:eastAsia="宋体" w:cs="宋体"/>
                <w:sz w:val="21"/>
                <w:szCs w:val="21"/>
                <w:u w:val="single"/>
              </w:rPr>
              <w:t>0-</w:t>
            </w:r>
            <w:r>
              <w:rPr>
                <w:rFonts w:hint="eastAsia" w:ascii="宋体" w:hAnsi="宋体" w:eastAsia="宋体" w:cs="宋体"/>
                <w:sz w:val="21"/>
                <w:szCs w:val="21"/>
                <w:u w:val="single"/>
                <w:lang w:val="en-US" w:eastAsia="zh-CN"/>
              </w:rPr>
              <w:t>5</w:t>
            </w:r>
            <w:r>
              <w:rPr>
                <w:rFonts w:hint="eastAsia" w:ascii="宋体" w:hAnsi="宋体" w:eastAsia="宋体" w:cs="宋体"/>
                <w:sz w:val="21"/>
                <w:szCs w:val="21"/>
              </w:rPr>
              <w:t>分</w:t>
            </w:r>
          </w:p>
        </w:tc>
        <w:tc>
          <w:tcPr>
            <w:tcW w:w="3209"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投入计划与进度计划呼应，采用先进机械设备且配置合理、先进，劳动力数量配置合理，满足安全技术规范和施工进度需要。内容编制全面的得5分；一般的得4分；差的得3分；没有的得0分。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9" w:type="dxa"/>
            <w:vMerge w:val="continue"/>
            <w:tcBorders>
              <w:top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textAlignment w:val="auto"/>
              <w:rPr>
                <w:rFonts w:hint="eastAsia" w:ascii="宋体" w:hAnsi="宋体" w:eastAsia="宋体" w:cs="宋体"/>
                <w:sz w:val="21"/>
                <w:szCs w:val="21"/>
              </w:rPr>
            </w:pPr>
          </w:p>
          <w:p>
            <w:pPr>
              <w:pStyle w:val="8"/>
              <w:keepNext w:val="0"/>
              <w:keepLines w:val="0"/>
              <w:pageBreakBefore w:val="0"/>
              <w:suppressLineNumbers w:val="0"/>
              <w:kinsoku/>
              <w:overflowPunct/>
              <w:bidi w:val="0"/>
              <w:spacing w:before="0" w:beforeAutospacing="0" w:after="0" w:afterAutospacing="0" w:line="360" w:lineRule="auto"/>
              <w:ind w:left="0" w:leftChars="0" w:right="0"/>
              <w:rPr>
                <w:rFonts w:hint="eastAsia" w:ascii="宋体" w:hAnsi="宋体" w:eastAsia="宋体" w:cs="宋体"/>
                <w:sz w:val="21"/>
                <w:szCs w:val="21"/>
              </w:rPr>
            </w:pPr>
          </w:p>
          <w:p>
            <w:pPr>
              <w:keepNext w:val="0"/>
              <w:keepLines w:val="0"/>
              <w:pageBreakBefore w:val="0"/>
              <w:suppressLineNumbers w:val="0"/>
              <w:kinsoku/>
              <w:overflowPunct/>
              <w:bidi w:val="0"/>
              <w:spacing w:before="0" w:beforeAutospacing="0" w:after="0" w:afterAutospacing="0" w:line="360" w:lineRule="auto"/>
              <w:ind w:left="0" w:leftChars="0" w:right="0"/>
              <w:rPr>
                <w:rFonts w:hint="eastAsia" w:ascii="宋体" w:hAnsi="宋体" w:eastAsia="宋体" w:cs="宋体"/>
                <w:sz w:val="21"/>
                <w:szCs w:val="21"/>
              </w:rPr>
            </w:pPr>
          </w:p>
        </w:tc>
        <w:tc>
          <w:tcPr>
            <w:tcW w:w="1684" w:type="dxa"/>
            <w:gridSpan w:val="2"/>
            <w:vMerge w:val="continue"/>
            <w:noWrap w:val="0"/>
            <w:vAlign w:val="top"/>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rPr>
            </w:pPr>
          </w:p>
        </w:tc>
        <w:tc>
          <w:tcPr>
            <w:tcW w:w="129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rPr>
            </w:pPr>
          </w:p>
        </w:tc>
        <w:tc>
          <w:tcPr>
            <w:tcW w:w="1761"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宋体" w:hAnsi="宋体" w:eastAsia="宋体" w:cs="宋体"/>
                <w:sz w:val="21"/>
                <w:szCs w:val="21"/>
              </w:rPr>
            </w:pPr>
            <w:r>
              <w:rPr>
                <w:rFonts w:hint="eastAsia" w:ascii="宋体" w:hAnsi="宋体" w:eastAsia="宋体" w:cs="宋体"/>
                <w:sz w:val="21"/>
                <w:szCs w:val="21"/>
              </w:rPr>
              <w:t>项目风险预测与防范、事故应急预案</w:t>
            </w:r>
          </w:p>
        </w:tc>
        <w:tc>
          <w:tcPr>
            <w:tcW w:w="983"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宋体"/>
                <w:sz w:val="21"/>
                <w:szCs w:val="21"/>
                <w:u w:val="single"/>
              </w:rPr>
            </w:pPr>
            <w:r>
              <w:rPr>
                <w:rFonts w:hint="eastAsia" w:ascii="宋体" w:hAnsi="宋体" w:eastAsia="宋体" w:cs="宋体"/>
                <w:sz w:val="21"/>
                <w:szCs w:val="21"/>
                <w:u w:val="single"/>
              </w:rPr>
              <w:t>0-</w:t>
            </w:r>
            <w:r>
              <w:rPr>
                <w:rFonts w:hint="eastAsia" w:ascii="宋体" w:hAnsi="宋体" w:eastAsia="宋体" w:cs="宋体"/>
                <w:sz w:val="21"/>
                <w:szCs w:val="21"/>
                <w:u w:val="single"/>
                <w:lang w:val="en-US" w:eastAsia="zh-CN"/>
              </w:rPr>
              <w:t>5</w:t>
            </w:r>
            <w:r>
              <w:rPr>
                <w:rFonts w:hint="eastAsia" w:ascii="宋体" w:hAnsi="宋体" w:eastAsia="宋体" w:cs="宋体"/>
                <w:sz w:val="21"/>
                <w:szCs w:val="21"/>
              </w:rPr>
              <w:t>分</w:t>
            </w:r>
          </w:p>
        </w:tc>
        <w:tc>
          <w:tcPr>
            <w:tcW w:w="3209"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项目风险预测与防控管理措施齐全,风险预控符合规范要求,风险控制要点定位准确,各阶段风险控制及应急措施得力。内容编制全面的得5分；一般的得4分；差的得3分；没有的得0分。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9" w:type="dxa"/>
            <w:vMerge w:val="continue"/>
            <w:tcBorders>
              <w:top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textAlignment w:val="auto"/>
              <w:rPr>
                <w:rFonts w:hint="eastAsia" w:ascii="宋体" w:hAnsi="宋体" w:eastAsia="宋体" w:cs="宋体"/>
                <w:sz w:val="21"/>
                <w:szCs w:val="21"/>
              </w:rPr>
            </w:pPr>
          </w:p>
        </w:tc>
        <w:tc>
          <w:tcPr>
            <w:tcW w:w="1684" w:type="dxa"/>
            <w:gridSpan w:val="2"/>
            <w:vMerge w:val="continue"/>
            <w:noWrap w:val="0"/>
            <w:vAlign w:val="top"/>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rPr>
            </w:pPr>
          </w:p>
        </w:tc>
        <w:tc>
          <w:tcPr>
            <w:tcW w:w="129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rPr>
            </w:pPr>
          </w:p>
        </w:tc>
        <w:tc>
          <w:tcPr>
            <w:tcW w:w="1761"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宋体" w:hAnsi="宋体" w:eastAsia="宋体" w:cs="宋体"/>
                <w:sz w:val="21"/>
                <w:szCs w:val="21"/>
              </w:rPr>
            </w:pPr>
            <w:r>
              <w:rPr>
                <w:rFonts w:hint="eastAsia" w:ascii="宋体" w:hAnsi="宋体" w:eastAsia="宋体" w:cs="宋体"/>
                <w:sz w:val="21"/>
                <w:szCs w:val="21"/>
              </w:rPr>
              <w:t>项目协调方案</w:t>
            </w:r>
          </w:p>
        </w:tc>
        <w:tc>
          <w:tcPr>
            <w:tcW w:w="983"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宋体"/>
                <w:sz w:val="21"/>
                <w:szCs w:val="21"/>
              </w:rPr>
            </w:pPr>
            <w:r>
              <w:rPr>
                <w:rFonts w:hint="eastAsia" w:ascii="宋体" w:hAnsi="宋体" w:eastAsia="宋体" w:cs="宋体"/>
                <w:sz w:val="21"/>
                <w:szCs w:val="21"/>
                <w:u w:val="single"/>
              </w:rPr>
              <w:t>0-</w:t>
            </w:r>
            <w:r>
              <w:rPr>
                <w:rFonts w:hint="eastAsia" w:ascii="宋体" w:hAnsi="宋体" w:eastAsia="宋体" w:cs="宋体"/>
                <w:sz w:val="21"/>
                <w:szCs w:val="21"/>
                <w:u w:val="single"/>
                <w:lang w:val="en-US" w:eastAsia="zh-CN"/>
              </w:rPr>
              <w:t>5</w:t>
            </w:r>
            <w:r>
              <w:rPr>
                <w:rFonts w:hint="eastAsia" w:ascii="宋体" w:hAnsi="宋体" w:eastAsia="宋体" w:cs="宋体"/>
                <w:sz w:val="21"/>
                <w:szCs w:val="21"/>
              </w:rPr>
              <w:t>分</w:t>
            </w:r>
          </w:p>
        </w:tc>
        <w:tc>
          <w:tcPr>
            <w:tcW w:w="3209"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负责协调项目实施工程中各环节的协调工作，并提供相应的解决方案，保证项目按工期顺利实施。内容编制全面的得5分；一般的得4分；差的得3分；没有的得0分。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9" w:type="dxa"/>
            <w:vMerge w:val="restart"/>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rPr>
            </w:pPr>
            <w:r>
              <w:rPr>
                <w:rFonts w:hint="eastAsia" w:ascii="宋体" w:hAnsi="宋体" w:eastAsia="宋体" w:cs="宋体"/>
                <w:sz w:val="21"/>
                <w:szCs w:val="21"/>
              </w:rPr>
              <w:t>2.2.</w:t>
            </w:r>
            <w:r>
              <w:rPr>
                <w:rFonts w:hint="eastAsia" w:ascii="宋体" w:hAnsi="宋体" w:eastAsia="宋体" w:cs="宋体"/>
                <w:sz w:val="21"/>
                <w:szCs w:val="21"/>
                <w:lang w:val="en-US" w:eastAsia="zh-CN"/>
              </w:rPr>
              <w:t>2</w:t>
            </w:r>
            <w:r>
              <w:rPr>
                <w:rFonts w:hint="eastAsia" w:ascii="宋体" w:hAnsi="宋体" w:eastAsia="宋体" w:cs="宋体"/>
                <w:sz w:val="21"/>
                <w:szCs w:val="21"/>
              </w:rPr>
              <w:t>（</w:t>
            </w:r>
            <w:r>
              <w:rPr>
                <w:rFonts w:hint="eastAsia" w:ascii="宋体" w:hAnsi="宋体" w:eastAsia="宋体" w:cs="宋体"/>
                <w:sz w:val="21"/>
                <w:szCs w:val="21"/>
                <w:lang w:val="en-US" w:eastAsia="zh-CN"/>
              </w:rPr>
              <w:t>2</w:t>
            </w:r>
            <w:r>
              <w:rPr>
                <w:rFonts w:hint="eastAsia" w:ascii="宋体" w:hAnsi="宋体" w:eastAsia="宋体" w:cs="宋体"/>
                <w:sz w:val="21"/>
                <w:szCs w:val="21"/>
              </w:rPr>
              <w:t>）</w:t>
            </w:r>
          </w:p>
        </w:tc>
        <w:tc>
          <w:tcPr>
            <w:tcW w:w="1684" w:type="dxa"/>
            <w:gridSpan w:val="2"/>
            <w:vMerge w:val="restart"/>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rPr>
            </w:pPr>
            <w:r>
              <w:rPr>
                <w:rFonts w:hint="eastAsia" w:ascii="宋体" w:hAnsi="宋体" w:eastAsia="宋体" w:cs="宋体"/>
                <w:sz w:val="21"/>
                <w:szCs w:val="21"/>
              </w:rPr>
              <w:t>主要</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rPr>
            </w:pPr>
            <w:r>
              <w:rPr>
                <w:rFonts w:hint="eastAsia" w:ascii="宋体" w:hAnsi="宋体" w:eastAsia="宋体" w:cs="宋体"/>
                <w:sz w:val="21"/>
                <w:szCs w:val="21"/>
              </w:rPr>
              <w:t>人员</w:t>
            </w:r>
          </w:p>
        </w:tc>
        <w:tc>
          <w:tcPr>
            <w:tcW w:w="1293" w:type="dxa"/>
            <w:vMerge w:val="restart"/>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u w:val="single"/>
                <w:lang w:val="en-US" w:eastAsia="zh-CN"/>
              </w:rPr>
              <w:t>28</w:t>
            </w:r>
            <w:r>
              <w:rPr>
                <w:rFonts w:hint="eastAsia" w:ascii="宋体" w:hAnsi="宋体" w:eastAsia="宋体" w:cs="宋体"/>
                <w:sz w:val="21"/>
                <w:szCs w:val="21"/>
                <w:highlight w:val="none"/>
              </w:rPr>
              <w:t>分</w:t>
            </w:r>
          </w:p>
        </w:tc>
        <w:tc>
          <w:tcPr>
            <w:tcW w:w="1761"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项目经理</w:t>
            </w:r>
          </w:p>
        </w:tc>
        <w:tc>
          <w:tcPr>
            <w:tcW w:w="983"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u w:val="single"/>
                <w:lang w:val="en-US" w:eastAsia="zh-CN"/>
              </w:rPr>
              <w:t>12</w:t>
            </w:r>
            <w:r>
              <w:rPr>
                <w:rFonts w:hint="eastAsia" w:ascii="宋体" w:hAnsi="宋体" w:eastAsia="宋体" w:cs="宋体"/>
                <w:sz w:val="21"/>
                <w:szCs w:val="21"/>
                <w:highlight w:val="none"/>
              </w:rPr>
              <w:t>分</w:t>
            </w:r>
          </w:p>
        </w:tc>
        <w:tc>
          <w:tcPr>
            <w:tcW w:w="3209" w:type="dxa"/>
            <w:noWrap w:val="0"/>
            <w:vAlign w:val="center"/>
          </w:tcPr>
          <w:p>
            <w:pPr>
              <w:pStyle w:val="28"/>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项目经理具有3年及以上工作经验的得2分,5年及以上工作经验的加2分，最多得4分(以注册建造师执业资格时间为准)需提供注册建造师网站截图和证书原件扫描件，无查询截图的不得分。</w:t>
            </w:r>
          </w:p>
          <w:p>
            <w:pPr>
              <w:pStyle w:val="2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项目经理提供2021年1月1日以来（以交（竣）工日期为准），每有1项不少于4（含）公里及以上公路业绩（新建、改、扩建）等任意一项达到4公里即可）得4分，最多得8分（须在投标文件中提供中标通知书原件扫描件、合同原件扫描件、交（竣）工验收证书原件扫描件及中标公示或公告网页查询截图，否则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9" w:type="dxa"/>
            <w:vMerge w:val="continue"/>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rPr>
            </w:pPr>
          </w:p>
        </w:tc>
        <w:tc>
          <w:tcPr>
            <w:tcW w:w="1684" w:type="dxa"/>
            <w:gridSpan w:val="2"/>
            <w:vMerge w:val="continue"/>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rPr>
            </w:pPr>
          </w:p>
        </w:tc>
        <w:tc>
          <w:tcPr>
            <w:tcW w:w="1293" w:type="dxa"/>
            <w:vMerge w:val="continue"/>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highlight w:val="none"/>
                <w:u w:val="single"/>
                <w:lang w:val="en-US" w:eastAsia="zh-CN"/>
              </w:rPr>
            </w:pPr>
          </w:p>
        </w:tc>
        <w:tc>
          <w:tcPr>
            <w:tcW w:w="1761"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项目总工</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both"/>
              <w:textAlignment w:val="auto"/>
              <w:rPr>
                <w:rFonts w:hint="eastAsia" w:ascii="宋体" w:hAnsi="宋体" w:eastAsia="宋体" w:cs="宋体"/>
                <w:sz w:val="21"/>
                <w:szCs w:val="21"/>
                <w:lang w:val="en-US" w:eastAsia="zh-CN"/>
              </w:rPr>
            </w:pPr>
          </w:p>
        </w:tc>
        <w:tc>
          <w:tcPr>
            <w:tcW w:w="983"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highlight w:val="none"/>
                <w:u w:val="single"/>
                <w:lang w:val="en-US" w:eastAsia="zh-CN"/>
              </w:rPr>
            </w:pPr>
            <w:r>
              <w:rPr>
                <w:rFonts w:hint="eastAsia" w:ascii="宋体" w:hAnsi="宋体" w:eastAsia="宋体" w:cs="宋体"/>
                <w:sz w:val="21"/>
                <w:szCs w:val="21"/>
                <w:u w:val="single"/>
                <w:lang w:val="en-US" w:eastAsia="zh-CN"/>
              </w:rPr>
              <w:t>6</w:t>
            </w:r>
            <w:r>
              <w:rPr>
                <w:rFonts w:hint="eastAsia" w:ascii="宋体" w:hAnsi="宋体" w:eastAsia="宋体" w:cs="宋体"/>
                <w:sz w:val="21"/>
                <w:szCs w:val="21"/>
              </w:rPr>
              <w:t>分</w:t>
            </w:r>
          </w:p>
        </w:tc>
        <w:tc>
          <w:tcPr>
            <w:tcW w:w="3209" w:type="dxa"/>
            <w:noWrap w:val="0"/>
            <w:vAlign w:val="center"/>
          </w:tcPr>
          <w:p>
            <w:pPr>
              <w:pStyle w:val="28"/>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项目总工具有高级职称证书的得2分。（投标文件中须附证书的原件扫描件）</w:t>
            </w:r>
          </w:p>
          <w:p>
            <w:pPr>
              <w:pStyle w:val="2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项目总工提供2021年1月1日以来（以交（竣）工日期为准），每有1项不少于4公里（含）及以上公路业绩（新建、改、扩建）等任意一项达到4公里即可）得4分，最多得4分（须在投标文件中提供中标通知书原件扫描件、合同原件扫描件、交（竣）工验收证书原件扫描件及中标公示或公告网页查询截图，否则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9" w:type="dxa"/>
            <w:vMerge w:val="continue"/>
            <w:tcBorders>
              <w:bottom w:val="single" w:color="auto" w:sz="4"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rPr>
            </w:pPr>
          </w:p>
        </w:tc>
        <w:tc>
          <w:tcPr>
            <w:tcW w:w="1684" w:type="dxa"/>
            <w:gridSpan w:val="2"/>
            <w:vMerge w:val="continue"/>
            <w:tcBorders>
              <w:bottom w:val="single" w:color="auto" w:sz="4"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rPr>
            </w:pPr>
          </w:p>
        </w:tc>
        <w:tc>
          <w:tcPr>
            <w:tcW w:w="1293" w:type="dxa"/>
            <w:vMerge w:val="continue"/>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u w:val="single"/>
              </w:rPr>
            </w:pPr>
          </w:p>
        </w:tc>
        <w:tc>
          <w:tcPr>
            <w:tcW w:w="1761"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其他人员</w:t>
            </w:r>
          </w:p>
        </w:tc>
        <w:tc>
          <w:tcPr>
            <w:tcW w:w="983"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u w:val="single"/>
                <w:lang w:val="en-US" w:eastAsia="zh-CN"/>
              </w:rPr>
            </w:pPr>
            <w:r>
              <w:rPr>
                <w:rFonts w:hint="eastAsia" w:ascii="宋体" w:hAnsi="宋体" w:eastAsia="宋体" w:cs="宋体"/>
                <w:sz w:val="21"/>
                <w:szCs w:val="21"/>
                <w:u w:val="single"/>
                <w:lang w:val="en-US" w:eastAsia="zh-CN"/>
              </w:rPr>
              <w:t>10</w:t>
            </w:r>
            <w:r>
              <w:rPr>
                <w:rFonts w:hint="eastAsia" w:ascii="宋体" w:hAnsi="宋体" w:eastAsia="宋体" w:cs="宋体"/>
                <w:sz w:val="21"/>
                <w:szCs w:val="21"/>
              </w:rPr>
              <w:t>分</w:t>
            </w:r>
          </w:p>
        </w:tc>
        <w:tc>
          <w:tcPr>
            <w:tcW w:w="3209"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项目其他人员（不包含项目经理、项目总工）每提供一个具有中级职称证书的得2分，最多得10分。（投标文件中须附证书原件扫描件）</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注：其他人员为本单位正式员工，</w:t>
            </w:r>
            <w:r>
              <w:rPr>
                <w:rFonts w:hint="eastAsia" w:ascii="宋体" w:hAnsi="宋体" w:eastAsia="宋体" w:cs="宋体"/>
                <w:sz w:val="21"/>
                <w:szCs w:val="21"/>
                <w:highlight w:val="none"/>
                <w:lang w:val="en-US" w:eastAsia="zh-CN"/>
              </w:rPr>
              <w:t>须提供2023年7月以来本单位缴纳的任意连续3个月的社保证明（至少应包括养老保险证明），须提供加盖社保单位公章的社保证明或网上打印的社保清单；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9" w:type="dxa"/>
            <w:vMerge w:val="restart"/>
            <w:tcBorders>
              <w:top w:val="single" w:color="auto" w:sz="4"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rPr>
            </w:pPr>
            <w:r>
              <w:rPr>
                <w:rFonts w:hint="eastAsia" w:ascii="宋体" w:hAnsi="宋体" w:eastAsia="宋体" w:cs="宋体"/>
                <w:sz w:val="21"/>
                <w:szCs w:val="21"/>
              </w:rPr>
              <w:t>2.2.</w:t>
            </w:r>
            <w:r>
              <w:rPr>
                <w:rFonts w:hint="eastAsia" w:ascii="宋体" w:hAnsi="宋体" w:eastAsia="宋体" w:cs="宋体"/>
                <w:sz w:val="21"/>
                <w:szCs w:val="21"/>
                <w:lang w:val="en-US" w:eastAsia="zh-CN"/>
              </w:rPr>
              <w:t>2</w:t>
            </w: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rPr>
              <w:t>）</w:t>
            </w:r>
          </w:p>
        </w:tc>
        <w:tc>
          <w:tcPr>
            <w:tcW w:w="818" w:type="dxa"/>
            <w:vMerge w:val="restart"/>
            <w:tcBorders>
              <w:top w:val="single" w:color="auto" w:sz="4"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其他因素</w:t>
            </w:r>
          </w:p>
        </w:tc>
        <w:tc>
          <w:tcPr>
            <w:tcW w:w="866" w:type="dxa"/>
            <w:tcBorders>
              <w:top w:val="single" w:color="auto" w:sz="4"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（1）企业</w:t>
            </w:r>
            <w:r>
              <w:rPr>
                <w:rFonts w:hint="eastAsia" w:ascii="宋体" w:hAnsi="宋体" w:eastAsia="宋体" w:cs="宋体"/>
                <w:sz w:val="21"/>
                <w:szCs w:val="21"/>
                <w:lang w:eastAsia="zh-CN"/>
              </w:rPr>
              <w:t>业绩</w:t>
            </w:r>
          </w:p>
        </w:tc>
        <w:tc>
          <w:tcPr>
            <w:tcW w:w="1293"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u w:val="single"/>
                <w:lang w:val="en-US" w:eastAsia="zh-CN"/>
              </w:rPr>
              <w:t>10</w:t>
            </w:r>
            <w:r>
              <w:rPr>
                <w:rFonts w:hint="eastAsia" w:ascii="宋体" w:hAnsi="宋体" w:eastAsia="宋体" w:cs="宋体"/>
                <w:sz w:val="21"/>
                <w:szCs w:val="21"/>
                <w:highlight w:val="none"/>
              </w:rPr>
              <w:t>分</w:t>
            </w:r>
          </w:p>
        </w:tc>
        <w:tc>
          <w:tcPr>
            <w:tcW w:w="1761"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企业业绩</w:t>
            </w:r>
          </w:p>
        </w:tc>
        <w:tc>
          <w:tcPr>
            <w:tcW w:w="983"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rPr>
            </w:pPr>
            <w:r>
              <w:rPr>
                <w:rFonts w:hint="eastAsia" w:ascii="宋体" w:hAnsi="宋体" w:eastAsia="宋体" w:cs="宋体"/>
                <w:sz w:val="21"/>
                <w:szCs w:val="21"/>
                <w:u w:val="single"/>
                <w:lang w:val="en-US" w:eastAsia="zh-CN"/>
              </w:rPr>
              <w:t>10</w:t>
            </w:r>
            <w:r>
              <w:rPr>
                <w:rFonts w:hint="eastAsia" w:ascii="宋体" w:hAnsi="宋体" w:eastAsia="宋体" w:cs="宋体"/>
                <w:sz w:val="21"/>
                <w:szCs w:val="21"/>
              </w:rPr>
              <w:t>分</w:t>
            </w:r>
          </w:p>
        </w:tc>
        <w:tc>
          <w:tcPr>
            <w:tcW w:w="3209"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除满足资格审查业绩最低要求外，投标人提供2021年1月1日以来（以交（竣）工日期为准），每有1项不少于4公里（含）及以上公路业绩（新建、改、扩建）等任意一项达到4公里即可）得5分，最多得10分（须在投标文件中提供中标通知书原件扫描件、合同原件扫描件、交（竣）工验收证书原件扫描件及中标公示或公告网页查询截图原件扫描件，否则不得分）注：企业业绩与资格要求业绩不可以重复使用，可与项目经理业绩或项目总工业绩重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9" w:type="dxa"/>
            <w:vMerge w:val="continue"/>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rPr>
            </w:pPr>
          </w:p>
        </w:tc>
        <w:tc>
          <w:tcPr>
            <w:tcW w:w="818" w:type="dxa"/>
            <w:vMerge w:val="continue"/>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lang w:eastAsia="zh-CN"/>
              </w:rPr>
            </w:pPr>
          </w:p>
        </w:tc>
        <w:tc>
          <w:tcPr>
            <w:tcW w:w="866"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（2）履约信誉</w:t>
            </w:r>
          </w:p>
        </w:tc>
        <w:tc>
          <w:tcPr>
            <w:tcW w:w="1293"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u w:val="single"/>
                <w:lang w:val="en-US" w:eastAsia="zh-CN"/>
              </w:rPr>
              <w:t>12</w:t>
            </w:r>
            <w:r>
              <w:rPr>
                <w:rFonts w:hint="eastAsia" w:ascii="宋体" w:hAnsi="宋体" w:eastAsia="宋体" w:cs="宋体"/>
                <w:sz w:val="21"/>
                <w:szCs w:val="21"/>
                <w:highlight w:val="none"/>
              </w:rPr>
              <w:t>分</w:t>
            </w:r>
          </w:p>
        </w:tc>
        <w:tc>
          <w:tcPr>
            <w:tcW w:w="1761"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履约信誉</w:t>
            </w:r>
          </w:p>
        </w:tc>
        <w:tc>
          <w:tcPr>
            <w:tcW w:w="983"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highlight w:val="none"/>
                <w:u w:val="single"/>
                <w:lang w:val="en-US" w:eastAsia="zh-CN"/>
              </w:rPr>
            </w:pPr>
            <w:r>
              <w:rPr>
                <w:rFonts w:hint="eastAsia" w:ascii="宋体" w:hAnsi="宋体" w:eastAsia="宋体" w:cs="宋体"/>
                <w:sz w:val="21"/>
                <w:szCs w:val="21"/>
                <w:highlight w:val="none"/>
                <w:u w:val="single"/>
                <w:lang w:val="en-US" w:eastAsia="zh-CN"/>
              </w:rPr>
              <w:t>12</w:t>
            </w:r>
            <w:r>
              <w:rPr>
                <w:rFonts w:hint="eastAsia" w:ascii="宋体" w:hAnsi="宋体" w:eastAsia="宋体" w:cs="宋体"/>
                <w:sz w:val="21"/>
                <w:szCs w:val="21"/>
                <w:highlight w:val="none"/>
              </w:rPr>
              <w:t>分</w:t>
            </w:r>
          </w:p>
        </w:tc>
        <w:tc>
          <w:tcPr>
            <w:tcW w:w="3209" w:type="dxa"/>
            <w:noWrap w:val="0"/>
            <w:vAlign w:val="center"/>
          </w:tcPr>
          <w:p>
            <w:pPr>
              <w:pStyle w:val="28"/>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投标人须提供经中国人民银行备案的第三方征信机构出具的信用证书，信用等级达到AAA级得3分，AA级的得2分，A级的得1分。没有不得分；（提供证书原件扫描件及第三方征信机构在中国人民银行备案的证明材料）。</w:t>
            </w:r>
          </w:p>
          <w:p>
            <w:pPr>
              <w:pStyle w:val="28"/>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leftChars="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投标人具有质量管理体系认证、职业健康安全管理体系认证、环境管理体系认证证书，每有一项得3分。总分9分，没有不得分（提供证书原件扫描件）。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9"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textAlignment w:val="auto"/>
              <w:rPr>
                <w:rFonts w:hint="eastAsia" w:ascii="宋体" w:hAnsi="宋体" w:eastAsia="宋体" w:cs="宋体"/>
                <w:sz w:val="21"/>
                <w:szCs w:val="21"/>
              </w:rPr>
            </w:pPr>
          </w:p>
        </w:tc>
        <w:tc>
          <w:tcPr>
            <w:tcW w:w="818"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textAlignment w:val="auto"/>
              <w:rPr>
                <w:rFonts w:hint="eastAsia" w:ascii="宋体" w:hAnsi="宋体" w:eastAsia="宋体" w:cs="宋体"/>
                <w:sz w:val="21"/>
                <w:szCs w:val="21"/>
              </w:rPr>
            </w:pPr>
          </w:p>
        </w:tc>
        <w:tc>
          <w:tcPr>
            <w:tcW w:w="866"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（3）对招标人的服务承诺</w:t>
            </w:r>
          </w:p>
        </w:tc>
        <w:tc>
          <w:tcPr>
            <w:tcW w:w="1293"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u w:val="single"/>
              </w:rPr>
            </w:pPr>
            <w:r>
              <w:rPr>
                <w:rFonts w:hint="eastAsia" w:ascii="宋体" w:hAnsi="宋体" w:eastAsia="宋体" w:cs="宋体"/>
                <w:sz w:val="21"/>
                <w:szCs w:val="21"/>
                <w:highlight w:val="none"/>
                <w:u w:val="single"/>
                <w:lang w:val="en-US" w:eastAsia="zh-CN"/>
              </w:rPr>
              <w:t>6</w:t>
            </w:r>
            <w:r>
              <w:rPr>
                <w:rFonts w:hint="eastAsia" w:ascii="宋体" w:hAnsi="宋体" w:eastAsia="宋体" w:cs="宋体"/>
                <w:sz w:val="21"/>
                <w:szCs w:val="21"/>
                <w:highlight w:val="none"/>
              </w:rPr>
              <w:t>分</w:t>
            </w:r>
          </w:p>
        </w:tc>
        <w:tc>
          <w:tcPr>
            <w:tcW w:w="1761"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jc w:val="center"/>
              <w:textAlignment w:val="bottom"/>
              <w:rPr>
                <w:rFonts w:hint="eastAsia" w:ascii="宋体" w:hAnsi="宋体" w:eastAsia="宋体" w:cs="宋体"/>
                <w:spacing w:val="12"/>
                <w:sz w:val="21"/>
                <w:szCs w:val="21"/>
                <w:lang w:val="en-US" w:eastAsia="zh-CN"/>
              </w:rPr>
            </w:pPr>
          </w:p>
          <w:p>
            <w:pPr>
              <w:keepNext w:val="0"/>
              <w:keepLines w:val="0"/>
              <w:pageBreakBefore w:val="0"/>
              <w:suppressLineNumbers w:val="0"/>
              <w:kinsoku/>
              <w:overflowPunct/>
              <w:bidi w:val="0"/>
              <w:spacing w:before="0" w:beforeAutospacing="0" w:after="0" w:afterAutospacing="0" w:line="360" w:lineRule="auto"/>
              <w:ind w:left="0" w:leftChars="0" w:right="0" w:rightChars="0"/>
              <w:jc w:val="center"/>
              <w:textAlignment w:val="bottom"/>
              <w:rPr>
                <w:rFonts w:hint="eastAsia" w:ascii="宋体" w:hAnsi="宋体" w:eastAsia="宋体" w:cs="宋体"/>
                <w:spacing w:val="12"/>
                <w:sz w:val="21"/>
                <w:szCs w:val="21"/>
                <w:lang w:val="en-US" w:eastAsia="zh-CN"/>
              </w:rPr>
            </w:pPr>
          </w:p>
          <w:p>
            <w:pPr>
              <w:keepNext w:val="0"/>
              <w:keepLines w:val="0"/>
              <w:pageBreakBefore w:val="0"/>
              <w:suppressLineNumbers w:val="0"/>
              <w:kinsoku/>
              <w:overflowPunct/>
              <w:bidi w:val="0"/>
              <w:spacing w:before="0" w:beforeAutospacing="0" w:after="0" w:afterAutospacing="0" w:line="360" w:lineRule="auto"/>
              <w:ind w:left="0" w:leftChars="0" w:right="0" w:rightChars="0"/>
              <w:jc w:val="center"/>
              <w:textAlignment w:val="bottom"/>
              <w:rPr>
                <w:rFonts w:hint="eastAsia" w:ascii="宋体" w:hAnsi="宋体" w:eastAsia="宋体" w:cs="宋体"/>
                <w:color w:val="auto"/>
                <w:sz w:val="21"/>
                <w:szCs w:val="21"/>
              </w:rPr>
            </w:pPr>
            <w:r>
              <w:rPr>
                <w:rFonts w:hint="eastAsia" w:ascii="宋体" w:hAnsi="宋体" w:eastAsia="宋体" w:cs="宋体"/>
                <w:spacing w:val="12"/>
                <w:sz w:val="21"/>
                <w:szCs w:val="21"/>
                <w:lang w:val="en-US" w:eastAsia="zh-CN"/>
              </w:rPr>
              <w:t>服务承诺</w:t>
            </w:r>
          </w:p>
          <w:p>
            <w:pPr>
              <w:keepNext w:val="0"/>
              <w:keepLines w:val="0"/>
              <w:pageBreakBefore w:val="0"/>
              <w:suppressLineNumbers w:val="0"/>
              <w:kinsoku/>
              <w:overflowPunct/>
              <w:bidi w:val="0"/>
              <w:spacing w:before="0" w:beforeAutospacing="0" w:after="0" w:afterAutospacing="0" w:line="360" w:lineRule="auto"/>
              <w:ind w:left="0" w:leftChars="0" w:right="0" w:rightChars="0"/>
              <w:textAlignment w:val="bottom"/>
              <w:rPr>
                <w:rFonts w:hint="eastAsia" w:ascii="宋体" w:hAnsi="宋体" w:eastAsia="宋体" w:cs="宋体"/>
                <w:color w:val="auto"/>
                <w:sz w:val="21"/>
                <w:szCs w:val="21"/>
              </w:rPr>
            </w:pP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both"/>
              <w:textAlignment w:val="auto"/>
              <w:rPr>
                <w:rFonts w:hint="eastAsia" w:ascii="宋体" w:hAnsi="宋体" w:eastAsia="宋体" w:cs="宋体"/>
                <w:spacing w:val="12"/>
                <w:sz w:val="21"/>
                <w:szCs w:val="21"/>
                <w:lang w:val="en-US" w:eastAsia="zh-CN"/>
              </w:rPr>
            </w:pPr>
          </w:p>
        </w:tc>
        <w:tc>
          <w:tcPr>
            <w:tcW w:w="983"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u w:val="single"/>
              </w:rPr>
            </w:pPr>
            <w:r>
              <w:rPr>
                <w:rFonts w:hint="eastAsia" w:ascii="宋体" w:hAnsi="宋体" w:eastAsia="宋体" w:cs="宋体"/>
                <w:sz w:val="21"/>
                <w:szCs w:val="21"/>
                <w:u w:val="single"/>
                <w:lang w:val="en-US" w:eastAsia="zh-CN"/>
              </w:rPr>
              <w:t>6</w:t>
            </w:r>
            <w:r>
              <w:rPr>
                <w:rFonts w:hint="eastAsia" w:ascii="宋体" w:hAnsi="宋体" w:eastAsia="宋体" w:cs="宋体"/>
                <w:sz w:val="21"/>
                <w:szCs w:val="21"/>
                <w:u w:val="single"/>
              </w:rPr>
              <w:t>分</w:t>
            </w:r>
          </w:p>
        </w:tc>
        <w:tc>
          <w:tcPr>
            <w:tcW w:w="3209"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（1）保证农忙期间不停工，能保证连续施工，确保总工期不变，并有具体保证措施，0-2分。</w:t>
            </w:r>
          </w:p>
          <w:p>
            <w:pPr>
              <w:keepNext w:val="0"/>
              <w:keepLines w:val="0"/>
              <w:pageBreakBefore w:val="0"/>
              <w:suppressLineNumbers w:val="0"/>
              <w:kinsoku/>
              <w:overflowPunct/>
              <w:bidi w:val="0"/>
              <w:spacing w:before="0" w:beforeAutospacing="0" w:after="0" w:afterAutospacing="0" w:line="360" w:lineRule="auto"/>
              <w:ind w:left="0" w:leftChars="0" w:right="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（2）保证项目施工过程中不会因为环保问题，造成停工或其他损失，0-2分。</w:t>
            </w:r>
          </w:p>
          <w:p>
            <w:pPr>
              <w:keepNext w:val="0"/>
              <w:keepLines w:val="0"/>
              <w:pageBreakBefore w:val="0"/>
              <w:suppressLineNumbers w:val="0"/>
              <w:kinsoku/>
              <w:overflowPunct/>
              <w:bidi w:val="0"/>
              <w:spacing w:before="0" w:beforeAutospacing="0" w:after="0" w:afterAutospacing="0" w:line="360" w:lineRule="auto"/>
              <w:ind w:left="0" w:leftChars="0" w:right="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（3）保证不拖欠工人工资，不造成上访事件。施工期间如遇突发事件，能负责协调内部、外部关系并处置合理、妥善的，0-2分。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9"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textAlignment w:val="auto"/>
              <w:rPr>
                <w:rFonts w:hint="eastAsia" w:ascii="宋体" w:hAnsi="宋体" w:eastAsia="宋体" w:cs="宋体"/>
                <w:sz w:val="21"/>
                <w:szCs w:val="21"/>
              </w:rPr>
            </w:pPr>
          </w:p>
        </w:tc>
        <w:tc>
          <w:tcPr>
            <w:tcW w:w="81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textAlignment w:val="auto"/>
              <w:rPr>
                <w:rFonts w:hint="eastAsia" w:ascii="宋体" w:hAnsi="宋体" w:eastAsia="宋体" w:cs="宋体"/>
                <w:sz w:val="21"/>
                <w:szCs w:val="21"/>
              </w:rPr>
            </w:pPr>
          </w:p>
        </w:tc>
        <w:tc>
          <w:tcPr>
            <w:tcW w:w="866"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lang w:val="en-US"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综合评价</w:t>
            </w:r>
          </w:p>
        </w:tc>
        <w:tc>
          <w:tcPr>
            <w:tcW w:w="1293"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highlight w:val="none"/>
                <w:u w:val="single"/>
                <w:lang w:val="en-US" w:eastAsia="zh-CN"/>
              </w:rPr>
            </w:pPr>
            <w:r>
              <w:rPr>
                <w:rFonts w:hint="eastAsia" w:ascii="宋体" w:hAnsi="宋体" w:eastAsia="宋体" w:cs="宋体"/>
                <w:sz w:val="21"/>
                <w:szCs w:val="21"/>
                <w:u w:val="single"/>
                <w:lang w:val="en-US" w:eastAsia="zh-CN"/>
              </w:rPr>
              <w:t>4分</w:t>
            </w:r>
          </w:p>
        </w:tc>
        <w:tc>
          <w:tcPr>
            <w:tcW w:w="1761"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pacing w:val="12"/>
                <w:sz w:val="21"/>
                <w:szCs w:val="21"/>
                <w:lang w:val="en-US" w:eastAsia="zh-CN"/>
              </w:rPr>
            </w:pPr>
            <w:r>
              <w:rPr>
                <w:rFonts w:hint="eastAsia" w:ascii="宋体" w:hAnsi="宋体" w:eastAsia="宋体" w:cs="宋体"/>
                <w:color w:val="auto"/>
                <w:sz w:val="21"/>
                <w:szCs w:val="21"/>
              </w:rPr>
              <w:t>综合评价</w:t>
            </w:r>
          </w:p>
        </w:tc>
        <w:tc>
          <w:tcPr>
            <w:tcW w:w="983"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sz w:val="21"/>
                <w:szCs w:val="21"/>
                <w:u w:val="single"/>
                <w:lang w:val="en-US" w:eastAsia="zh-CN"/>
              </w:rPr>
            </w:pPr>
            <w:r>
              <w:rPr>
                <w:rFonts w:hint="eastAsia" w:ascii="宋体" w:hAnsi="宋体" w:eastAsia="宋体" w:cs="宋体"/>
                <w:sz w:val="21"/>
                <w:szCs w:val="21"/>
                <w:u w:val="single"/>
                <w:lang w:val="en-US" w:eastAsia="zh-CN"/>
              </w:rPr>
              <w:t>4分</w:t>
            </w:r>
          </w:p>
        </w:tc>
        <w:tc>
          <w:tcPr>
            <w:tcW w:w="3209" w:type="dxa"/>
            <w:noWrap w:val="0"/>
            <w:vAlign w:val="center"/>
          </w:tcPr>
          <w:p>
            <w:pPr>
              <w:keepNext w:val="0"/>
              <w:keepLines w:val="0"/>
              <w:pageBreakBefore w:val="0"/>
              <w:suppressLineNumbers w:val="0"/>
              <w:kinsoku/>
              <w:overflowPunct/>
              <w:bidi w:val="0"/>
              <w:spacing w:before="0" w:beforeAutospacing="0" w:after="0" w:afterAutospacing="0" w:line="360" w:lineRule="auto"/>
              <w:ind w:left="0" w:leftChars="0" w:right="0" w:rightChars="0"/>
              <w:textAlignment w:val="bottom"/>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招标人根据投标文件编制的详实、合理、认真程度及优惠性服务承诺等综合印象进行打分，酌情在0-4之间打分。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9719" w:type="dxa"/>
            <w:gridSpan w:val="7"/>
            <w:noWrap w:val="0"/>
            <w:vAlign w:val="top"/>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textAlignment w:val="auto"/>
              <w:rPr>
                <w:rFonts w:hint="eastAsia" w:ascii="宋体" w:hAnsi="宋体" w:eastAsia="宋体" w:cs="宋体"/>
                <w:sz w:val="21"/>
                <w:szCs w:val="21"/>
              </w:rPr>
            </w:pPr>
            <w:r>
              <w:rPr>
                <w:rFonts w:hint="eastAsia" w:ascii="宋体" w:hAnsi="宋体" w:eastAsia="宋体" w:cs="宋体"/>
                <w:sz w:val="21"/>
                <w:szCs w:val="21"/>
              </w:rPr>
              <w:t>需要补充的其他内容：无</w:t>
            </w:r>
          </w:p>
        </w:tc>
      </w:tr>
    </w:tbl>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left"/>
        <w:textAlignment w:val="auto"/>
        <w:rPr>
          <w:rFonts w:hint="eastAsia" w:ascii="宋体" w:hAnsi="宋体" w:eastAsia="宋体" w:cs="宋体"/>
          <w:color w:val="auto"/>
          <w:sz w:val="21"/>
          <w:szCs w:val="21"/>
          <w:highlight w:val="none"/>
          <w:lang w:val="en-US" w:eastAsia="zh-CN"/>
        </w:rPr>
      </w:pPr>
      <w:bookmarkStart w:id="126" w:name="_bookmark126"/>
      <w:bookmarkEnd w:id="126"/>
      <w:r>
        <w:rPr>
          <w:rFonts w:hint="eastAsia" w:ascii="宋体" w:hAnsi="宋体" w:eastAsia="宋体" w:cs="宋体"/>
          <w:color w:val="auto"/>
          <w:sz w:val="21"/>
          <w:szCs w:val="21"/>
          <w:highlight w:val="none"/>
          <w:lang w:val="en-US" w:eastAsia="zh-CN"/>
        </w:rPr>
        <w:t>注：各评分因素（主要人员和其他因素评分项除外）得分一般不得低于其权重分值的60%，且各评分因素得分应以评标委员会各成员的打分平均值确定。评标委员会成员对某一项评分因素的评分低于权重分值60%的，应在评标报告中作出说明。</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1.评标方法</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评标采用技术评分最低标价法。评标委员会对满足招标文件实质性要求的投标文件的施工组织设计、主要人员、技术能力等因素进行评分，按照得分由高到低排序，对排名在招标文件规定数量以内的投标人的报价文件进行评审，按照评标价由低到高的顺序推荐中标候选人，或根据招标人授权直接确定中标人，但投标报价低于其成本的除外。评标价相等时，评标委员会应按照评标办法前附表规定的优先次序推荐中标候选人或确定中标人。</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2.评审标准</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2.1初步评审标准</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2.1.1形式评审标准：见评标办法前附表。</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2.1.2资格评审标准：见评标办法前附表。</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2.1.3响应性评审标准：见评标办法前附表。</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2.2分值构成与评分标准</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2.2.1第一个信封评分分值构成</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（1）施工组织设计：见评标办法前附表；</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（2）主要人员：见评标办法前附表；</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（3）其他评分因素：见评标办法前附表。</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2.2.2第一个信封评分评分标准</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（1）施工组织设计评分标准：见评标办法前附表；</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（2）主要人员评分标准：见评标办法前附表；</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（3）其他因素评分标准：见评标办法前附表。</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2.2.3第二个信封详细评审标准：见评标办法前附表。</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3.评标程序</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3.1第一个信封初步评审</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3.1.1评标委员会依据本章第2.1款规定的标准对投标文件第一个信封（商务及技术文件）进行初步评审。有一项不符合评审标准的，评标委员会应否决其投标。（适用于未进行资格预审的）</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3.2第一个信封详细评审</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3.2.1评标委员会按本章第2.2款规定的量化因素和分值进行打分，并计算出各投标人的商务和技术得分。</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（1）按本章第2.2.2项（1）目规定的评审因素和分值对施工组织设计部分计算出得分A；</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（2）按本章第2.2.2项（2）目规定的评审因素和分值对主要人员部分计算出得分B；</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（3）按本章第2.2.2项（3）目规定的评审因素和分值对其他部分计算出得分C。</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3.2.2投标人的商务和技术得分分值计算保留小数点后两位，小数点后第三位“四舍五入”。</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3.2.3投标人的商务和技术得分=A+B+C。</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3.2.4评标委员会按照投标人的商务和技术得分由高到低排序，排名在评标办法前附表规定数量以内的投标人，其投标文件第一个信封（商务及技术文件）通过详细评审。</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3.2.5通过投标文件第一个信封（商务及技术文件）初步评审的投标人不少于3个且未超过评标办法前附表第3.2.4项规定数量的，均通过投标文件第一个信封（商务及技术文件）详细评审，不再对投标人的商务和技术文件进行评分。</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3.3第二个信封开标</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第一个信封（商务及技术文件）评审结束后，招标人将按照第二章“投标人须知”第5.1款规定的时间和地点对通过投标文件第一个信封（商务及技术文件）评审的投标文件第二个信封（报价文件）进行开标。</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3.4第二个信封初步评审</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3.4.1评标委员会依据本章第2.1.1项、第2.1.3项规定的评审标准对投标文件第二个信封（报价文件）进行初步评审。有一项不符合评审标准的，评标委员会应否决其投标。</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3.4.2投标报价有算术错误的，评标委员会按以下原则对投标报价进行修正，修正的价格经投标人书面确认后具有约束力。投标人不接受修正价格的，评标委员会应否决其投标。</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（1）投标文件中的大写金额与小写金额不一致的，以大写金额为准；</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（2）总价金额与依据单价计算出的结果不一致的，以单价金额为准修正总价，但单价金额小数点有明显错误的除外；</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（3）当单价与数量相乘不等于合价时，以单价计算为准，如果单价有明显的小数点位置差错，应以标出的合价为准，同时对单价予以修正；</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（4）当各子目的合价累计不等于总价时，应以各子目合价累计数为准，修正总价。</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3.4.3工程量清单中的投标报价有其他错误的，评标委员会按以下原则对投标报价进行修正，修正的价格经投标人书面确认后具有约束力。投标人不接受修正价格的，评标委员会应否决其投标。</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招标人给定的工程量清单中漏报了某个工程子目的单价、合价或总额价，或所报单价、合价或总额价减少了报价范围，则漏报的工程子目单价、合价和总额价或单价、合价和总额价中减少的报价内容视为已含入其他工程子目的单价、合价和总额价之中。</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招标人给定的工程量清单中多报了某个工程子目的单价、合价或总额价，或所报单价、合价或总额价增加了报价范围，则从投标报价中扣除多报的工程子目报价或工程子目报价中增加了报价范围的部分报价。</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（3）当单价与数量的乘积与合价（金额）虽然一致，但投标人修改了该子目的工程数量，则其合价按招标人给定的工程数量乘以投标人所报单价予以修正。</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3.4.4修正后的最终投标报价若超过最高投标限价（如有），评标委员会应否决其投标。</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3.5第二个信封详细评审</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3.5.1评标委员会按本章第2.2款规定的量化因素和标准进行价格折算，计算出评标价，并编制价格比较一览表。</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3.5.2评标委员会发现投标人的报价明显低于其他投标报价，使得其投标报价可能低于其个别成本的，应要求该投标人作出书面说明并提供相应的证明材料。投标人不能合理说明或不能提供相应证明材料的，由评标委员会认定该投标人以低于成本报价竞标，并否决其投标。</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3.6投标文件相关信息的核查</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3.6.1评标委员会应对在评标过程中发现的投标人与投标人之间、投标人与招标人之间存在的串通投标的情形进行评审和认定。投标人存在串通投标、弄虚作假、行贿等违法行为的，评标委员会应否决其投标。</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（1）有下列情形之一的，属于投标人相互串通投标：</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a.投标人之间协商投标报价等投标文件的实质性内容；</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b.投标人之间约定中标人；</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c.投标人之间约定部分投标人放弃投标或中标；</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d.属于同一集团、协会、商会等组织成员的投标人按照该组织要求协同投标；</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e.投标人之间为谋取中标或排斥特定投标人而采取的其他联合行动。</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（2）有下列情形之一的，视为投标人相互串通投标：</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a.不同投标人的投标文件由同一单位或个人编制；</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b.不同投标人委托同一单位或个人办理投标事宜；</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c.不同投标人的投标文件载明的项目管理成员为同一人；</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d.不同投标人的投标文件异常一致或投标报价呈规律性差异；</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e.不同投标人的投标文件相互混装；</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f.不同投标人的投标保证金从同一单位或个人的账户转出。</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（3）有下列情形之一的，属于招标人与投标人串通投标：</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a.招标人在开标前开启投标文件并将有关信息泄露给其他投标人;</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b.招标人直接或间接向投标人泄露标底、评标委员会成员等信息；</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c.招标人明示或暗示投标人压低或抬高投标报价；</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d.招标人授意投标人撤换、修改投标文件；</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e.招标人明示或暗示投标人为特定投标人中标提供方便；</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f.招标人与投标人为谋求特定投标人中标而采取的其他串通行为。</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（4）投标人有下列情形之一的，属于弄虚作假的行为：</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a.使用通过受让或租借等方式获取的资格、资质证书投标；</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b.使用伪造、变造的许可证件；</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c.提供虚假的财务状况或业绩；</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d.提供虚假的项目负责人或主要技术人员简历、劳动关系证明；</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e.提供虚假的信用状况；</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f.其他弄虚作假的行为。</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3.7投标文件的澄清和说明</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3.7.1在评标过程中，评标委员会可以书面形式要求投标人对投标文件中含义不明确的内容、明显文字或计算错误进行书面澄清或说明。评标委员会不接受投标人主动提出的澄清、说明。投标人不按评标委员会要求澄清或说明的，评标委员会应否决其投标。</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3.7.2澄清和说明不得超出投标文件的范围或改变投标文件的实质性内容（算术性错误的修正除外）。投标人的书面澄清、说明属于投标文件的组成部分。</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3.7.3评标委员会不得暗示或诱导投标人作出澄清、说明，对投标人提交的澄清、说明有疑问的，可以要求投标人进一步澄清或说明，直至满足评标委员会的要求。</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3.7.4凡超出招标文件规定的或给发包人带来未曾要求的利益的变化、偏差或其他因素在评标时不予考虑。</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3.8不得否决投标的情形</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投标文件存在第二章“投标人须知”第1.12.3项所列情形的，均视为细微偏差，评标委员会不得否决投标人的投标，应按照第二章“投标人须知”第1.12.4项规定的原则处理。</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3.9评标结果</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3.9.1除第二章“投标人须知”前附表授权直接确定中标人外，评标委员会按照评标价由低到高的顺序推荐中标候选人，并标明排序。</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3.9.2评标委员会完成评标后，应向招标人提交书面评标报告。</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jc w:val="both"/>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jc w:val="center"/>
        <w:textAlignment w:val="auto"/>
        <w:outlineLvl w:val="0"/>
        <w:rPr>
          <w:rFonts w:hint="eastAsia" w:ascii="宋体" w:hAnsi="宋体" w:eastAsia="宋体" w:cs="宋体"/>
          <w:b/>
          <w:color w:val="auto"/>
          <w:sz w:val="21"/>
          <w:szCs w:val="21"/>
          <w:highlight w:val="yellow"/>
        </w:rPr>
        <w:sectPr>
          <w:footerReference r:id="rId15" w:type="default"/>
          <w:pgSz w:w="11910" w:h="16850"/>
          <w:pgMar w:top="1480" w:right="1200" w:bottom="1040" w:left="1220" w:header="876" w:footer="853" w:gutter="0"/>
          <w:pgNumType w:fmt="decimal"/>
          <w:cols w:space="720" w:num="1"/>
          <w:docGrid w:type="lines" w:linePitch="312" w:charSpace="0"/>
        </w:sectPr>
      </w:pPr>
      <w:bookmarkStart w:id="127" w:name="_Toc27517"/>
      <w:bookmarkStart w:id="128" w:name="_Toc11939"/>
      <w:bookmarkStart w:id="129" w:name="_Toc11058"/>
      <w:bookmarkStart w:id="130" w:name="_Toc24260"/>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jc w:val="center"/>
        <w:textAlignment w:val="auto"/>
        <w:outlineLvl w:val="0"/>
        <w:rPr>
          <w:rFonts w:hint="eastAsia" w:ascii="宋体" w:hAnsi="宋体" w:eastAsia="宋体" w:cs="宋体"/>
          <w:b/>
          <w:color w:val="auto"/>
          <w:sz w:val="28"/>
          <w:szCs w:val="28"/>
          <w:highlight w:val="none"/>
          <w:lang w:eastAsia="zh-CN"/>
        </w:rPr>
      </w:pPr>
      <w:bookmarkStart w:id="131" w:name="_Toc25697"/>
      <w:r>
        <w:rPr>
          <w:rFonts w:hint="eastAsia" w:ascii="宋体" w:hAnsi="宋体" w:eastAsia="宋体" w:cs="宋体"/>
          <w:b/>
          <w:color w:val="auto"/>
          <w:sz w:val="28"/>
          <w:szCs w:val="28"/>
          <w:highlight w:val="none"/>
        </w:rPr>
        <w:t>第四章、合同条款及格式</w:t>
      </w:r>
      <w:bookmarkEnd w:id="124"/>
      <w:bookmarkEnd w:id="127"/>
      <w:bookmarkEnd w:id="128"/>
      <w:bookmarkEnd w:id="129"/>
      <w:bookmarkEnd w:id="130"/>
      <w:bookmarkEnd w:id="131"/>
      <w:r>
        <w:rPr>
          <w:rFonts w:hint="eastAsia" w:ascii="宋体" w:hAnsi="宋体" w:cs="宋体"/>
          <w:b/>
          <w:color w:val="auto"/>
          <w:sz w:val="28"/>
          <w:szCs w:val="28"/>
          <w:highlight w:val="none"/>
          <w:lang w:eastAsia="zh-CN"/>
        </w:rPr>
        <w:t>（</w:t>
      </w:r>
      <w:r>
        <w:rPr>
          <w:rFonts w:hint="eastAsia" w:ascii="宋体" w:hAnsi="宋体" w:cs="宋体"/>
          <w:b/>
          <w:color w:val="auto"/>
          <w:sz w:val="28"/>
          <w:szCs w:val="28"/>
          <w:highlight w:val="none"/>
          <w:lang w:val="en-US" w:eastAsia="zh-CN"/>
        </w:rPr>
        <w:t>模板</w:t>
      </w:r>
      <w:r>
        <w:rPr>
          <w:rFonts w:hint="eastAsia" w:ascii="宋体" w:hAnsi="宋体" w:cs="宋体"/>
          <w:b/>
          <w:color w:val="auto"/>
          <w:sz w:val="28"/>
          <w:szCs w:val="28"/>
          <w:highlight w:val="none"/>
          <w:lang w:eastAsia="zh-CN"/>
        </w:rPr>
        <w:t>）</w:t>
      </w:r>
    </w:p>
    <w:p>
      <w:pPr>
        <w:pStyle w:val="3"/>
        <w:keepNext w:val="0"/>
        <w:keepLines w:val="0"/>
        <w:pageBreakBefore w:val="0"/>
        <w:widowControl/>
        <w:numPr>
          <w:ilvl w:val="1"/>
          <w:numId w:val="0"/>
        </w:numPr>
        <w:suppressLineNumbers w:val="0"/>
        <w:kinsoku/>
        <w:overflowPunct/>
        <w:bidi w:val="0"/>
        <w:spacing w:beforeAutospacing="0" w:afterAutospacing="0" w:line="360" w:lineRule="auto"/>
        <w:ind w:left="0" w:leftChars="0" w:right="0"/>
        <w:jc w:val="center"/>
        <w:outlineLvl w:val="1"/>
        <w:rPr>
          <w:rFonts w:hint="eastAsia" w:ascii="宋体" w:hAnsi="宋体" w:eastAsia="宋体" w:cs="宋体"/>
          <w:b/>
          <w:color w:val="auto"/>
          <w:kern w:val="2"/>
          <w:sz w:val="28"/>
          <w:szCs w:val="28"/>
          <w:highlight w:val="none"/>
          <w:lang w:val="en-US" w:eastAsia="zh-CN" w:bidi="ar-SA"/>
        </w:rPr>
      </w:pPr>
      <w:bookmarkStart w:id="132" w:name="_Toc9221"/>
      <w:r>
        <w:rPr>
          <w:rFonts w:hint="eastAsia" w:ascii="宋体" w:hAnsi="宋体" w:eastAsia="宋体" w:cs="宋体"/>
          <w:b/>
          <w:color w:val="auto"/>
          <w:kern w:val="2"/>
          <w:sz w:val="28"/>
          <w:szCs w:val="28"/>
          <w:highlight w:val="none"/>
          <w:lang w:val="en-US" w:eastAsia="zh-CN" w:bidi="ar-SA"/>
        </w:rPr>
        <w:t>第一节</w:t>
      </w:r>
      <w:r>
        <w:rPr>
          <w:rFonts w:hint="eastAsia" w:ascii="宋体" w:hAnsi="宋体" w:eastAsia="宋体" w:cs="宋体"/>
          <w:b/>
          <w:color w:val="auto"/>
          <w:kern w:val="2"/>
          <w:sz w:val="28"/>
          <w:szCs w:val="28"/>
          <w:highlight w:val="none"/>
          <w:lang w:val="en-US" w:eastAsia="zh-CN" w:bidi="ar-SA"/>
        </w:rPr>
        <w:tab/>
      </w:r>
      <w:r>
        <w:rPr>
          <w:rFonts w:hint="eastAsia" w:ascii="宋体" w:hAnsi="宋体" w:eastAsia="宋体" w:cs="宋体"/>
          <w:b/>
          <w:color w:val="auto"/>
          <w:kern w:val="2"/>
          <w:sz w:val="28"/>
          <w:szCs w:val="28"/>
          <w:highlight w:val="none"/>
          <w:lang w:val="en-US" w:eastAsia="zh-CN" w:bidi="ar-SA"/>
        </w:rPr>
        <w:t>通用合同条款</w:t>
      </w:r>
      <w:bookmarkEnd w:id="132"/>
    </w:p>
    <w:p>
      <w:pPr>
        <w:pStyle w:val="3"/>
        <w:keepNext w:val="0"/>
        <w:keepLines w:val="0"/>
        <w:pageBreakBefore w:val="0"/>
        <w:widowControl/>
        <w:numPr>
          <w:ilvl w:val="1"/>
          <w:numId w:val="0"/>
        </w:numPr>
        <w:suppressLineNumbers w:val="0"/>
        <w:kinsoku/>
        <w:overflowPunct/>
        <w:bidi w:val="0"/>
        <w:spacing w:beforeAutospacing="0" w:afterAutospacing="0" w:line="360" w:lineRule="auto"/>
        <w:ind w:left="0" w:leftChars="0" w:right="0"/>
        <w:jc w:val="center"/>
        <w:outlineLvl w:val="1"/>
        <w:rPr>
          <w:rFonts w:hint="eastAsia" w:ascii="宋体" w:hAnsi="宋体" w:eastAsia="宋体" w:cs="宋体"/>
          <w:kern w:val="2"/>
          <w:sz w:val="28"/>
          <w:szCs w:val="28"/>
        </w:rPr>
      </w:pPr>
      <w:bookmarkStart w:id="133" w:name="_Toc5658"/>
      <w:r>
        <w:rPr>
          <w:rFonts w:hint="eastAsia" w:ascii="宋体" w:hAnsi="宋体" w:eastAsia="宋体" w:cs="宋体"/>
          <w:kern w:val="0"/>
          <w:sz w:val="28"/>
          <w:szCs w:val="28"/>
          <w:lang w:val="en-US" w:eastAsia="zh-CN" w:bidi="ar"/>
        </w:rPr>
        <w:t>“通用合同条款”采用《标准施工招标文件》的“通用合同条款”。</w:t>
      </w:r>
      <w:bookmarkEnd w:id="133"/>
    </w:p>
    <w:p>
      <w:pPr>
        <w:pageBreakBefore w:val="0"/>
        <w:kinsoku/>
        <w:overflowPunct/>
        <w:bidi w:val="0"/>
        <w:spacing w:before="0" w:beforeLines="0" w:beforeAutospacing="0" w:after="0" w:afterLines="0" w:afterAutospacing="0" w:line="360" w:lineRule="auto"/>
        <w:ind w:left="0" w:leftChars="0" w:right="0"/>
        <w:rPr>
          <w:rFonts w:hint="eastAsia" w:ascii="宋体" w:hAnsi="宋体" w:eastAsia="宋体" w:cs="宋体"/>
          <w:kern w:val="2"/>
          <w:sz w:val="28"/>
          <w:szCs w:val="28"/>
        </w:rPr>
        <w:sectPr>
          <w:footerReference r:id="rId16" w:type="default"/>
          <w:pgSz w:w="11910" w:h="16850"/>
          <w:pgMar w:top="1480" w:right="1200" w:bottom="1080" w:left="1220" w:header="883" w:footer="884" w:gutter="0"/>
          <w:pgNumType w:fmt="decimal"/>
          <w:cols w:space="720" w:num="1"/>
          <w:docGrid w:type="lines" w:linePitch="312" w:charSpace="0"/>
        </w:sectPr>
      </w:pP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center"/>
        <w:rPr>
          <w:rFonts w:hint="eastAsia" w:ascii="宋体" w:hAnsi="宋体" w:eastAsia="宋体" w:cs="宋体"/>
          <w:b/>
          <w:bCs/>
          <w:kern w:val="0"/>
          <w:sz w:val="21"/>
          <w:szCs w:val="21"/>
        </w:rPr>
      </w:pPr>
      <w:bookmarkStart w:id="134" w:name="_bookmark158"/>
      <w:bookmarkEnd w:id="134"/>
      <w:bookmarkStart w:id="135" w:name="_bookmark157"/>
      <w:bookmarkEnd w:id="135"/>
      <w:r>
        <w:rPr>
          <w:rFonts w:ascii="宋体" w:hAnsi="宋体" w:eastAsia="宋体" w:cs="宋体"/>
          <w:b/>
          <w:bCs/>
          <w:color w:val="000000"/>
          <w:sz w:val="21"/>
          <w:szCs w:val="21"/>
        </w:rPr>
        <w:t>第二节 专用合同条款</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468" w:leftChars="0" w:right="0" w:rightChars="0" w:firstLine="4006" w:firstLineChars="19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 A、公路工程专用合同条款</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 1．一般约定</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211" w:firstLineChars="1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 1.1．词语定义</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 1.1.1 合同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第 1.1.1.6 目细化为：</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技术规范：指本合同所约定的技术标准和要求，是合同文件的组成部分。通用合同条款中“技术标准和要求”一词具有相同含义。</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第 1.1.1.8 目细化为： 已标价工程量清单：指构成合同文件组成部分的已标明价格、经算术性错误修正及其他错误修正（如 有）且承包人已确认的最终的工程量清单，包括工程量清单说明、投标报价说明、计日工说明、其他说明 及工程量清单各项表格（工程量清单表 5.1～表 5.5）。</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本项补充第 1.1.1.10 目：</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1.1.1.10 补遗书：指发出招标文件之后由招标人向已取得招标文件的投标人发出的、编号的对招标文 件所作的澄清、修改书。</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1.1.2 合同当事人和人员</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val="0"/>
          <w:bCs w:val="0"/>
          <w:color w:val="000000"/>
          <w:sz w:val="21"/>
          <w:szCs w:val="21"/>
        </w:rPr>
      </w:pPr>
      <w:r>
        <w:rPr>
          <w:rFonts w:ascii="宋体" w:hAnsi="宋体" w:eastAsia="宋体" w:cs="宋体"/>
          <w:b/>
          <w:bCs/>
          <w:color w:val="000000"/>
          <w:sz w:val="21"/>
          <w:szCs w:val="21"/>
        </w:rPr>
        <w:t xml:space="preserve"> </w:t>
      </w:r>
      <w:r>
        <w:rPr>
          <w:rFonts w:ascii="宋体" w:hAnsi="宋体" w:eastAsia="宋体" w:cs="宋体"/>
          <w:b w:val="0"/>
          <w:bCs w:val="0"/>
          <w:color w:val="000000"/>
          <w:sz w:val="21"/>
          <w:szCs w:val="21"/>
        </w:rPr>
        <w:t xml:space="preserve">本项补充第 1.1.2.8 目：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1.1.2.8 承包人项目总工：指由承包人书面委派常驻现场负责管理本合同工程的总工程师或技术总负责 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1.1.3 工程和设备</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val="0"/>
          <w:bCs w:val="0"/>
          <w:color w:val="000000"/>
          <w:sz w:val="21"/>
          <w:szCs w:val="21"/>
        </w:rPr>
      </w:pPr>
      <w:r>
        <w:rPr>
          <w:rFonts w:ascii="宋体" w:hAnsi="宋体" w:eastAsia="宋体" w:cs="宋体"/>
          <w:b/>
          <w:bCs/>
          <w:color w:val="000000"/>
          <w:sz w:val="21"/>
          <w:szCs w:val="21"/>
        </w:rPr>
        <w:t xml:space="preserve"> </w:t>
      </w:r>
      <w:r>
        <w:rPr>
          <w:rFonts w:ascii="宋体" w:hAnsi="宋体" w:eastAsia="宋体" w:cs="宋体"/>
          <w:b w:val="0"/>
          <w:bCs w:val="0"/>
          <w:color w:val="000000"/>
          <w:sz w:val="21"/>
          <w:szCs w:val="21"/>
        </w:rPr>
        <w:t xml:space="preserve">第 1.1.3.4 目细化为：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单位工程：指在建设项目中，根据签订的合同，具有独立施工条件的工程。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第 1.1.3.10 目细化为：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永久占地：指为实施本合同工程而需要的一切永久占用的土地，包括公路两侧路权范围内的用地。</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第 1.1.3.11 目细化为：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临时占地：指为实施本合同工程而需要的一切临时占用的土地，包括施工所用的临时支线、便道、便 桥和现场的临时出入通道，以及生产（办公）、生活等临时设施用地等。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本项补充第 1.1.3.12 目、第 1.1.3.13 目：</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1.1.3.12 分部工程：指在单位工程中，按结构部位、路段长度及施工特点或施工任务划分的若干个工 程。</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hint="eastAsia" w:ascii="宋体" w:hAnsi="宋体" w:eastAsia="宋体" w:cs="宋体"/>
          <w:kern w:val="0"/>
          <w:sz w:val="21"/>
          <w:szCs w:val="21"/>
        </w:rPr>
      </w:pPr>
      <w:r>
        <w:rPr>
          <w:rFonts w:ascii="宋体" w:hAnsi="宋体" w:eastAsia="宋体" w:cs="宋体"/>
          <w:b w:val="0"/>
          <w:bCs w:val="0"/>
          <w:color w:val="000000"/>
          <w:sz w:val="21"/>
          <w:szCs w:val="21"/>
        </w:rPr>
        <w:t xml:space="preserve"> 1.1.3.13 分项工程</w:t>
      </w:r>
      <w:bookmarkStart w:id="136" w:name="_bookmark159"/>
      <w:bookmarkEnd w:id="136"/>
      <w:r>
        <w:rPr>
          <w:rFonts w:hint="eastAsia" w:ascii="宋体" w:hAnsi="宋体" w:eastAsia="宋体" w:cs="宋体"/>
          <w:b w:val="0"/>
          <w:bCs w:val="0"/>
          <w:color w:val="000000"/>
          <w:sz w:val="21"/>
          <w:szCs w:val="21"/>
          <w:lang w:eastAsia="zh-CN"/>
        </w:rPr>
        <w:t>：</w:t>
      </w:r>
      <w:r>
        <w:rPr>
          <w:rFonts w:hint="eastAsia" w:ascii="宋体" w:hAnsi="宋体" w:eastAsia="宋体" w:cs="宋体"/>
          <w:kern w:val="0"/>
          <w:sz w:val="21"/>
          <w:szCs w:val="21"/>
          <w:lang w:val="en-US" w:eastAsia="zh-CN" w:bidi="ar"/>
        </w:rPr>
        <w:t>指在分部工程中，按不同的施工方法、材料、工序及路段长度等划分的若干个工程。</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1.1.6 其他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本项补充第 1.1.6.2 目～第 1.1.6.9 目：</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1.1.6.2 竣工验收：指《公路工程竣（交）工验收办法》中的竣工验收。通用合同条款中“国家验收” 一词具有相同含义。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1.1.6.3 交工：指《公路工程竣（交）工验收办法》中的交工。通用合同条款中“竣工”一词具有相同 含义。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1.1.6.4 交工验收：指《公路工程竣（交）工验收办法》中的交工验收。通用合同条款中“竣工验收” 一词具有相同含义。</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1.1.6.5 交工验收证书：指《公路工程竣（交）工验收办法》中的交工验收证书。通用合同条款中“工 程接收证书”一词具有相同含义。</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1.1.6.6 转包：指承包人违反法律和不履行合同规定的责任和义务，将中标工程全部委托或以专业分包 的名义将中标工程肢解后全部委托给其他施工企业施工的行为。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1.1.6.7 专业分包：指承包人与具有相应资格的施工企业签订专业分包合同，由分包人承担承包人委托 的分部工程、分项工程或适合专业化队伍施工的其他工程，整体结算，并能独立控制工程质量、施工进度、 材料采购、生产安全的施工行为。</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1.1.6.8 劳务分包：指承包人与具有施工劳务资质的劳务企业签订劳务分包合同，由劳务企业提供劳务 人员及机具，由承包人统一组织施工、统一控制工程质量、施工进度、材料采购、生产安全的施工行为。</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1.1.6.9 雇用民工：指承包人与具有相应劳动能力的自然人签订劳动合同，由承包人统一组织管理，从 事分项工程施工或配套工程施工的行为。</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 xml:space="preserve">1.4．合同文件的优先顺序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本款约定为：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组成合同的各项文件应互相解释，互为说明。除项目专用合同条款另有约定外，解释合同文件的优先 顺序如下： </w:t>
      </w:r>
    </w:p>
    <w:p>
      <w:pPr>
        <w:pStyle w:val="5"/>
        <w:keepNext w:val="0"/>
        <w:keepLines w:val="0"/>
        <w:pageBreakBefore w:val="0"/>
        <w:widowControl/>
        <w:numPr>
          <w:ilvl w:val="0"/>
          <w:numId w:val="8"/>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合同协议书及各种合同附件（含评标期间和合同谈判过程中的澄清文件和补充资料）； </w:t>
      </w:r>
    </w:p>
    <w:p>
      <w:pPr>
        <w:pStyle w:val="5"/>
        <w:keepNext w:val="0"/>
        <w:keepLines w:val="0"/>
        <w:pageBreakBefore w:val="0"/>
        <w:widowControl/>
        <w:numPr>
          <w:ilvl w:val="0"/>
          <w:numId w:val="8"/>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中标通知书；</w:t>
      </w:r>
    </w:p>
    <w:p>
      <w:pPr>
        <w:pStyle w:val="5"/>
        <w:keepNext w:val="0"/>
        <w:keepLines w:val="0"/>
        <w:pageBreakBefore w:val="0"/>
        <w:widowControl/>
        <w:numPr>
          <w:ilvl w:val="0"/>
          <w:numId w:val="8"/>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投标函及投标函附录； </w:t>
      </w:r>
    </w:p>
    <w:p>
      <w:pPr>
        <w:pStyle w:val="5"/>
        <w:keepNext w:val="0"/>
        <w:keepLines w:val="0"/>
        <w:pageBreakBefore w:val="0"/>
        <w:widowControl/>
        <w:numPr>
          <w:ilvl w:val="0"/>
          <w:numId w:val="8"/>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项目专用合同条款； </w:t>
      </w:r>
    </w:p>
    <w:p>
      <w:pPr>
        <w:pStyle w:val="5"/>
        <w:keepNext w:val="0"/>
        <w:keepLines w:val="0"/>
        <w:pageBreakBefore w:val="0"/>
        <w:widowControl/>
        <w:numPr>
          <w:ilvl w:val="0"/>
          <w:numId w:val="8"/>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公路工程专用合同条款； </w:t>
      </w:r>
    </w:p>
    <w:p>
      <w:pPr>
        <w:pStyle w:val="5"/>
        <w:keepNext w:val="0"/>
        <w:keepLines w:val="0"/>
        <w:pageBreakBefore w:val="0"/>
        <w:widowControl/>
        <w:numPr>
          <w:ilvl w:val="0"/>
          <w:numId w:val="8"/>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通用合同条款； </w:t>
      </w:r>
    </w:p>
    <w:p>
      <w:pPr>
        <w:pStyle w:val="5"/>
        <w:keepNext w:val="0"/>
        <w:keepLines w:val="0"/>
        <w:pageBreakBefore w:val="0"/>
        <w:widowControl/>
        <w:numPr>
          <w:ilvl w:val="0"/>
          <w:numId w:val="8"/>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工程量清单计量规则；</w:t>
      </w:r>
    </w:p>
    <w:p>
      <w:pPr>
        <w:pStyle w:val="5"/>
        <w:keepNext w:val="0"/>
        <w:keepLines w:val="0"/>
        <w:pageBreakBefore w:val="0"/>
        <w:widowControl/>
        <w:numPr>
          <w:ilvl w:val="0"/>
          <w:numId w:val="8"/>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技术规范；</w:t>
      </w:r>
    </w:p>
    <w:p>
      <w:pPr>
        <w:pStyle w:val="5"/>
        <w:keepNext w:val="0"/>
        <w:keepLines w:val="0"/>
        <w:pageBreakBefore w:val="0"/>
        <w:widowControl/>
        <w:numPr>
          <w:ilvl w:val="0"/>
          <w:numId w:val="8"/>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图纸； </w:t>
      </w:r>
    </w:p>
    <w:p>
      <w:pPr>
        <w:pStyle w:val="5"/>
        <w:keepNext w:val="0"/>
        <w:keepLines w:val="0"/>
        <w:pageBreakBefore w:val="0"/>
        <w:widowControl/>
        <w:numPr>
          <w:ilvl w:val="0"/>
          <w:numId w:val="8"/>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已标价工程量清单； </w:t>
      </w:r>
    </w:p>
    <w:p>
      <w:pPr>
        <w:pStyle w:val="5"/>
        <w:keepNext w:val="0"/>
        <w:keepLines w:val="0"/>
        <w:pageBreakBefore w:val="0"/>
        <w:widowControl/>
        <w:numPr>
          <w:ilvl w:val="0"/>
          <w:numId w:val="8"/>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承包人有关人员、设备投入的承诺及投标文件中的施工组织设计； </w:t>
      </w:r>
    </w:p>
    <w:p>
      <w:pPr>
        <w:pStyle w:val="5"/>
        <w:keepNext w:val="0"/>
        <w:keepLines w:val="0"/>
        <w:pageBreakBefore w:val="0"/>
        <w:widowControl/>
        <w:numPr>
          <w:ilvl w:val="0"/>
          <w:numId w:val="8"/>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其他合同文件。</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 xml:space="preserve">1.5．合同协议书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本款补充：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制备本合同文件的费用由发包人承担。在合同协议书签订并生效之前，投标函和中标通知书将对双</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方具有约束力。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bCs/>
          <w:color w:val="000000"/>
          <w:sz w:val="21"/>
          <w:szCs w:val="21"/>
        </w:rPr>
      </w:pPr>
      <w:r>
        <w:rPr>
          <w:rFonts w:ascii="宋体" w:hAnsi="宋体" w:eastAsia="宋体" w:cs="宋体"/>
          <w:b/>
          <w:bCs/>
          <w:color w:val="000000"/>
          <w:sz w:val="21"/>
          <w:szCs w:val="21"/>
        </w:rPr>
        <w:t>1.6．图纸和承包人文件</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 1.6.1 图纸的提供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本项细化为：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监理人应在发出中标通知书之后 42 天内，向承包人免费提供由发包人或其委托的设计单位设计的施工图纸、技术规范和其他技术资料 2 份，并向承包人进行技术交底。承包人需要更多份数时，应自费复制。 由于发包人未按时提供图纸造成工期延误的，按第 11.3 款的约定办理。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1.6.2 承包人提供的文件</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val="0"/>
          <w:bCs w:val="0"/>
          <w:color w:val="000000"/>
          <w:sz w:val="21"/>
          <w:szCs w:val="21"/>
        </w:rPr>
      </w:pPr>
      <w:r>
        <w:rPr>
          <w:rFonts w:ascii="宋体" w:hAnsi="宋体" w:eastAsia="宋体" w:cs="宋体"/>
          <w:b/>
          <w:bCs/>
          <w:color w:val="000000"/>
          <w:sz w:val="21"/>
          <w:szCs w:val="21"/>
        </w:rPr>
        <w:t xml:space="preserve"> </w:t>
      </w:r>
      <w:r>
        <w:rPr>
          <w:rFonts w:ascii="宋体" w:hAnsi="宋体" w:eastAsia="宋体" w:cs="宋体"/>
          <w:b w:val="0"/>
          <w:bCs w:val="0"/>
          <w:color w:val="000000"/>
          <w:sz w:val="21"/>
          <w:szCs w:val="21"/>
        </w:rPr>
        <w:t>本项细化为：</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有下列情形之一的，承包人应免费向监理人提交相关部分工程的施工图纸 3 份，并附必要的计算书、 技术资料，或施工工艺图、设备安装图及安装设备的使用和维护手册各 2 份供监理人批准。 </w:t>
      </w:r>
    </w:p>
    <w:p>
      <w:pPr>
        <w:pStyle w:val="5"/>
        <w:keepNext w:val="0"/>
        <w:keepLines w:val="0"/>
        <w:pageBreakBefore w:val="0"/>
        <w:widowControl/>
        <w:numPr>
          <w:ilvl w:val="0"/>
          <w:numId w:val="9"/>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为使第 1.6.1 项所述的施工图纸适合于经施工测量后的纵、横断面； </w:t>
      </w:r>
    </w:p>
    <w:p>
      <w:pPr>
        <w:pStyle w:val="5"/>
        <w:keepNext w:val="0"/>
        <w:keepLines w:val="0"/>
        <w:pageBreakBefore w:val="0"/>
        <w:widowControl/>
        <w:numPr>
          <w:ilvl w:val="0"/>
          <w:numId w:val="9"/>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为使第 1.6.1 项所述的施工图纸适合于现场具体地形； </w:t>
      </w:r>
    </w:p>
    <w:p>
      <w:pPr>
        <w:pStyle w:val="5"/>
        <w:keepNext w:val="0"/>
        <w:keepLines w:val="0"/>
        <w:pageBreakBefore w:val="0"/>
        <w:widowControl/>
        <w:numPr>
          <w:ilvl w:val="0"/>
          <w:numId w:val="9"/>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为使第 1.6.1 项所述的施工图纸适合于因尺寸与位置变化而引起局部变更； </w:t>
      </w:r>
    </w:p>
    <w:p>
      <w:pPr>
        <w:pStyle w:val="5"/>
        <w:keepNext w:val="0"/>
        <w:keepLines w:val="0"/>
        <w:pageBreakBefore w:val="0"/>
        <w:widowControl/>
        <w:numPr>
          <w:ilvl w:val="0"/>
          <w:numId w:val="9"/>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由于合同要求与施工需要。</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此类图纸应按监理人规定的格式和图幅绘制。监理人在收到由承包人绘制的上述工程、工艺图纸、</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计算书和有关技术资料后 14 天内应予批准或提出修改要求，承包人应按监理人提出的要求作出修改，重新向 监理人提交，监理人应在 7 天内批准或提出进一步的修改意见。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1.6.4 图纸的错误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本项细化为：</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当承包人在查阅合同文件或在本合同工程实施过程中，发现有关的工程设计、技术规范、图纸或其他 资料中的任何差错、遗漏或缺陷后，应及时通知监理人。监理人接到该通知后，应立即就此作出决定，并 通知承包人和发包人。</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 xml:space="preserve">1.9．严禁贿赂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本款补充：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在合同执行过程中，发包人和承包人应严格履行《廉政合同》约定的双方在廉政建设方面的权利和义 务以及应承担的违约责任。承包人如果用行贿、送礼或其他不正当手段企图影响或已经影响了发包人或监 理人的行为和（或）欲获得或已获得超出合同规定以外的额外费用，则发包人应按有关法纪严肃处理当事 人，且承包人应对其上述行为造成的工程损害、发包人的经济损失等承担一切责任，并予赔偿。情节严重 者，发包人有权终止承包人在本合同项下的承包。 </w:t>
      </w:r>
    </w:p>
    <w:p>
      <w:pPr>
        <w:pStyle w:val="5"/>
        <w:keepNext w:val="0"/>
        <w:keepLines w:val="0"/>
        <w:pageBreakBefore w:val="0"/>
        <w:widowControl/>
        <w:numPr>
          <w:ilvl w:val="0"/>
          <w:numId w:val="6"/>
        </w:numPr>
        <w:suppressLineNumbers w:val="0"/>
        <w:kinsoku/>
        <w:overflowPunct/>
        <w:bidi w:val="0"/>
        <w:spacing w:before="0" w:beforeAutospacing="0" w:afterAutospacing="0" w:line="360" w:lineRule="auto"/>
        <w:ind w:left="0" w:leftChars="0" w:right="0" w:rightChars="0" w:firstLine="0" w:firstLineChars="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发包人义务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0"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2.3．提供施工场地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本款补充：</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发包人负责办理永久占地的征用及与之有关的拆迁赔偿手续并承担相关费用。承包人在按第 10 条规定 提交施工进度计划的同时，应向监理人提交一份按施工先后次序所需的永久占地计划。监理人应在收到此 计划后的 14 天内审核并转报发包人核备。发包人应在监理人发出本工程或分部工程开工通知之前，对承包 人开工所需的永久占地办妥征用手续和相关拆迁赔偿手续，通知承包人使用，以使承包人能够及时开工； 此后按承包人提交并经监理人同意的合同进度计划的安排，分期（也可以一次）将施工所需的其余永久占 地办妥征用以及拆迁赔偿手续，通知承包人使用，以使承包人能够连续不间断地施工。由于承包人施工考 虑不周或措施不当等原因而造成的超计划占地或拆迁等所发生的征用和赔偿费用，应由承包人承担。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由于发包人未能按照本项规定办妥永久占地征用手续，影响承包人及时使用永久占地造成的费用增加 和（或）工期延误应由发包人承担。由于承包人未能按照本项规定提交占地计划，影响发包人办理永久占 地征用手续造成的费用增加和（或）工期延误由承包人承担。</w:t>
      </w:r>
    </w:p>
    <w:p>
      <w:pPr>
        <w:pStyle w:val="5"/>
        <w:keepNext w:val="0"/>
        <w:keepLines w:val="0"/>
        <w:pageBreakBefore w:val="0"/>
        <w:widowControl/>
        <w:numPr>
          <w:ilvl w:val="0"/>
          <w:numId w:val="6"/>
        </w:numPr>
        <w:suppressLineNumbers w:val="0"/>
        <w:kinsoku/>
        <w:overflowPunct/>
        <w:bidi w:val="0"/>
        <w:spacing w:before="0" w:beforeAutospacing="0" w:afterAutospacing="0" w:line="360" w:lineRule="auto"/>
        <w:ind w:left="0" w:leftChars="0" w:right="0" w:rightChars="0" w:firstLine="0" w:firstLineChars="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监理人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0"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3.1．监理人的职责和权力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第 3.1.1 项补充：</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监理人在行使下列权力前需要经发包人事先批准： </w:t>
      </w:r>
    </w:p>
    <w:p>
      <w:pPr>
        <w:pStyle w:val="5"/>
        <w:keepNext w:val="0"/>
        <w:keepLines w:val="0"/>
        <w:pageBreakBefore w:val="0"/>
        <w:widowControl/>
        <w:numPr>
          <w:ilvl w:val="0"/>
          <w:numId w:val="10"/>
        </w:numPr>
        <w:suppressLineNumbers w:val="0"/>
        <w:kinsoku/>
        <w:overflowPunct/>
        <w:bidi w:val="0"/>
        <w:spacing w:before="0" w:beforeAutospacing="0" w:afterAutospacing="0" w:line="360" w:lineRule="auto"/>
        <w:ind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根据第 4.3 款，同意分包本工程的某些非关键性工作或者适合专业化队伍施工的专项工程； </w:t>
      </w:r>
    </w:p>
    <w:p>
      <w:pPr>
        <w:pStyle w:val="5"/>
        <w:keepNext w:val="0"/>
        <w:keepLines w:val="0"/>
        <w:pageBreakBefore w:val="0"/>
        <w:widowControl/>
        <w:numPr>
          <w:ilvl w:val="0"/>
          <w:numId w:val="10"/>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确定第 4.11 款下产生的费用增加额；</w:t>
      </w:r>
    </w:p>
    <w:p>
      <w:pPr>
        <w:pStyle w:val="5"/>
        <w:keepNext w:val="0"/>
        <w:keepLines w:val="0"/>
        <w:pageBreakBefore w:val="0"/>
        <w:widowControl/>
        <w:numPr>
          <w:ilvl w:val="0"/>
          <w:numId w:val="10"/>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根据第 11.1 款、第 12.3 款、第 12.4 款发布开工通知、暂停施工指示或复工通知；</w:t>
      </w:r>
    </w:p>
    <w:p>
      <w:pPr>
        <w:pStyle w:val="5"/>
        <w:keepNext w:val="0"/>
        <w:keepLines w:val="0"/>
        <w:pageBreakBefore w:val="0"/>
        <w:widowControl/>
        <w:numPr>
          <w:ilvl w:val="0"/>
          <w:numId w:val="10"/>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决定第 11.3 款、第 11.4 款下的工期延长； </w:t>
      </w:r>
    </w:p>
    <w:p>
      <w:pPr>
        <w:pStyle w:val="5"/>
        <w:keepNext w:val="0"/>
        <w:keepLines w:val="0"/>
        <w:pageBreakBefore w:val="0"/>
        <w:widowControl/>
        <w:numPr>
          <w:ilvl w:val="0"/>
          <w:numId w:val="10"/>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审查批准技术方案或设计的变更； </w:t>
      </w:r>
    </w:p>
    <w:p>
      <w:pPr>
        <w:pStyle w:val="5"/>
        <w:keepNext w:val="0"/>
        <w:keepLines w:val="0"/>
        <w:pageBreakBefore w:val="0"/>
        <w:widowControl/>
        <w:numPr>
          <w:ilvl w:val="0"/>
          <w:numId w:val="10"/>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根据第 15.3 款发出的变更指示，其单项工程变更或累计变更涉及的金额超过了项目专用合同条款数据表中规定的金额； </w:t>
      </w:r>
    </w:p>
    <w:p>
      <w:pPr>
        <w:pStyle w:val="5"/>
        <w:keepNext w:val="0"/>
        <w:keepLines w:val="0"/>
        <w:pageBreakBefore w:val="0"/>
        <w:widowControl/>
        <w:numPr>
          <w:ilvl w:val="0"/>
          <w:numId w:val="10"/>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确定第 15.4 款下变更工作的单价； </w:t>
      </w:r>
    </w:p>
    <w:p>
      <w:pPr>
        <w:pStyle w:val="5"/>
        <w:keepNext w:val="0"/>
        <w:keepLines w:val="0"/>
        <w:pageBreakBefore w:val="0"/>
        <w:widowControl/>
        <w:numPr>
          <w:ilvl w:val="0"/>
          <w:numId w:val="10"/>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按照第 15.6 款决定有关暂列金额的使用； </w:t>
      </w:r>
    </w:p>
    <w:p>
      <w:pPr>
        <w:pStyle w:val="5"/>
        <w:keepNext w:val="0"/>
        <w:keepLines w:val="0"/>
        <w:pageBreakBefore w:val="0"/>
        <w:widowControl/>
        <w:numPr>
          <w:ilvl w:val="0"/>
          <w:numId w:val="10"/>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确定第 15.8 款下的暂估价金额； </w:t>
      </w:r>
    </w:p>
    <w:p>
      <w:pPr>
        <w:pStyle w:val="5"/>
        <w:keepNext w:val="0"/>
        <w:keepLines w:val="0"/>
        <w:pageBreakBefore w:val="0"/>
        <w:widowControl/>
        <w:numPr>
          <w:ilvl w:val="0"/>
          <w:numId w:val="10"/>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确定第 23.1 款下的索赔额。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如果发生紧急情况，监理人认为将造成人员伤亡，或危及本工程或邻近的财产需立即采取行动，监理人有权在未征得发包人的批准的情况下发布处理紧急情况所必需的指令，承包人应予执行，由此造成的费 用增加由监理人按第 3.5 款商定或确定。</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3.5．商定或确定</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val="0"/>
          <w:bCs w:val="0"/>
          <w:color w:val="000000"/>
          <w:sz w:val="21"/>
          <w:szCs w:val="21"/>
        </w:rPr>
      </w:pPr>
      <w:r>
        <w:rPr>
          <w:rFonts w:ascii="宋体" w:hAnsi="宋体" w:eastAsia="宋体" w:cs="宋体"/>
          <w:b/>
          <w:bCs/>
          <w:color w:val="000000"/>
          <w:sz w:val="21"/>
          <w:szCs w:val="21"/>
        </w:rPr>
        <w:t xml:space="preserve"> </w:t>
      </w:r>
      <w:r>
        <w:rPr>
          <w:rFonts w:ascii="宋体" w:hAnsi="宋体" w:eastAsia="宋体" w:cs="宋体"/>
          <w:b w:val="0"/>
          <w:bCs w:val="0"/>
          <w:color w:val="000000"/>
          <w:sz w:val="21"/>
          <w:szCs w:val="21"/>
        </w:rPr>
        <w:t xml:space="preserve">第 3.5.1 项补充：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如果这项商定或确定导致费用增加和（或）工期延长，或者涉及确定变更工程的价格，则总监理工程 师在发出通知前，应征得发包人的同意。</w:t>
      </w:r>
    </w:p>
    <w:p>
      <w:pPr>
        <w:pStyle w:val="5"/>
        <w:keepNext w:val="0"/>
        <w:keepLines w:val="0"/>
        <w:pageBreakBefore w:val="0"/>
        <w:widowControl/>
        <w:numPr>
          <w:ilvl w:val="0"/>
          <w:numId w:val="6"/>
        </w:numPr>
        <w:suppressLineNumbers w:val="0"/>
        <w:kinsoku/>
        <w:overflowPunct/>
        <w:bidi w:val="0"/>
        <w:spacing w:before="0" w:beforeAutospacing="0" w:afterAutospacing="0" w:line="360" w:lineRule="auto"/>
        <w:ind w:left="0" w:leftChars="0" w:right="0" w:rightChars="0" w:firstLine="0" w:firstLineChars="0"/>
        <w:jc w:val="both"/>
        <w:rPr>
          <w:rFonts w:ascii="宋体" w:hAnsi="宋体" w:eastAsia="宋体" w:cs="宋体"/>
          <w:b/>
          <w:bCs/>
          <w:color w:val="000000"/>
          <w:sz w:val="21"/>
          <w:szCs w:val="21"/>
        </w:rPr>
      </w:pPr>
      <w:r>
        <w:rPr>
          <w:rFonts w:ascii="宋体" w:hAnsi="宋体" w:eastAsia="宋体" w:cs="宋体"/>
          <w:b/>
          <w:bCs/>
          <w:color w:val="000000"/>
          <w:sz w:val="21"/>
          <w:szCs w:val="21"/>
        </w:rPr>
        <w:t>承包人</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0"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 4.1．承包人的一般义务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0"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4.1.9 工程的维护和照管</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0" w:right="0" w:rightChars="0" w:firstLine="422" w:firstLineChars="200"/>
        <w:jc w:val="both"/>
        <w:rPr>
          <w:rFonts w:ascii="宋体" w:hAnsi="宋体" w:eastAsia="宋体" w:cs="宋体"/>
          <w:b w:val="0"/>
          <w:bCs w:val="0"/>
          <w:color w:val="000000"/>
          <w:sz w:val="21"/>
          <w:szCs w:val="21"/>
        </w:rPr>
      </w:pPr>
      <w:r>
        <w:rPr>
          <w:rFonts w:ascii="宋体" w:hAnsi="宋体" w:eastAsia="宋体" w:cs="宋体"/>
          <w:b/>
          <w:bCs/>
          <w:color w:val="000000"/>
          <w:sz w:val="21"/>
          <w:szCs w:val="21"/>
        </w:rPr>
        <w:t xml:space="preserve"> </w:t>
      </w:r>
      <w:r>
        <w:rPr>
          <w:rFonts w:ascii="宋体" w:hAnsi="宋体" w:eastAsia="宋体" w:cs="宋体"/>
          <w:b w:val="0"/>
          <w:bCs w:val="0"/>
          <w:color w:val="000000"/>
          <w:sz w:val="21"/>
          <w:szCs w:val="21"/>
        </w:rPr>
        <w:t>本项细化为：</w:t>
      </w:r>
    </w:p>
    <w:p>
      <w:pPr>
        <w:pStyle w:val="5"/>
        <w:keepNext w:val="0"/>
        <w:keepLines w:val="0"/>
        <w:pageBreakBefore w:val="0"/>
        <w:widowControl/>
        <w:numPr>
          <w:ilvl w:val="0"/>
          <w:numId w:val="11"/>
        </w:numPr>
        <w:suppressLineNumbers w:val="0"/>
        <w:kinsoku/>
        <w:overflowPunct/>
        <w:bidi w:val="0"/>
        <w:spacing w:before="0" w:beforeAutospacing="0" w:afterAutospacing="0" w:line="360" w:lineRule="auto"/>
        <w:ind w:left="525" w:leftChars="0" w:right="0" w:rightChars="0" w:firstLine="0" w:firstLine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交工验收证书颁发前，承包人应负责照管和维护工程及将用于或安装在本工程中的材料、设备。 交工验收证书颁发时尚有部分未交工工程的，承包人还应负责该未交工工程、材料、设备的照管和维护工 作，直至交工后移交给发包人为止。 </w:t>
      </w:r>
    </w:p>
    <w:p>
      <w:pPr>
        <w:pStyle w:val="5"/>
        <w:keepNext w:val="0"/>
        <w:keepLines w:val="0"/>
        <w:pageBreakBefore w:val="0"/>
        <w:widowControl/>
        <w:numPr>
          <w:ilvl w:val="0"/>
          <w:numId w:val="11"/>
        </w:numPr>
        <w:suppressLineNumbers w:val="0"/>
        <w:kinsoku/>
        <w:overflowPunct/>
        <w:bidi w:val="0"/>
        <w:spacing w:before="0" w:beforeAutospacing="0" w:afterAutospacing="0" w:line="360" w:lineRule="auto"/>
        <w:ind w:left="525" w:leftChars="0" w:right="0" w:rightChars="0" w:firstLine="0" w:firstLine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在承包人负责照管与维护期间，如果本工程或材料、设备等发生损失或损害，除不可抗力原因之 外，承包人均应自费弥补，并达到合同要求。承包人还应对按第 19 条规定而实施作业过程中由承包人造成 的对工程的任何损失或损害负责。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4.1.10 其他义务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本项细化为： </w:t>
      </w:r>
    </w:p>
    <w:p>
      <w:pPr>
        <w:pStyle w:val="5"/>
        <w:keepNext w:val="0"/>
        <w:keepLines w:val="0"/>
        <w:pageBreakBefore w:val="0"/>
        <w:widowControl/>
        <w:numPr>
          <w:ilvl w:val="0"/>
          <w:numId w:val="12"/>
        </w:numPr>
        <w:suppressLineNumbers w:val="0"/>
        <w:kinsoku/>
        <w:overflowPunct/>
        <w:bidi w:val="0"/>
        <w:spacing w:before="0" w:beforeAutospacing="0" w:afterAutospacing="0" w:line="360" w:lineRule="auto"/>
        <w:ind w:left="525" w:leftChars="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临时占地由承包人向当地政府土地管理部门申请，并办理租用手续，承包人按有关规定直接</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支付 其费用，发包人对此将予以协调。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临时占地范围包括承包人驻地的办公室、食堂、宿舍、道路和机械设备停放场、材料堆放场地、弃土 场、预制场、拌和场、仓库、进场临时道路、临时便道、便桥等。承包人应在“临时占地计划表”范围内 按实际需要与先后次序，提出具体计划报监理人同意，并报发包人。临时占地的面积和使用期应满足工程</w:t>
      </w:r>
      <w:r>
        <w:rPr>
          <w:rFonts w:hint="default" w:ascii="TimesNewRomanPSMT" w:hAnsi="TimesNewRomanPSMT" w:eastAsia="TimesNewRomanPSMT" w:cs="TimesNewRomanPSMT"/>
          <w:b w:val="0"/>
          <w:bCs w:val="0"/>
          <w:color w:val="000000"/>
          <w:sz w:val="18"/>
          <w:szCs w:val="18"/>
        </w:rPr>
        <w:t xml:space="preserve"> 65 </w:t>
      </w:r>
      <w:r>
        <w:rPr>
          <w:rFonts w:ascii="宋体" w:hAnsi="宋体" w:eastAsia="宋体" w:cs="宋体"/>
          <w:b w:val="0"/>
          <w:bCs w:val="0"/>
          <w:color w:val="000000"/>
          <w:sz w:val="21"/>
          <w:szCs w:val="21"/>
        </w:rPr>
        <w:t xml:space="preserve">需要，费用包括临时占地数量、时间及因此而发生的协调、租用、复耕、地面附着物（电力、电信、房屋、 坟墓除外）的拆迁补偿等相关费用。除项目专用合同条款另有约定外，临时占地的租地费用实行总额包干， 列入工程量清单第 100 章中由承包人按总额报价。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临时占地退还前，承包人应自费恢复到临时占地使用前的状况。如因承包人撤离后未按要求对临时占 地进行恢复或虽进行了恢复但未达到使用标准的，将由发包人委托第三方对其恢复，所发生的费用将从应 付给承包人的任何款项内扣除。 </w:t>
      </w:r>
    </w:p>
    <w:p>
      <w:pPr>
        <w:pStyle w:val="5"/>
        <w:keepNext w:val="0"/>
        <w:keepLines w:val="0"/>
        <w:pageBreakBefore w:val="0"/>
        <w:widowControl/>
        <w:numPr>
          <w:ilvl w:val="0"/>
          <w:numId w:val="12"/>
        </w:numPr>
        <w:suppressLineNumbers w:val="0"/>
        <w:kinsoku/>
        <w:overflowPunct/>
        <w:bidi w:val="0"/>
        <w:spacing w:before="0" w:beforeAutospacing="0" w:afterAutospacing="0" w:line="360" w:lineRule="auto"/>
        <w:ind w:left="525" w:leftChars="0" w:right="0" w:rightChars="0" w:firstLine="0" w:firstLine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除项目专用合同条款另有约定外，承包人应承担并支付为获得本合同工程所需的石料、砂、</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砾石、 黏土或其他当地材料等所发生的料场使用费及其他开支或补偿费。发包人应尽可能协助承包人办理料场租 用手续及解决使用过程中的有关问题。 </w:t>
      </w:r>
    </w:p>
    <w:p>
      <w:pPr>
        <w:pStyle w:val="5"/>
        <w:keepNext w:val="0"/>
        <w:keepLines w:val="0"/>
        <w:pageBreakBefore w:val="0"/>
        <w:widowControl/>
        <w:numPr>
          <w:ilvl w:val="0"/>
          <w:numId w:val="12"/>
        </w:numPr>
        <w:suppressLineNumbers w:val="0"/>
        <w:kinsoku/>
        <w:overflowPunct/>
        <w:bidi w:val="0"/>
        <w:spacing w:before="0" w:beforeAutospacing="0" w:afterAutospacing="0" w:line="360" w:lineRule="auto"/>
        <w:ind w:left="525" w:leftChars="0" w:right="0" w:rightChars="0" w:firstLine="0" w:firstLine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承包人应严格遵守国家有关解决拖欠工程款和民工工资的法律、法规，及时支付工程中的材</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料、 设备货款及民工工资等费用。承包人不得以任何借口拖欠材料、设备货款及民工工资等费用，如果出现此种现象，发包人有权代为支付其拖欠的材料、设备货款及民工工资，并从应付给承包人的工程款中扣除相应款项。对恶意拖欠和拒不按计划支付的，作为不良记录纳入</w:t>
      </w:r>
      <w:r>
        <w:rPr>
          <w:rFonts w:hint="eastAsia" w:ascii="宋体" w:hAnsi="宋体" w:eastAsia="宋体" w:cs="宋体"/>
          <w:b w:val="0"/>
          <w:bCs w:val="0"/>
          <w:color w:val="000000"/>
          <w:sz w:val="21"/>
          <w:szCs w:val="21"/>
          <w:lang w:eastAsia="zh-CN"/>
        </w:rPr>
        <w:t>全国公路建设市场监督管理系统</w:t>
      </w:r>
      <w:r>
        <w:rPr>
          <w:rFonts w:ascii="宋体" w:hAnsi="宋体" w:eastAsia="宋体" w:cs="宋体"/>
          <w:b w:val="0"/>
          <w:bCs w:val="0"/>
          <w:color w:val="000000"/>
          <w:sz w:val="21"/>
          <w:szCs w:val="21"/>
        </w:rPr>
        <w:t xml:space="preserve">。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承包人的项目经理部是民工工资支付行为的主体，承包人的项目经理是民工工资支付的责任人。项目 经理部要建立全体民工花名册和工资支付表，确保将工资直接发放给民工本人，或委托银行发放民工工资， 严禁发放给“包工头”或其他不具备用工主体资格的组织和个人。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工资支付表应如实记录支付单位、支付时间、支付对象、支付数额、支付对象的身份证号和签字等信 息。民工花名册和工资支付表应报监理人备查。 </w:t>
      </w:r>
    </w:p>
    <w:p>
      <w:pPr>
        <w:pStyle w:val="5"/>
        <w:keepNext w:val="0"/>
        <w:keepLines w:val="0"/>
        <w:pageBreakBefore w:val="0"/>
        <w:widowControl/>
        <w:numPr>
          <w:ilvl w:val="0"/>
          <w:numId w:val="12"/>
        </w:numPr>
        <w:suppressLineNumbers w:val="0"/>
        <w:kinsoku/>
        <w:overflowPunct/>
        <w:bidi w:val="0"/>
        <w:spacing w:before="0" w:beforeAutospacing="0" w:afterAutospacing="0" w:line="360" w:lineRule="auto"/>
        <w:ind w:left="525" w:leftChars="0" w:right="0" w:rightChars="0" w:firstLine="0" w:firstLine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承包人应分解工程价款中的人工费用，在工程项目所在地银行开设民工工资（劳务费）专用</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账户， 专项用于支付民工工资。发包人应按照本合同约定的比例或承包人提供的人工费用数额，将应付工程款中的人工费单独拨付到承包人开设的民工工资（劳务费）专用账户。民工工资（劳务费）专用账户应向人力资源社会保障部门和交通运输主管部门备案，并委托开户银行负责日常监管，确保专款专用。开户银行发 现账户资金不足、被挪用等情况，应及时向人力资源社会保障部门和交通运输主管部门报告。 </w:t>
      </w:r>
    </w:p>
    <w:p>
      <w:pPr>
        <w:pStyle w:val="5"/>
        <w:keepNext w:val="0"/>
        <w:keepLines w:val="0"/>
        <w:pageBreakBefore w:val="0"/>
        <w:widowControl/>
        <w:numPr>
          <w:ilvl w:val="0"/>
          <w:numId w:val="12"/>
        </w:numPr>
        <w:suppressLineNumbers w:val="0"/>
        <w:kinsoku/>
        <w:overflowPunct/>
        <w:bidi w:val="0"/>
        <w:spacing w:before="0" w:beforeAutospacing="0" w:afterAutospacing="0" w:line="360" w:lineRule="auto"/>
        <w:ind w:left="525" w:leftChars="0" w:right="0" w:rightChars="0" w:firstLine="0" w:firstLine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承包人应严格执行招标文件技术规范对施工标准化提出的具体要求，结合本单位施工能力和</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技术优势，积极采取有利于标准化施工的组织方式和工艺流程，加强工地建设、工艺控制、人员管理和内业资料管理，强化对施工一线操作人员的培训，改善职工生产生活条件，与此相关的费用承包人应列入工程量清单第 100 章中。 </w:t>
      </w:r>
    </w:p>
    <w:p>
      <w:pPr>
        <w:pStyle w:val="5"/>
        <w:keepNext w:val="0"/>
        <w:keepLines w:val="0"/>
        <w:pageBreakBefore w:val="0"/>
        <w:widowControl/>
        <w:numPr>
          <w:ilvl w:val="0"/>
          <w:numId w:val="12"/>
        </w:numPr>
        <w:suppressLineNumbers w:val="0"/>
        <w:kinsoku/>
        <w:overflowPunct/>
        <w:bidi w:val="0"/>
        <w:spacing w:before="0" w:beforeAutospacing="0" w:afterAutospacing="0" w:line="360" w:lineRule="auto"/>
        <w:ind w:left="525" w:leftChars="0" w:right="0" w:rightChars="0" w:firstLine="0" w:firstLine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承包人应履行项目专用合同条款约定的其他义务。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jc w:val="both"/>
        <w:rPr>
          <w:rFonts w:hint="eastAsia" w:ascii="宋体" w:hAnsi="宋体" w:eastAsia="宋体" w:cs="宋体"/>
          <w:b/>
          <w:bCs/>
          <w:color w:val="000000"/>
          <w:sz w:val="21"/>
          <w:szCs w:val="21"/>
          <w:lang w:eastAsia="zh-CN"/>
        </w:rPr>
      </w:pPr>
      <w:r>
        <w:rPr>
          <w:rFonts w:ascii="宋体" w:hAnsi="宋体" w:eastAsia="宋体" w:cs="宋体"/>
          <w:b/>
          <w:bCs/>
          <w:color w:val="000000"/>
          <w:sz w:val="21"/>
          <w:szCs w:val="21"/>
        </w:rPr>
        <w:t>4.2．履约保证金</w:t>
      </w:r>
      <w:r>
        <w:rPr>
          <w:rFonts w:hint="eastAsia" w:ascii="宋体" w:hAnsi="宋体" w:eastAsia="宋体" w:cs="宋体"/>
          <w:b/>
          <w:bCs/>
          <w:color w:val="000000"/>
          <w:sz w:val="21"/>
          <w:szCs w:val="21"/>
          <w:lang w:eastAsia="zh-CN"/>
        </w:rPr>
        <w:t>（本项目不收取）</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jc w:val="both"/>
        <w:rPr>
          <w:rFonts w:ascii="宋体" w:hAnsi="宋体" w:eastAsia="宋体" w:cs="宋体"/>
          <w:b w:val="0"/>
          <w:bCs w:val="0"/>
          <w:color w:val="000000"/>
          <w:sz w:val="21"/>
          <w:szCs w:val="21"/>
        </w:rPr>
      </w:pPr>
      <w:r>
        <w:rPr>
          <w:rFonts w:ascii="宋体" w:hAnsi="宋体" w:eastAsia="宋体" w:cs="宋体"/>
          <w:b/>
          <w:bCs/>
          <w:color w:val="000000"/>
          <w:sz w:val="21"/>
          <w:szCs w:val="21"/>
        </w:rPr>
        <w:t xml:space="preserve"> </w:t>
      </w:r>
      <w:r>
        <w:rPr>
          <w:rFonts w:ascii="宋体" w:hAnsi="宋体" w:eastAsia="宋体" w:cs="宋体"/>
          <w:b w:val="0"/>
          <w:bCs w:val="0"/>
          <w:color w:val="000000"/>
          <w:sz w:val="21"/>
          <w:szCs w:val="21"/>
        </w:rPr>
        <w:t xml:space="preserve">本款细化为：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承包人应保证其履约保证金在发包人签发交工验收证书且承包人按照合同约定缴纳质量保证金前</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一直有效。发包人应在收到承包人缴纳的质量保证金后 28 天内将履约保证金退还给承包人。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hint="eastAsia" w:ascii="宋体" w:hAnsi="宋体" w:eastAsia="宋体" w:cs="宋体"/>
          <w:kern w:val="2"/>
          <w:sz w:val="21"/>
          <w:szCs w:val="21"/>
          <w:lang w:eastAsia="zh-CN"/>
        </w:rPr>
      </w:pPr>
      <w:r>
        <w:rPr>
          <w:rFonts w:ascii="宋体" w:hAnsi="宋体" w:eastAsia="宋体" w:cs="宋体"/>
          <w:b w:val="0"/>
          <w:bCs w:val="0"/>
          <w:color w:val="000000"/>
          <w:sz w:val="21"/>
          <w:szCs w:val="21"/>
        </w:rPr>
        <w:t>承包人拒绝按照本合同约定缴纳质量保证金的，发包人有权从交工付款证书中扣留相应金额作为质量证金，或者直接将履约保证金金额用于保证承包人在缺陷责任期内履行缺陷修复义务。</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4.3．分包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第 4.3.2 项～第 4.3.4 项细化为：</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4.3.2 承包人不得将工程关键性工作分包给第三人。经发包人同意，承包人可将工程的其他部分或工作分包给第三人。分包包括专业分包和劳务分包。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4.3.3 专业分包</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在工程施工过程中，承包人进行专业分包必须遵守以下规定： </w:t>
      </w:r>
    </w:p>
    <w:p>
      <w:pPr>
        <w:pStyle w:val="5"/>
        <w:keepNext w:val="0"/>
        <w:keepLines w:val="0"/>
        <w:pageBreakBefore w:val="0"/>
        <w:widowControl/>
        <w:numPr>
          <w:ilvl w:val="0"/>
          <w:numId w:val="13"/>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允许专业分包的工程范围仅限于非关键性工程或者适合专业化队伍施工的专项工程。未列入投标文件的专项工程，承包人不得分包。但因工程变更增加了有特殊性技术要求、特殊工艺或者涉及专利保护等的专项工程，且按规定无须再进行招标的，由承包人提出书面申请，经发包人书面同意，可以分包。 </w:t>
      </w:r>
    </w:p>
    <w:p>
      <w:pPr>
        <w:pStyle w:val="5"/>
        <w:keepNext w:val="0"/>
        <w:keepLines w:val="0"/>
        <w:pageBreakBefore w:val="0"/>
        <w:widowControl/>
        <w:numPr>
          <w:ilvl w:val="0"/>
          <w:numId w:val="13"/>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专业分包人的资格能力（含安全生产能力）应与其分包工程的标准和规模相适应，且应当具备如下条件： </w:t>
      </w:r>
    </w:p>
    <w:p>
      <w:pPr>
        <w:pStyle w:val="5"/>
        <w:keepNext w:val="0"/>
        <w:keepLines w:val="0"/>
        <w:pageBreakBefore w:val="0"/>
        <w:widowControl/>
        <w:numPr>
          <w:ilvl w:val="0"/>
          <w:numId w:val="14"/>
        </w:numPr>
        <w:suppressLineNumbers w:val="0"/>
        <w:kinsoku/>
        <w:overflowPunct/>
        <w:bidi w:val="0"/>
        <w:spacing w:before="0" w:beforeAutospacing="0" w:afterAutospacing="0" w:line="360" w:lineRule="auto"/>
        <w:ind w:leftChars="20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具有经工商登记的法人资格；</w:t>
      </w:r>
    </w:p>
    <w:p>
      <w:pPr>
        <w:pStyle w:val="5"/>
        <w:keepNext w:val="0"/>
        <w:keepLines w:val="0"/>
        <w:pageBreakBefore w:val="0"/>
        <w:widowControl/>
        <w:numPr>
          <w:ilvl w:val="0"/>
          <w:numId w:val="14"/>
        </w:numPr>
        <w:suppressLineNumbers w:val="0"/>
        <w:kinsoku/>
        <w:overflowPunct/>
        <w:bidi w:val="0"/>
        <w:spacing w:before="0" w:beforeAutospacing="0" w:afterAutospacing="0" w:line="360" w:lineRule="auto"/>
        <w:ind w:left="420" w:leftChars="200" w:right="0" w:rightChars="0" w:firstLine="0" w:firstLine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具有从事类似工程经验的管理与技术人员； </w:t>
      </w:r>
    </w:p>
    <w:p>
      <w:pPr>
        <w:pStyle w:val="5"/>
        <w:keepNext w:val="0"/>
        <w:keepLines w:val="0"/>
        <w:pageBreakBefore w:val="0"/>
        <w:widowControl/>
        <w:numPr>
          <w:ilvl w:val="0"/>
          <w:numId w:val="14"/>
        </w:numPr>
        <w:suppressLineNumbers w:val="0"/>
        <w:kinsoku/>
        <w:overflowPunct/>
        <w:bidi w:val="0"/>
        <w:spacing w:before="0" w:beforeAutospacing="0" w:afterAutospacing="0" w:line="360" w:lineRule="auto"/>
        <w:ind w:left="420" w:leftChars="200" w:right="0" w:rightChars="0" w:firstLine="0" w:firstLine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具有（自有或租赁）分包工程所需的施工设备。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承包人应向监理人提交专业分包人的资格能力证明材料，经监理人审查并报发包人批准后，可以将</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相应专业工程分包给该专业分包人。 </w:t>
      </w:r>
    </w:p>
    <w:p>
      <w:pPr>
        <w:pStyle w:val="5"/>
        <w:keepNext w:val="0"/>
        <w:keepLines w:val="0"/>
        <w:pageBreakBefore w:val="0"/>
        <w:widowControl/>
        <w:numPr>
          <w:ilvl w:val="0"/>
          <w:numId w:val="13"/>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专业分包工程不得再次分包。 </w:t>
      </w:r>
    </w:p>
    <w:p>
      <w:pPr>
        <w:pStyle w:val="5"/>
        <w:keepNext w:val="0"/>
        <w:keepLines w:val="0"/>
        <w:pageBreakBefore w:val="0"/>
        <w:widowControl/>
        <w:numPr>
          <w:ilvl w:val="0"/>
          <w:numId w:val="13"/>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承包人和专业分包人应当按照交通运输主管部门制定的统一格式依法签订专业分包合同，并履</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行合同约定的义务。专业分包合同必须遵循承包合同的各项原则，满足承包合同中的质量、安全、进度、环保以及其他技术、经济等要求。专业分包合同必须明确约定工程款支付条款、结算方式以及保证按期支付的相应措施，确保工程款的支付。承包人应在工程实施前，将经监理人审查同意后的分包合同报发包人备案。 </w:t>
      </w:r>
    </w:p>
    <w:p>
      <w:pPr>
        <w:pStyle w:val="5"/>
        <w:keepNext w:val="0"/>
        <w:keepLines w:val="0"/>
        <w:pageBreakBefore w:val="0"/>
        <w:widowControl/>
        <w:numPr>
          <w:ilvl w:val="0"/>
          <w:numId w:val="13"/>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专业分包人应当设立项目管理机构，对所分包工程的施工活动实施管理。项目管理机构应当具有与分包工程的规模、技术复杂程度相适应的技术、经济管理人员，其中项目负责人和技术、财务、计量、 质量、安全等主要管理人员必须是专业分包人本单位人员。 </w:t>
      </w:r>
    </w:p>
    <w:p>
      <w:pPr>
        <w:pStyle w:val="5"/>
        <w:keepNext w:val="0"/>
        <w:keepLines w:val="0"/>
        <w:pageBreakBefore w:val="0"/>
        <w:widowControl/>
        <w:numPr>
          <w:ilvl w:val="0"/>
          <w:numId w:val="13"/>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承包人应当建立健全相关分包管理制度和台账，对专业分包工程的质量、安全、进度和专业分</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包人的行为等实施全过程管理，按照本办法规定和合同约定对专业分包工程的实施向发包人负责，并承担赔 偿责任。专业分包合同不免除承包合同中规定的承包人的责任或者义务。 </w:t>
      </w:r>
    </w:p>
    <w:p>
      <w:pPr>
        <w:pStyle w:val="5"/>
        <w:keepNext w:val="0"/>
        <w:keepLines w:val="0"/>
        <w:pageBreakBefore w:val="0"/>
        <w:widowControl/>
        <w:numPr>
          <w:ilvl w:val="0"/>
          <w:numId w:val="13"/>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专业分包人应当依据专业分包合同的约定，组织分包工程的施工，并对分包工程的质量、安全和进度等实施有效控制。专业分包人对其分包的工程向承包人负责，并就所分包的工程向发包人承担连带责任。 </w:t>
      </w:r>
    </w:p>
    <w:p>
      <w:pPr>
        <w:pStyle w:val="5"/>
        <w:keepNext w:val="0"/>
        <w:keepLines w:val="0"/>
        <w:pageBreakBefore w:val="0"/>
        <w:widowControl/>
        <w:numPr>
          <w:ilvl w:val="0"/>
          <w:numId w:val="13"/>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承包人对施工现场安全负总责，并对专业分包人的安全生产进行培训和管理。专业分包人应将</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其专业分包工程的施工组织设计和施工安全方案报承包人备案。专业分包人对分包施工现场安全负责，发现事故隐患，应及时处理。</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w:t>
      </w:r>
      <w:r>
        <w:rPr>
          <w:rFonts w:hint="eastAsia" w:ascii="宋体" w:hAnsi="宋体" w:eastAsia="宋体" w:cs="宋体"/>
          <w:b w:val="0"/>
          <w:bCs w:val="0"/>
          <w:color w:val="000000"/>
          <w:sz w:val="21"/>
          <w:szCs w:val="21"/>
          <w:lang w:val="en-US" w:eastAsia="zh-CN"/>
        </w:rPr>
        <w:t xml:space="preserve">   </w:t>
      </w:r>
      <w:r>
        <w:rPr>
          <w:rFonts w:ascii="宋体" w:hAnsi="宋体" w:eastAsia="宋体" w:cs="宋体"/>
          <w:b w:val="0"/>
          <w:bCs w:val="0"/>
          <w:color w:val="000000"/>
          <w:sz w:val="21"/>
          <w:szCs w:val="21"/>
        </w:rPr>
        <w:t>违反上述规定之一者属违规分包。</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4.3.4 劳务分包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在工程施工过程中，承包人进行劳务分包必须遵守以下规定： </w:t>
      </w:r>
    </w:p>
    <w:p>
      <w:pPr>
        <w:pStyle w:val="5"/>
        <w:keepNext w:val="0"/>
        <w:keepLines w:val="0"/>
        <w:pageBreakBefore w:val="0"/>
        <w:widowControl/>
        <w:numPr>
          <w:ilvl w:val="0"/>
          <w:numId w:val="15"/>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劳务分包人应具有施工劳务资质。 </w:t>
      </w:r>
    </w:p>
    <w:p>
      <w:pPr>
        <w:pStyle w:val="5"/>
        <w:keepNext w:val="0"/>
        <w:keepLines w:val="0"/>
        <w:pageBreakBefore w:val="0"/>
        <w:widowControl/>
        <w:numPr>
          <w:ilvl w:val="0"/>
          <w:numId w:val="15"/>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劳务分包应当依法签订劳务分包合同，劳务分包合同必须由承包人的法定代表人或其委托代理人 与劳务分包人直接签订，不得由他人代签。承包人的项目经理部、项目经理、施工班组等不具备用工主体资格，不能与劳务分包人签订劳务分包合同。承包人应向发包人和监理人提交劳务分包合同副本并报项目所在地劳动保障部门备案。 </w:t>
      </w:r>
    </w:p>
    <w:p>
      <w:pPr>
        <w:pStyle w:val="5"/>
        <w:keepNext w:val="0"/>
        <w:keepLines w:val="0"/>
        <w:pageBreakBefore w:val="0"/>
        <w:widowControl/>
        <w:numPr>
          <w:ilvl w:val="0"/>
          <w:numId w:val="15"/>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承包人雇用的劳务作业应加入到承包人的施工班组统一管理。有关施工质量、施工安全、施工</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进度、环境保护、技术方案、试验检测、材料保管与供应、机械设备等都必须由承包人管理与调配，不得以包代管。 </w:t>
      </w:r>
    </w:p>
    <w:p>
      <w:pPr>
        <w:pStyle w:val="5"/>
        <w:keepNext w:val="0"/>
        <w:keepLines w:val="0"/>
        <w:pageBreakBefore w:val="0"/>
        <w:widowControl/>
        <w:numPr>
          <w:ilvl w:val="0"/>
          <w:numId w:val="15"/>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承包人应当对劳务分包人员进行安全培训和管理，劳务分包人不得将其分包的劳务作业再次分包。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违反上述规定之一者属违规分包。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本款补充第 4.3.6 项、第 4.3.7 项：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4.3.6 发包人对承包人与分包人之间的法律与经济纠纷不承担任何责任和义务。</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630" w:firstLineChars="3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w:t>
      </w:r>
      <w:r>
        <w:rPr>
          <w:rFonts w:hint="eastAsia" w:ascii="宋体" w:hAnsi="宋体" w:eastAsia="宋体" w:cs="宋体"/>
          <w:b w:val="0"/>
          <w:bCs w:val="0"/>
          <w:color w:val="000000"/>
          <w:sz w:val="21"/>
          <w:szCs w:val="21"/>
          <w:lang w:val="en-US" w:eastAsia="zh-CN"/>
        </w:rPr>
        <w:t xml:space="preserve"> </w:t>
      </w:r>
      <w:r>
        <w:rPr>
          <w:rFonts w:ascii="宋体" w:hAnsi="宋体" w:eastAsia="宋体" w:cs="宋体"/>
          <w:b w:val="0"/>
          <w:bCs w:val="0"/>
          <w:color w:val="000000"/>
          <w:sz w:val="21"/>
          <w:szCs w:val="21"/>
        </w:rPr>
        <w:t>4.3.7 本项目的各项分包工作均应遵守《公路工程施工分包管理办法》的有关规定。</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632" w:firstLineChars="3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4.4．联合体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630" w:firstLineChars="3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本款补充第 4.4.4 项：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630" w:firstLineChars="3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4.4.4 未经发包人事先同意，联合体的组成与结构不得变动。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632" w:firstLineChars="3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4.6．承包人人员的管理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630" w:firstLineChars="3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第 4.6.3 项细化为：</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承包人安排在施工场地的主要管理人员和技术骨干应与承包人承诺的名单一致，并保持相对稳定。未经监理人批准，上述人员不应无故不到位或被替换；若确实无法到位或需替换，需经监理人审核并报发包人批准后，用同等资质和经历的人员替换。</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本款补充第 4.6.5 项：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4.6.5 尽管承包人已按承诺派遣了上述各类人员，但若这些人员仍不能满足合同进度计划和（或）</w:t>
      </w:r>
      <w:r>
        <w:rPr>
          <w:rFonts w:hint="eastAsia" w:ascii="宋体" w:hAnsi="宋体" w:eastAsia="宋体" w:cs="宋体"/>
          <w:b w:val="0"/>
          <w:bCs w:val="0"/>
          <w:color w:val="000000"/>
          <w:sz w:val="21"/>
          <w:szCs w:val="21"/>
          <w:lang w:eastAsia="zh-CN"/>
        </w:rPr>
        <w:t>质量目标</w:t>
      </w:r>
      <w:r>
        <w:rPr>
          <w:rFonts w:ascii="宋体" w:hAnsi="宋体" w:eastAsia="宋体" w:cs="宋体"/>
          <w:b w:val="0"/>
          <w:bCs w:val="0"/>
          <w:color w:val="000000"/>
          <w:sz w:val="21"/>
          <w:szCs w:val="21"/>
        </w:rPr>
        <w:t>时，监理人有权要求承包人继续增派或雇用这类人员，并书面通知承包人和抄送发包人。承包人在接</w:t>
      </w:r>
      <w:r>
        <w:rPr>
          <w:rFonts w:hint="default" w:ascii="TimesNewRomanPSMT" w:hAnsi="TimesNewRomanPSMT" w:eastAsia="TimesNewRomanPSMT" w:cs="TimesNewRomanPSMT"/>
          <w:b w:val="0"/>
          <w:bCs w:val="0"/>
          <w:color w:val="000000"/>
          <w:sz w:val="18"/>
          <w:szCs w:val="18"/>
        </w:rPr>
        <w:t xml:space="preserve"> </w:t>
      </w:r>
      <w:r>
        <w:rPr>
          <w:rFonts w:ascii="宋体" w:hAnsi="宋体" w:eastAsia="宋体" w:cs="宋体"/>
          <w:b w:val="0"/>
          <w:bCs w:val="0"/>
          <w:color w:val="000000"/>
          <w:sz w:val="21"/>
          <w:szCs w:val="21"/>
        </w:rPr>
        <w:t xml:space="preserve">到上述通知后应立即执行监理人的上述指示，不得无故拖延，由此增加的费用和（或）工期延误由承包人承担。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4.7．撤换承包人项目经理和其他人员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本款细化为：</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承包人应对其项目经理和其他人员进行有效管理。监理人要求撤换不能胜任本职工作、行为不端或玩 忽职守的承包人项目经理和其他人员的，承包人应予以撤换，同时委派经发包人与监理人同意的新的项目 经理和其他人员。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4.9．工程价款应专款专用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本款细化为：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发包人按合同约定支付给承包人的各项价款应专用于合同工程。承包人必须在发包人指定的银行开户， 并与发包人、银行共同签订《工程资金监管协议》，接受发包人和银行对资金的监管。承包人应向发包人 授权进行本合同工程开户银行工程资金的查询。发包人支付的工程进度款应为本工程的专款专用资金，不得转移或用于其他工程。发包人的期中支付款将转入该银行所设的专门账户，发包人及其派出机构有权不定期对承包人工程资金使用情况进行检查，发现问题及时责令承包人限期改正，否则，将终止月支付，直至承包人改正为止。</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4.10．承包人现场查勘</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val="0"/>
          <w:bCs w:val="0"/>
          <w:color w:val="000000"/>
          <w:sz w:val="21"/>
          <w:szCs w:val="21"/>
        </w:rPr>
      </w:pPr>
      <w:r>
        <w:rPr>
          <w:rFonts w:ascii="宋体" w:hAnsi="宋体" w:eastAsia="宋体" w:cs="宋体"/>
          <w:b/>
          <w:bCs/>
          <w:color w:val="000000"/>
          <w:sz w:val="21"/>
          <w:szCs w:val="21"/>
        </w:rPr>
        <w:t xml:space="preserve"> </w:t>
      </w:r>
      <w:r>
        <w:rPr>
          <w:rFonts w:ascii="宋体" w:hAnsi="宋体" w:eastAsia="宋体" w:cs="宋体"/>
          <w:b w:val="0"/>
          <w:bCs w:val="0"/>
          <w:color w:val="000000"/>
          <w:sz w:val="21"/>
          <w:szCs w:val="21"/>
        </w:rPr>
        <w:t xml:space="preserve">第 4.10.1 项细化为：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发包人提供的本合同工程的水文、地质、气象和料场分布、取土场、弃土场位置等资料均属于参考资料，并不构成合同文件的组成部分，承包人应对自己就上述资料的解释、推论和应用负责，发包人不对 包人据此作出的判断和决策承担任何责任。</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4.11．不利物质条件</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val="0"/>
          <w:bCs w:val="0"/>
          <w:color w:val="000000"/>
          <w:sz w:val="21"/>
          <w:szCs w:val="21"/>
        </w:rPr>
      </w:pPr>
      <w:r>
        <w:rPr>
          <w:rFonts w:ascii="宋体" w:hAnsi="宋体" w:eastAsia="宋体" w:cs="宋体"/>
          <w:b/>
          <w:bCs/>
          <w:color w:val="000000"/>
          <w:sz w:val="21"/>
          <w:szCs w:val="21"/>
        </w:rPr>
        <w:t xml:space="preserve"> </w:t>
      </w:r>
      <w:r>
        <w:rPr>
          <w:rFonts w:ascii="宋体" w:hAnsi="宋体" w:eastAsia="宋体" w:cs="宋体"/>
          <w:b w:val="0"/>
          <w:bCs w:val="0"/>
          <w:color w:val="000000"/>
          <w:sz w:val="21"/>
          <w:szCs w:val="21"/>
        </w:rPr>
        <w:t>第 4.11.2 项细化为：</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4.11.2 承包人遇到不可预见的不利物质条件时，应采取适应不利物质条件的合理措施继续施工，并及时通知监理人。监理人应当及时发出指示，指示构成变更的，按第 15 条约定办理。监理人没有发出指示的， 承包人因采取合理措施而增加的费用和（或）工期延误，由发包人承担。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本款补充第 4.11.3 项：</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4.11.3 可预见的不利物质条件</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（1）对于项目专用合同条款中已经明确指出的不利物质条件无论承包人是否有其经历和经验均视为承包人在接受合同时已预见其影响，并已在签约合同价中计入因其影响而可能发生的一切费用。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（2）对于项目专用合同条款未明确指出，但是在不利物质条件发生之前，监理人已经指示承包人有可能发生，但承包人未能及时采取有效措施，而导致的损失和后果均由承包人承担。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补充第 4.12 款、第 4.13 款：</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4.12．投标文件的完备性</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val="0"/>
          <w:bCs w:val="0"/>
          <w:color w:val="000000"/>
          <w:sz w:val="21"/>
          <w:szCs w:val="21"/>
        </w:rPr>
      </w:pPr>
      <w:r>
        <w:rPr>
          <w:rFonts w:ascii="宋体" w:hAnsi="宋体" w:eastAsia="宋体" w:cs="宋体"/>
          <w:b/>
          <w:bCs/>
          <w:color w:val="000000"/>
          <w:sz w:val="21"/>
          <w:szCs w:val="21"/>
        </w:rPr>
        <w:t xml:space="preserve"> </w:t>
      </w:r>
      <w:r>
        <w:rPr>
          <w:rFonts w:ascii="宋体" w:hAnsi="宋体" w:eastAsia="宋体" w:cs="宋体"/>
          <w:b w:val="0"/>
          <w:bCs w:val="0"/>
          <w:color w:val="000000"/>
          <w:sz w:val="21"/>
          <w:szCs w:val="21"/>
        </w:rPr>
        <w:t xml:space="preserve">合同双方一致认为，承包人在递交投标文件前，对本合同工程的投标文件和已标价工程量清单中开列的单价和总额价已查明是正确的和完备的。投标的单价和总额价应已包括了合同中规定的承包人的全部义务（包括提供货物、材料、设备、服务的义务，并包括了暂列金额和暂估价范围内的额外工作的义务）以及为实施和完成本合同工程及其缺陷修复所必需的一切工作和条件。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4.13．开展党建工作要求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对于政府投资的国家高速公路项目，或承包人为国有控股或参股企业的，承包人应按规定在项目现场设立基层党组织。不满足上述情形的，承包人应创造条件使党员能够参加党组织生活并接受相应管理。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 xml:space="preserve"> </w:t>
      </w:r>
      <w:r>
        <w:rPr>
          <w:rFonts w:ascii="宋体" w:hAnsi="宋体" w:eastAsia="宋体" w:cs="宋体"/>
          <w:b w:val="0"/>
          <w:bCs w:val="0"/>
          <w:color w:val="000000"/>
          <w:sz w:val="21"/>
          <w:szCs w:val="21"/>
        </w:rPr>
        <w:t>承包人在项目现场设立基层党组织的，应明确党组织机构设置、党组织负责人及党务工作人员配备情况，编制党务工作开展预案，并按照预案要求在项目实施过程中同步开展党务工作，充分发挥基层党组织 在项目实施中的作用。</w:t>
      </w:r>
    </w:p>
    <w:p>
      <w:pPr>
        <w:pStyle w:val="5"/>
        <w:keepNext w:val="0"/>
        <w:keepLines w:val="0"/>
        <w:pageBreakBefore w:val="0"/>
        <w:widowControl/>
        <w:numPr>
          <w:ilvl w:val="0"/>
          <w:numId w:val="6"/>
        </w:numPr>
        <w:suppressLineNumbers w:val="0"/>
        <w:kinsoku/>
        <w:overflowPunct/>
        <w:bidi w:val="0"/>
        <w:spacing w:before="0" w:beforeAutospacing="0" w:afterAutospacing="0" w:line="360" w:lineRule="auto"/>
        <w:ind w:left="0" w:leftChars="0" w:right="0" w:rightChars="0" w:firstLine="0" w:firstLineChars="0"/>
        <w:jc w:val="both"/>
        <w:rPr>
          <w:rFonts w:hint="default" w:ascii="TimesNewRomanPS-BoldMT" w:hAnsi="TimesNewRomanPS-BoldMT" w:eastAsia="TimesNewRomanPS-BoldMT" w:cs="TimesNewRomanPS-BoldMT"/>
          <w:b w:val="0"/>
          <w:bCs w:val="0"/>
          <w:color w:val="000000"/>
          <w:sz w:val="21"/>
          <w:szCs w:val="21"/>
        </w:rPr>
      </w:pPr>
      <w:r>
        <w:rPr>
          <w:rFonts w:ascii="宋体" w:hAnsi="宋体" w:eastAsia="宋体" w:cs="宋体"/>
          <w:b/>
          <w:bCs/>
          <w:color w:val="000000"/>
          <w:sz w:val="21"/>
          <w:szCs w:val="21"/>
        </w:rPr>
        <w:t>材料和工程设备</w:t>
      </w:r>
      <w:r>
        <w:rPr>
          <w:rFonts w:hint="default" w:ascii="TimesNewRomanPS-BoldMT" w:hAnsi="TimesNewRomanPS-BoldMT" w:eastAsia="TimesNewRomanPS-BoldMT" w:cs="TimesNewRomanPS-BoldMT"/>
          <w:b w:val="0"/>
          <w:bCs w:val="0"/>
          <w:color w:val="000000"/>
          <w:sz w:val="21"/>
          <w:szCs w:val="21"/>
        </w:rPr>
        <w:t xml:space="preserve">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0"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5.2．发包人提供的材料和工程设备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第 5.2.3 项补充：</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承包人负责接收并按规定对材料进行抽样检验和对工程设备进行检验测试，若发现材料和工程设备存 在缺陷，承包人应及时通知监理人，发包人应及时改正通知中指出的缺陷。承包人负责接收后的运输和保 管，因承包人的原因发生丢失、损坏或进度拖延，由承包人承担相应责任。</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0" w:right="0" w:rightChars="0" w:firstLine="422" w:firstLineChars="200"/>
        <w:jc w:val="both"/>
        <w:rPr>
          <w:rFonts w:ascii="宋体" w:hAnsi="宋体" w:eastAsia="宋体" w:cs="宋体"/>
          <w:b/>
          <w:bCs/>
          <w:color w:val="000000"/>
          <w:sz w:val="21"/>
          <w:szCs w:val="21"/>
        </w:rPr>
      </w:pPr>
      <w:r>
        <w:rPr>
          <w:rFonts w:hint="eastAsia" w:ascii="宋体" w:hAnsi="宋体" w:eastAsia="宋体" w:cs="宋体"/>
          <w:b/>
          <w:bCs/>
          <w:color w:val="000000"/>
          <w:sz w:val="21"/>
          <w:szCs w:val="21"/>
          <w:lang w:val="en-US" w:eastAsia="zh-CN"/>
        </w:rPr>
        <w:t>6.</w:t>
      </w:r>
      <w:r>
        <w:rPr>
          <w:rFonts w:ascii="宋体" w:hAnsi="宋体" w:eastAsia="宋体" w:cs="宋体"/>
          <w:b/>
          <w:bCs/>
          <w:color w:val="000000"/>
          <w:sz w:val="21"/>
          <w:szCs w:val="21"/>
        </w:rPr>
        <w:t xml:space="preserve">施工设备和临时设施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0"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6.1．承包人提供的施工设备和临时设施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第 6.1.2 项约定为：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承包人应自行承担修建临时设施的费用，需要临时占地的，应由承包人按第 4.1.10 项（1）目的规定办理。</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0" w:right="0" w:rightChars="0" w:firstLine="360" w:firstLineChars="200"/>
        <w:jc w:val="both"/>
        <w:rPr>
          <w:rFonts w:ascii="宋体" w:hAnsi="宋体" w:eastAsia="宋体" w:cs="宋体"/>
          <w:b/>
          <w:bCs/>
          <w:color w:val="000000"/>
          <w:sz w:val="21"/>
          <w:szCs w:val="21"/>
        </w:rPr>
      </w:pPr>
      <w:r>
        <w:rPr>
          <w:rFonts w:hint="default" w:ascii="TimesNewRomanPSMT" w:hAnsi="TimesNewRomanPSMT" w:eastAsia="TimesNewRomanPSMT" w:cs="TimesNewRomanPSMT"/>
          <w:b w:val="0"/>
          <w:bCs w:val="0"/>
          <w:color w:val="000000"/>
          <w:sz w:val="18"/>
          <w:szCs w:val="18"/>
        </w:rPr>
        <w:t xml:space="preserve"> </w:t>
      </w:r>
      <w:r>
        <w:rPr>
          <w:rFonts w:ascii="宋体" w:hAnsi="宋体" w:eastAsia="宋体" w:cs="宋体"/>
          <w:b/>
          <w:bCs/>
          <w:color w:val="000000"/>
          <w:sz w:val="21"/>
          <w:szCs w:val="21"/>
        </w:rPr>
        <w:t xml:space="preserve">6.3．要求承包人增加或更换施工设备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本款细化为：</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承包人承诺的施工设备必须按时到达现场，不得拖延、缺短或任意更换。尽管承包人已按承诺提供了上述设备，但若承包人使用的施工设备不能满足合同进度计划和（或）</w:t>
      </w:r>
      <w:r>
        <w:rPr>
          <w:rFonts w:hint="eastAsia" w:ascii="宋体" w:hAnsi="宋体" w:eastAsia="宋体" w:cs="宋体"/>
          <w:b w:val="0"/>
          <w:bCs w:val="0"/>
          <w:color w:val="000000"/>
          <w:sz w:val="21"/>
          <w:szCs w:val="21"/>
          <w:lang w:eastAsia="zh-CN"/>
        </w:rPr>
        <w:t>质量目标</w:t>
      </w:r>
      <w:r>
        <w:rPr>
          <w:rFonts w:ascii="宋体" w:hAnsi="宋体" w:eastAsia="宋体" w:cs="宋体"/>
          <w:b w:val="0"/>
          <w:bCs w:val="0"/>
          <w:color w:val="000000"/>
          <w:sz w:val="21"/>
          <w:szCs w:val="21"/>
        </w:rPr>
        <w:t xml:space="preserve">时，监理人有权要求承包人增加或更换施工设备，承包人应及时增加或更换，由此增加的费用和（或）工期延误由承包人承担。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0" w:right="0" w:rightChars="0" w:firstLine="422" w:firstLineChars="200"/>
        <w:jc w:val="both"/>
        <w:rPr>
          <w:rFonts w:ascii="宋体" w:hAnsi="宋体" w:eastAsia="宋体" w:cs="宋体"/>
          <w:b/>
          <w:bCs/>
          <w:color w:val="000000"/>
          <w:sz w:val="21"/>
          <w:szCs w:val="21"/>
        </w:rPr>
      </w:pPr>
      <w:r>
        <w:rPr>
          <w:rFonts w:hint="eastAsia" w:ascii="宋体" w:hAnsi="宋体" w:eastAsia="宋体" w:cs="宋体"/>
          <w:b/>
          <w:bCs/>
          <w:color w:val="000000"/>
          <w:sz w:val="21"/>
          <w:szCs w:val="21"/>
          <w:lang w:val="en-US" w:eastAsia="zh-CN"/>
        </w:rPr>
        <w:t>7.</w:t>
      </w:r>
      <w:r>
        <w:rPr>
          <w:rFonts w:ascii="宋体" w:hAnsi="宋体" w:eastAsia="宋体" w:cs="宋体"/>
          <w:b/>
          <w:bCs/>
          <w:color w:val="000000"/>
          <w:sz w:val="21"/>
          <w:szCs w:val="21"/>
        </w:rPr>
        <w:t xml:space="preserve">交通运输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0"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7.1．道路通行权和场外设施</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0" w:right="0" w:rightChars="0" w:firstLine="422" w:firstLineChars="200"/>
        <w:jc w:val="both"/>
        <w:rPr>
          <w:rFonts w:ascii="宋体" w:hAnsi="宋体" w:eastAsia="宋体" w:cs="宋体"/>
          <w:b w:val="0"/>
          <w:bCs w:val="0"/>
          <w:color w:val="000000"/>
          <w:sz w:val="21"/>
          <w:szCs w:val="21"/>
        </w:rPr>
      </w:pPr>
      <w:r>
        <w:rPr>
          <w:rFonts w:ascii="宋体" w:hAnsi="宋体" w:eastAsia="宋体" w:cs="宋体"/>
          <w:b/>
          <w:bCs/>
          <w:color w:val="000000"/>
          <w:sz w:val="21"/>
          <w:szCs w:val="21"/>
        </w:rPr>
        <w:t xml:space="preserve"> </w:t>
      </w:r>
      <w:r>
        <w:rPr>
          <w:rFonts w:ascii="宋体" w:hAnsi="宋体" w:eastAsia="宋体" w:cs="宋体"/>
          <w:b w:val="0"/>
          <w:bCs w:val="0"/>
          <w:color w:val="000000"/>
          <w:sz w:val="21"/>
          <w:szCs w:val="21"/>
        </w:rPr>
        <w:t>本款约定为：</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承包人应根据合同工程的施工需要，负责办理取得出入施工场地的专用和临时道路的通行权，以及取 得为工程建设所需修建场外设施的权利，并承担有关费用。需要发包人协调时，发包人应协助承包人办理 相关手续。</w:t>
      </w:r>
    </w:p>
    <w:p>
      <w:pPr>
        <w:pStyle w:val="5"/>
        <w:keepNext w:val="0"/>
        <w:keepLines w:val="0"/>
        <w:pageBreakBefore w:val="0"/>
        <w:widowControl/>
        <w:numPr>
          <w:ilvl w:val="0"/>
          <w:numId w:val="16"/>
        </w:numPr>
        <w:suppressLineNumbers w:val="0"/>
        <w:kinsoku/>
        <w:overflowPunct/>
        <w:bidi w:val="0"/>
        <w:spacing w:before="0" w:beforeAutospacing="0" w:afterAutospacing="0" w:line="360" w:lineRule="auto"/>
        <w:ind w:left="525" w:leftChars="0" w:right="0" w:rightChars="0" w:firstLine="0" w:firstLineChars="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测量放线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8.4．监理人使用施工控制网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本款补充：</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经监理人批准，其他相关承包人也可免费使用施工控制网。</w:t>
      </w:r>
    </w:p>
    <w:p>
      <w:pPr>
        <w:pStyle w:val="5"/>
        <w:keepNext w:val="0"/>
        <w:keepLines w:val="0"/>
        <w:pageBreakBefore w:val="0"/>
        <w:widowControl/>
        <w:numPr>
          <w:ilvl w:val="0"/>
          <w:numId w:val="16"/>
        </w:numPr>
        <w:suppressLineNumbers w:val="0"/>
        <w:kinsoku/>
        <w:overflowPunct/>
        <w:bidi w:val="0"/>
        <w:spacing w:before="0" w:beforeAutospacing="0" w:afterAutospacing="0" w:line="360" w:lineRule="auto"/>
        <w:ind w:left="525" w:leftChars="0" w:right="0" w:rightChars="0" w:firstLine="0" w:firstLineChars="0"/>
        <w:jc w:val="both"/>
        <w:rPr>
          <w:rFonts w:ascii="宋体" w:hAnsi="宋体" w:eastAsia="宋体" w:cs="宋体"/>
          <w:b/>
          <w:bCs/>
          <w:color w:val="000000"/>
          <w:sz w:val="21"/>
          <w:szCs w:val="21"/>
        </w:rPr>
      </w:pPr>
      <w:r>
        <w:rPr>
          <w:rFonts w:ascii="宋体" w:hAnsi="宋体" w:eastAsia="宋体" w:cs="宋体"/>
          <w:b/>
          <w:bCs/>
          <w:color w:val="000000"/>
          <w:sz w:val="21"/>
          <w:szCs w:val="21"/>
        </w:rPr>
        <w:t>施工安全、治安保卫和环境保护</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 9.2．承包人的施工安全责任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第 9.2.1 项细化为：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承包人应按合同约定履行安全职责，严格执行国家、地方政府有关施工安全管理方面的法律、法规</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及规章制度，同时严格执行发包人制订的本项目安全生产管理方面的规章制度、安全检查程序及施工安全管理要求，以及监理人有关安全工作的指示。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承包人应根据本工程的实际安全施工要求，编制施工安全技术措施，并在签订合同协议书后 28 天内， 报监理人和发包人批准。该施工安全技术措施包括（但不限于）施工安全保障体系，安全生产责任制，安 全生产管理规章制度，安全防护施工方案，施工现场临时用电方案，施工安全评估，安全预控及保证措施 方案，紧急应变措施，安全标识、警示和围护方案等。对影响安全的重要工序和下列危险性较大的工程应 编制专项施工方案，并附安全验算结果，经承包人项目总工签字并报监理人和发包人批准后实施，由专职 安全生产管理人员进行现场监督。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本项目需要编制专项施工方案的工程包括但不限于以下内容： </w:t>
      </w:r>
    </w:p>
    <w:p>
      <w:pPr>
        <w:pStyle w:val="5"/>
        <w:keepNext w:val="0"/>
        <w:keepLines w:val="0"/>
        <w:pageBreakBefore w:val="0"/>
        <w:widowControl/>
        <w:numPr>
          <w:ilvl w:val="0"/>
          <w:numId w:val="17"/>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不良地质条件下有潜在危险性的土方、石方开挖； </w:t>
      </w:r>
    </w:p>
    <w:p>
      <w:pPr>
        <w:pStyle w:val="5"/>
        <w:keepNext w:val="0"/>
        <w:keepLines w:val="0"/>
        <w:pageBreakBefore w:val="0"/>
        <w:widowControl/>
        <w:numPr>
          <w:ilvl w:val="0"/>
          <w:numId w:val="17"/>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滑坡和高边坡处理； </w:t>
      </w:r>
    </w:p>
    <w:p>
      <w:pPr>
        <w:pStyle w:val="5"/>
        <w:keepNext w:val="0"/>
        <w:keepLines w:val="0"/>
        <w:pageBreakBefore w:val="0"/>
        <w:widowControl/>
        <w:numPr>
          <w:ilvl w:val="0"/>
          <w:numId w:val="17"/>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桩基础、挡墙基础、深水基础及围堰工程； </w:t>
      </w:r>
    </w:p>
    <w:p>
      <w:pPr>
        <w:pStyle w:val="5"/>
        <w:keepNext w:val="0"/>
        <w:keepLines w:val="0"/>
        <w:pageBreakBefore w:val="0"/>
        <w:widowControl/>
        <w:numPr>
          <w:ilvl w:val="0"/>
          <w:numId w:val="17"/>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桥梁工程中的梁、拱、柱等构件施工等；</w:t>
      </w:r>
    </w:p>
    <w:p>
      <w:pPr>
        <w:pStyle w:val="5"/>
        <w:keepNext w:val="0"/>
        <w:keepLines w:val="0"/>
        <w:pageBreakBefore w:val="0"/>
        <w:widowControl/>
        <w:numPr>
          <w:ilvl w:val="0"/>
          <w:numId w:val="17"/>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隧道工程中的不良地质隧道、高瓦斯隧道等； </w:t>
      </w:r>
    </w:p>
    <w:p>
      <w:pPr>
        <w:pStyle w:val="5"/>
        <w:keepNext w:val="0"/>
        <w:keepLines w:val="0"/>
        <w:pageBreakBefore w:val="0"/>
        <w:widowControl/>
        <w:numPr>
          <w:ilvl w:val="0"/>
          <w:numId w:val="17"/>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水上工程中的打桩船作业、施工船作业、外海孤岛作业、边通航边施工作业等； </w:t>
      </w:r>
    </w:p>
    <w:p>
      <w:pPr>
        <w:pStyle w:val="5"/>
        <w:keepNext w:val="0"/>
        <w:keepLines w:val="0"/>
        <w:pageBreakBefore w:val="0"/>
        <w:widowControl/>
        <w:numPr>
          <w:ilvl w:val="0"/>
          <w:numId w:val="17"/>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水下工程中的水下焊接、混凝土浇筑、爆破工程等； </w:t>
      </w:r>
    </w:p>
    <w:p>
      <w:pPr>
        <w:pStyle w:val="5"/>
        <w:keepNext w:val="0"/>
        <w:keepLines w:val="0"/>
        <w:pageBreakBefore w:val="0"/>
        <w:widowControl/>
        <w:numPr>
          <w:ilvl w:val="0"/>
          <w:numId w:val="17"/>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爆破工程；</w:t>
      </w:r>
    </w:p>
    <w:p>
      <w:pPr>
        <w:pStyle w:val="5"/>
        <w:keepNext w:val="0"/>
        <w:keepLines w:val="0"/>
        <w:pageBreakBefore w:val="0"/>
        <w:widowControl/>
        <w:numPr>
          <w:ilvl w:val="0"/>
          <w:numId w:val="17"/>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大型临时工程中的大型支架、模板、便桥的架设与拆除；桥梁、码头的加固与拆除；</w:t>
      </w:r>
    </w:p>
    <w:p>
      <w:pPr>
        <w:pStyle w:val="5"/>
        <w:keepNext w:val="0"/>
        <w:keepLines w:val="0"/>
        <w:pageBreakBefore w:val="0"/>
        <w:widowControl/>
        <w:numPr>
          <w:ilvl w:val="0"/>
          <w:numId w:val="17"/>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其他危险性较大的工程。</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监理人和发包人在检查中发现有安全问题或有违反安全管理规章制度的情况时，可视为承包人违约，</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应按第 22.1 款的规定办理。</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第 9.2.5 项细化为：</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除项目专用合同条款另有约定外，安全生产费用应为投标价（不含安全生产费及建筑工程一切险及第 三者责任险的保险费）的 1.5%（若发包人公布了最高投标限价时，按最高投标限价的 1.5%计）。安全生产 费用应用于施工安全防护用具及设施的采购和更新、安全施工措施的落实、安全生产条件的改善，不得挪 作他用。如承包人在此基础上增加安全生产费用以满足项目施工需要，则承包人应在本项目工程量清单其 他相关子目的单价或总额价中予以考虑，发包人不再另行支付。因采取合同未约定的特殊防护措施增加的 费用，由监理人按第 3.5 款商定或确定。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本款补充第 9.2.8 项～第 9.2.11 项：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9.2.8 承包人应充分关注和保障所有在现场工作的人员的安全，采取以下有效措施，使现场和本合同工 程的实施保持有条不紊，以免使上述人员的安全受到威胁。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（1）按《公路水运工程安全生产监督管理办法》规定的最低数量和资质条件配备专职安全生产管理人员；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（2）承包人的垂直运输机械作业人员、施工船舶作业人员、爆破作业人员、安装拆卸工、起重信号工、 电工、焊工等国家规定的特种作业人员，必须按照国家规定经过专门的安全作业培训，并取得特种作业操作资格证书后，方可上岗作业；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（3）所有施工机具设备和高空作业设备均应定期检查，并有安全员的签字记录；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（4）根据本合同各单位工程的施工特点，严格执行《公路水运工程安全生产监督管理办法》《公路工程施工安全技术规范》等有关规定。</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9.2.9 为了保护本合同工程免遭损坏，或为了现场附近和过往群众的安全与方便，在确有必要的时候和地方，或当监理人或有关主管部门要求时，承包人应自费提供照明、警卫、护栅、警告标志等安全防护设施。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360" w:firstLineChars="200"/>
        <w:jc w:val="both"/>
        <w:rPr>
          <w:rFonts w:ascii="宋体" w:hAnsi="宋体" w:eastAsia="宋体" w:cs="宋体"/>
          <w:b w:val="0"/>
          <w:bCs w:val="0"/>
          <w:color w:val="000000"/>
          <w:sz w:val="21"/>
          <w:szCs w:val="21"/>
        </w:rPr>
      </w:pPr>
      <w:r>
        <w:rPr>
          <w:rFonts w:hint="default" w:ascii="TimesNewRomanPSMT" w:hAnsi="TimesNewRomanPSMT" w:eastAsia="TimesNewRomanPSMT" w:cs="TimesNewRomanPSMT"/>
          <w:b w:val="0"/>
          <w:bCs w:val="0"/>
          <w:color w:val="000000"/>
          <w:sz w:val="18"/>
          <w:szCs w:val="18"/>
        </w:rPr>
        <w:t xml:space="preserve"> </w:t>
      </w:r>
      <w:r>
        <w:rPr>
          <w:rFonts w:ascii="宋体" w:hAnsi="宋体" w:eastAsia="宋体" w:cs="宋体"/>
          <w:b w:val="0"/>
          <w:bCs w:val="0"/>
          <w:color w:val="000000"/>
          <w:sz w:val="21"/>
          <w:szCs w:val="21"/>
        </w:rPr>
        <w:t xml:space="preserve">9.2.10 在通航水域施工时，承包人应与当地主管部门取得联系，设置必要的导航标志，及时发布航行通告，确保施工水域安全。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9.2.11 在整个施工过程中对承包人采取的施工安全措施，发包人和监理人有权监督，并向承包人提出整改要求。如果由于承包人未能对其负责的上述事项采取各种必要的措施而导致或发生与此有关的人身伤亡、罚款、索赔、损失补偿、诉讼费用及其他一切责任应由承包人负责。</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 xml:space="preserve">9.4．环境保护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本款补充第 9.4.7 项～第 9.4.11 项：</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9.4.7 承包人应切实执行技术规范中有关环境保护方面的条款和规定。</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1）对于来自施工机械和运输车辆的施工噪声，为保护施工人员的健康，应遵守《中华人民共和国环境噪声污染防治法》并依据《工业企业噪声卫生标准》合理安排工作人员轮流操作筑路机械，减少接触噪声的时间，或间歇安排高噪声的工作。对距噪声源较近的施工人员，除采取使用防护耳塞或头盔等有效措施外，还应当缩短其劳动时间。同时，要注意对机械的经常性保养，尽量使其噪声降低到最低水平。为保护施工现场附近居民的夜间休息，对居民区 150m 以内的施工现场，施工时间应加以控制。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（2）对于公路施工中粉尘污染的主要污染源――灰土拌和、施工车辆和筑路机械运行及运输产生的扬尘，应采取有效措施减轻其对施工现场的大气污染，保护人民健康，如：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a.拌和设备应有较好的密封，或有防尘设备。</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b.施工通道、沥青混凝土拌和站及灰土拌和站应经常进行洒水降尘。</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c.路面施工应注意保持水分，以免扬尘。</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d.隧道出渣和桥梁钻孔灌注桩施工时排出的泥浆要进行妥善处理，严禁向河流或农田排放。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（3）采取可靠措施保证原有交通的正常通行，维持沿线村镇的居民饮水、农田灌溉、生产生活用电及通信等管线的正常使用。</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9.4.8 在整个施工过程中对承包人采取的环境保护措施，发包人和监理人有权监督，并向承包人提出整改要求。如果由于承包人未能对其负责的上述事项采取各种必要的措施而导致或发生与此有关的人身伤亡、 罚款、索赔、损失补偿、诉讼费用及其他一切责任应由承包人负责。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9.4.9 在施工期间，承包人应随时保持现场整洁，施工设备和材料、工程设备应整齐妥善存放和储存， 废料与垃圾及不再需要的临时设施应及时从现场清除、拆除并运走。</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9.4.10 在施工期间，承包人应严格遵守《关于在公路建设中实行最严格的耕地保护制度的若干意见》 的相关规定，规范用地、科学用地、合理用地和节约用地。承包人应合理利用所占耕地地表的耕作层，用于重新造地；合理设置取土坑和弃土场，取土坑和弃土场的施工防护要符合要求，防止水土流失。承包人应严格控制临时占地数量，施工便道、各种料场、预制场要根据工程进度统筹考虑，尽可能设置在公路用地范围内或利用荒坡、废弃地解决，不得占用农田。施工过程中要采取有效措施防止污染农田，项目完工后承包人应将临时占地自费恢复到临时占地使用前的状况。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9.4.11 承包人应严格按照国家有关法规要求，做好施工过程中的生态保护和水土保持工作。施工中要尽可能减少对原地面的扰动，减少对地面草木的破坏，需要爆破作业的，应按规定进行控爆设计。雨季填筑路基应随挖、随运、随填、随压，要完善施工中的临时排水系统，加强施工便道的管理。取（弃）土场必须先挡后弃，严禁在指定的取（弃）土场以外的地方乱挖乱弃。</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10．进度计划</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 10.1．合同进度计划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本款补充：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承包人编制施工方案说明的内容见项目专用合同条款。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承包人向监理人报送施工进度计划和施工方案说明的期限：签订合同协议书后 28 天之内。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监理人应在 14 天内对承包人施工进度计划和施工方案说明予以批复或提出修改意见。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合同进度计划应按照关键线路网络图和主要工作横道图两种形式分别编绘，并应包括每月预计完成的工作量和形象进度。</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 xml:space="preserve">10.2．合同进度计划的修订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本款补充：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承包人提交合同进度计划修订申请报告，并附有关措施和相关资料的期限：实际进度发生滞后的当月 25 日前。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监理人批复修订合同进度计划的期限：收到修订合同进度计划后 14 天内。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本条补充第 10.3 款、第 10.4 款：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10.3．年度施工计划</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val="0"/>
          <w:bCs w:val="0"/>
          <w:color w:val="000000"/>
          <w:sz w:val="21"/>
          <w:szCs w:val="21"/>
        </w:rPr>
      </w:pPr>
      <w:r>
        <w:rPr>
          <w:rFonts w:ascii="宋体" w:hAnsi="宋体" w:eastAsia="宋体" w:cs="宋体"/>
          <w:b/>
          <w:bCs/>
          <w:color w:val="000000"/>
          <w:sz w:val="21"/>
          <w:szCs w:val="21"/>
        </w:rPr>
        <w:t xml:space="preserve"> </w:t>
      </w:r>
      <w:r>
        <w:rPr>
          <w:rFonts w:ascii="宋体" w:hAnsi="宋体" w:eastAsia="宋体" w:cs="宋体"/>
          <w:b w:val="0"/>
          <w:bCs w:val="0"/>
          <w:color w:val="000000"/>
          <w:sz w:val="21"/>
          <w:szCs w:val="21"/>
        </w:rPr>
        <w:t xml:space="preserve">承包人应在每年 11 月底前，根据已同意的合同进度计划或其修订的计划，向监理人提交 2 份格式和内容符合监理人合理规定的下一年度的施工计划，以供审查。该计划应包括本年度估计完成的和下一年度预计完成的分项工程数量和工作量，以及为实施此计划将采取的措施。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10.4．合同用款计划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承包人应在签订本合同协议书后 28 天之内，按招标文件中规定的格式，向监理人提交 2 份按合同规定承包人有权得到支付的详细的季度合同用款计划，以备监理人查阅。如果监理人提出要求，承包人还应按 度提交修订的合同用款计划。 </w:t>
      </w:r>
    </w:p>
    <w:p>
      <w:pPr>
        <w:pStyle w:val="5"/>
        <w:keepNext w:val="0"/>
        <w:keepLines w:val="0"/>
        <w:pageBreakBefore w:val="0"/>
        <w:widowControl/>
        <w:numPr>
          <w:ilvl w:val="0"/>
          <w:numId w:val="16"/>
        </w:numPr>
        <w:suppressLineNumbers w:val="0"/>
        <w:kinsoku/>
        <w:overflowPunct/>
        <w:bidi w:val="0"/>
        <w:spacing w:before="0" w:beforeAutospacing="0" w:afterAutospacing="0" w:line="360" w:lineRule="auto"/>
        <w:ind w:left="525" w:leftChars="0" w:right="0" w:rightChars="0" w:firstLine="0" w:firstLineChars="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开工和交工 </w:t>
      </w:r>
    </w:p>
    <w:p>
      <w:pPr>
        <w:pStyle w:val="5"/>
        <w:keepNext w:val="0"/>
        <w:keepLines w:val="0"/>
        <w:pageBreakBefore w:val="0"/>
        <w:widowControl/>
        <w:numPr>
          <w:ilvl w:val="0"/>
          <w:numId w:val="16"/>
        </w:numPr>
        <w:suppressLineNumbers w:val="0"/>
        <w:kinsoku/>
        <w:overflowPunct/>
        <w:bidi w:val="0"/>
        <w:spacing w:before="0" w:beforeAutospacing="0" w:afterAutospacing="0" w:line="360" w:lineRule="auto"/>
        <w:ind w:left="525" w:leftChars="0" w:right="0" w:rightChars="0" w:firstLine="0" w:firstLineChars="0"/>
        <w:jc w:val="both"/>
        <w:rPr>
          <w:rFonts w:hint="eastAsia" w:ascii="宋体" w:hAnsi="宋体" w:eastAsia="宋体" w:cs="宋体"/>
          <w:b w:val="0"/>
          <w:bCs w:val="0"/>
          <w:color w:val="000000"/>
          <w:sz w:val="21"/>
          <w:szCs w:val="21"/>
          <w:lang w:eastAsia="zh-CN"/>
        </w:rPr>
      </w:pPr>
      <w:r>
        <w:rPr>
          <w:rFonts w:ascii="Arial-BoldMT" w:hAnsi="Arial-BoldMT" w:eastAsia="Arial-BoldMT" w:cs="Arial-BoldMT"/>
          <w:b w:val="0"/>
          <w:bCs w:val="0"/>
          <w:color w:val="000000"/>
          <w:sz w:val="21"/>
          <w:szCs w:val="21"/>
        </w:rPr>
        <w:t>11.1</w:t>
      </w:r>
      <w:r>
        <w:rPr>
          <w:rFonts w:ascii="黑体" w:hAnsi="宋体" w:eastAsia="黑体" w:cs="黑体"/>
          <w:b/>
          <w:bCs/>
          <w:color w:val="000000"/>
          <w:sz w:val="21"/>
          <w:szCs w:val="21"/>
        </w:rPr>
        <w:t>．开工</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hint="default" w:ascii="Arial-BoldMT" w:hAnsi="Arial-BoldMT" w:eastAsia="Arial-BoldMT" w:cs="Arial-BoldMT"/>
          <w:b w:val="0"/>
          <w:bCs w:val="0"/>
          <w:color w:val="000000"/>
          <w:sz w:val="21"/>
          <w:szCs w:val="21"/>
        </w:rPr>
        <w:t xml:space="preserve"> </w:t>
      </w:r>
      <w:r>
        <w:rPr>
          <w:rFonts w:ascii="宋体" w:hAnsi="宋体" w:eastAsia="宋体" w:cs="宋体"/>
          <w:b w:val="0"/>
          <w:bCs w:val="0"/>
          <w:color w:val="000000"/>
          <w:sz w:val="21"/>
          <w:szCs w:val="21"/>
        </w:rPr>
        <w:t>第 11.1.2 项补充：</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承包人应在分部工程开工前 14 天向监理人提交分部工程开工报审表，若承包人的开工准备、工作计划 和质量控方法是可接受的且已获得批准，则经监理人书面同意，分部工程才能开工。</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 xml:space="preserve">11.3．发包人的工期延误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本款补充：</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即使由于上述原因造成工期延误，如果受影响的工程并非处在工程施工进度网络计划的关键线路上， 则承包人无权要求延长总工期。</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11.4．异常恶劣的气候条件</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val="0"/>
          <w:bCs w:val="0"/>
          <w:color w:val="000000"/>
          <w:sz w:val="21"/>
          <w:szCs w:val="21"/>
        </w:rPr>
      </w:pPr>
      <w:r>
        <w:rPr>
          <w:rFonts w:ascii="宋体" w:hAnsi="宋体" w:eastAsia="宋体" w:cs="宋体"/>
          <w:b/>
          <w:bCs/>
          <w:color w:val="000000"/>
          <w:sz w:val="21"/>
          <w:szCs w:val="21"/>
        </w:rPr>
        <w:t xml:space="preserve"> </w:t>
      </w:r>
      <w:r>
        <w:rPr>
          <w:rFonts w:ascii="宋体" w:hAnsi="宋体" w:eastAsia="宋体" w:cs="宋体"/>
          <w:b w:val="0"/>
          <w:bCs w:val="0"/>
          <w:color w:val="000000"/>
          <w:sz w:val="21"/>
          <w:szCs w:val="21"/>
        </w:rPr>
        <w:t>本款补充：</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异常气候是指项目所在地 30 年以上一遇的罕见气候现象（包括温度、降水、降雪、风等）。异常恶劣的气候条件在项目专用合同条款中作具体约定。</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 xml:space="preserve">11.5．承包人的工期延误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本款细化为：</w:t>
      </w:r>
    </w:p>
    <w:p>
      <w:pPr>
        <w:pStyle w:val="5"/>
        <w:keepNext w:val="0"/>
        <w:keepLines w:val="0"/>
        <w:pageBreakBefore w:val="0"/>
        <w:widowControl/>
        <w:numPr>
          <w:ilvl w:val="0"/>
          <w:numId w:val="18"/>
        </w:numPr>
        <w:suppressLineNumbers w:val="0"/>
        <w:kinsoku/>
        <w:overflowPunct/>
        <w:bidi w:val="0"/>
        <w:spacing w:before="0" w:beforeAutospacing="0" w:afterAutospacing="0" w:line="360" w:lineRule="auto"/>
        <w:ind w:left="525" w:leftChars="0" w:right="0" w:rightChars="0" w:firstLine="0" w:firstLine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承包人应严格执行监理人批准的合同进度计划，对工作量计划和形象进度计划分别控制。除</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第 11.3 款规定外，承包人的实际工程进度曲线应在合同进度管理曲线规定的安全区域之内。若承包人的实际工程进度曲线处在合同进度管理曲线规定的安全区域的下限之外时，则监理人有权认为本合同工程的进度过慢， 并通知承包人应采取必要措施，以便加快工程进度，确保工程能在预定的工期内交工。承包人应采取措施加快进度，并承担加快进度所增加的费用。 </w:t>
      </w:r>
    </w:p>
    <w:p>
      <w:pPr>
        <w:pStyle w:val="5"/>
        <w:keepNext w:val="0"/>
        <w:keepLines w:val="0"/>
        <w:pageBreakBefore w:val="0"/>
        <w:widowControl/>
        <w:numPr>
          <w:ilvl w:val="0"/>
          <w:numId w:val="18"/>
        </w:numPr>
        <w:suppressLineNumbers w:val="0"/>
        <w:kinsoku/>
        <w:overflowPunct/>
        <w:bidi w:val="0"/>
        <w:spacing w:before="0" w:beforeAutospacing="0" w:afterAutospacing="0" w:line="360" w:lineRule="auto"/>
        <w:ind w:left="525" w:leftChars="0" w:right="0" w:rightChars="0" w:firstLine="0" w:firstLine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如果承包人在接到监理人通知后的 14 天内，未能采取加快工程进度的措施，致使实际工</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程进度进一步滞后，或承包人虽采取了一些措施，仍无法按预计工期交工时，监理人应立即通知发包人。发包人在向承包人发出书面警告通知 14 天后，发包人可按第 22.1 款终止对承包人的雇用，也可将本合同工程中的一部分工作交由其他承包人或其他分包人完成。在不解除本合同规定的承包人责任和义务的同时，承包人应承担因此所增加的一切费用。</w:t>
      </w:r>
    </w:p>
    <w:p>
      <w:pPr>
        <w:pStyle w:val="5"/>
        <w:keepNext w:val="0"/>
        <w:keepLines w:val="0"/>
        <w:pageBreakBefore w:val="0"/>
        <w:widowControl/>
        <w:numPr>
          <w:ilvl w:val="0"/>
          <w:numId w:val="18"/>
        </w:numPr>
        <w:suppressLineNumbers w:val="0"/>
        <w:kinsoku/>
        <w:overflowPunct/>
        <w:bidi w:val="0"/>
        <w:spacing w:before="0" w:beforeAutospacing="0" w:afterAutospacing="0" w:line="360" w:lineRule="auto"/>
        <w:ind w:left="525" w:leftChars="0" w:right="0" w:rightChars="0" w:firstLine="0" w:firstLine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由于承包人原因造成工期延误，承包人应支付逾期交工违约金。逾期交工违约金的计算方法</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在项目专用合同条款数据表中约定，时间自预定的交工日期起到交工验收证书中写明的实际交工日期止（扣除已批准的延长工期），按天计算。逾期交工违约金累计金额最高不超过项目专用合同条款数据表中写明的限额。发包人可以从应付或到期应付给承包人的任何款项中或采用其他方法扣除此违约金。</w:t>
      </w:r>
    </w:p>
    <w:p>
      <w:pPr>
        <w:pStyle w:val="5"/>
        <w:keepNext w:val="0"/>
        <w:keepLines w:val="0"/>
        <w:pageBreakBefore w:val="0"/>
        <w:widowControl/>
        <w:numPr>
          <w:ilvl w:val="0"/>
          <w:numId w:val="18"/>
        </w:numPr>
        <w:suppressLineNumbers w:val="0"/>
        <w:kinsoku/>
        <w:overflowPunct/>
        <w:bidi w:val="0"/>
        <w:spacing w:before="0" w:beforeAutospacing="0" w:afterAutospacing="0" w:line="360" w:lineRule="auto"/>
        <w:ind w:left="525" w:leftChars="0" w:right="0" w:rightChars="0" w:firstLine="0" w:firstLine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承包人支付逾期交工违约金，不免除承包人完成工程及修补缺陷的义务。 </w:t>
      </w:r>
    </w:p>
    <w:p>
      <w:pPr>
        <w:pStyle w:val="5"/>
        <w:keepNext w:val="0"/>
        <w:keepLines w:val="0"/>
        <w:pageBreakBefore w:val="0"/>
        <w:widowControl/>
        <w:numPr>
          <w:ilvl w:val="0"/>
          <w:numId w:val="18"/>
        </w:numPr>
        <w:suppressLineNumbers w:val="0"/>
        <w:kinsoku/>
        <w:overflowPunct/>
        <w:bidi w:val="0"/>
        <w:spacing w:before="0" w:beforeAutospacing="0" w:afterAutospacing="0" w:line="360" w:lineRule="auto"/>
        <w:ind w:left="525" w:leftChars="0" w:right="0" w:rightChars="0" w:firstLine="0" w:firstLine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如果在合同工程完工之前，已对合同工程内按时完工的单位工程签发了交工验收证书，则合</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同工程的逾期交工违约金，应按已签发交工验收证书的单位工程的价值占合同工程价值的比例予以减少，但本规定不应影响逾期交工违约金的规定限额。</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 xml:space="preserve">11.6．工期提前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本款补充：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发包人不得随意要求承包人提前交工，承包人也不得随意提出提前交工的建议。如遇特殊情况，确需将工期提前的，发包人和承包人必须采取有效措施，确保工程质量。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如果承包人提前交工，发包人支付奖金的计算方法在项目专用合同条款数据表中约定，时间自交工验收证书中写明的实际交工日期起至预定的交工日期止，按天计算。但奖金最高限额不超过项目专用合同条款数据表中写明的限额。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本条补充第 11.7 款：</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 xml:space="preserve">11.7．工作时间的限制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承包人在夜间或国家规定的节假日进行永久工程的施工，应向监理人报告，以便监理人履行监理职责和义务。</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但是，为了抢救生命或保护财产，或为了工程的安全、质量而不可避免地短暂作业，则不必事先向监理人报告。但承包人应在事后立即向监理人报告。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本款规定不适用于习惯上或施工本身要求实行连续生产的作业。 </w:t>
      </w:r>
    </w:p>
    <w:p>
      <w:pPr>
        <w:pStyle w:val="5"/>
        <w:keepNext w:val="0"/>
        <w:keepLines w:val="0"/>
        <w:pageBreakBefore w:val="0"/>
        <w:widowControl/>
        <w:numPr>
          <w:ilvl w:val="0"/>
          <w:numId w:val="16"/>
        </w:numPr>
        <w:suppressLineNumbers w:val="0"/>
        <w:kinsoku/>
        <w:overflowPunct/>
        <w:bidi w:val="0"/>
        <w:spacing w:before="0" w:beforeAutospacing="0" w:afterAutospacing="0" w:line="360" w:lineRule="auto"/>
        <w:ind w:left="525" w:leftChars="0" w:right="0" w:rightChars="0" w:firstLine="0" w:firstLineChars="0"/>
        <w:jc w:val="both"/>
        <w:rPr>
          <w:rFonts w:ascii="宋体" w:hAnsi="宋体" w:eastAsia="宋体" w:cs="宋体"/>
          <w:b/>
          <w:bCs/>
          <w:color w:val="000000"/>
          <w:sz w:val="21"/>
          <w:szCs w:val="21"/>
        </w:rPr>
      </w:pPr>
      <w:r>
        <w:rPr>
          <w:rFonts w:ascii="宋体" w:hAnsi="宋体" w:eastAsia="宋体" w:cs="宋体"/>
          <w:b/>
          <w:bCs/>
          <w:color w:val="000000"/>
          <w:sz w:val="21"/>
          <w:szCs w:val="21"/>
        </w:rPr>
        <w:t>暂停施工</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jc w:val="both"/>
        <w:rPr>
          <w:rFonts w:hint="eastAsia" w:ascii="宋体" w:hAnsi="宋体" w:eastAsia="宋体" w:cs="宋体"/>
          <w:b w:val="0"/>
          <w:bCs w:val="0"/>
          <w:color w:val="000000"/>
          <w:sz w:val="21"/>
          <w:szCs w:val="21"/>
          <w:lang w:eastAsia="zh-CN"/>
        </w:rPr>
      </w:pPr>
      <w:r>
        <w:rPr>
          <w:rFonts w:ascii="宋体" w:hAnsi="宋体" w:eastAsia="宋体" w:cs="宋体"/>
          <w:b/>
          <w:bCs/>
          <w:color w:val="000000"/>
          <w:sz w:val="21"/>
          <w:szCs w:val="21"/>
        </w:rPr>
        <w:t xml:space="preserve">12.1．承包人暂停施工的责任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本款第（5）项细化为： </w:t>
      </w:r>
    </w:p>
    <w:p>
      <w:pPr>
        <w:pStyle w:val="5"/>
        <w:keepNext w:val="0"/>
        <w:keepLines w:val="0"/>
        <w:pageBreakBefore w:val="0"/>
        <w:widowControl/>
        <w:numPr>
          <w:ilvl w:val="0"/>
          <w:numId w:val="18"/>
        </w:numPr>
        <w:suppressLineNumbers w:val="0"/>
        <w:kinsoku/>
        <w:overflowPunct/>
        <w:bidi w:val="0"/>
        <w:spacing w:before="0" w:beforeAutospacing="0" w:afterAutospacing="0" w:line="360" w:lineRule="auto"/>
        <w:ind w:left="525" w:leftChars="0" w:right="0" w:rightChars="0" w:firstLine="0" w:firstLine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现场气候条件导致的必要停工（第 11.4 款约定的异常恶劣的气候条件除外）； </w:t>
      </w:r>
    </w:p>
    <w:p>
      <w:pPr>
        <w:pStyle w:val="5"/>
        <w:keepNext w:val="0"/>
        <w:keepLines w:val="0"/>
        <w:pageBreakBefore w:val="0"/>
        <w:widowControl/>
        <w:numPr>
          <w:ilvl w:val="0"/>
          <w:numId w:val="18"/>
        </w:numPr>
        <w:suppressLineNumbers w:val="0"/>
        <w:kinsoku/>
        <w:overflowPunct/>
        <w:bidi w:val="0"/>
        <w:spacing w:before="0" w:beforeAutospacing="0" w:afterAutospacing="0" w:line="360" w:lineRule="auto"/>
        <w:ind w:left="525" w:leftChars="0" w:right="0" w:rightChars="0" w:firstLine="0" w:firstLine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项目专用合同条款可能约定的由承包人承担的其他暂停施工。 </w:t>
      </w:r>
    </w:p>
    <w:p>
      <w:pPr>
        <w:pStyle w:val="5"/>
        <w:keepNext w:val="0"/>
        <w:keepLines w:val="0"/>
        <w:pageBreakBefore w:val="0"/>
        <w:widowControl/>
        <w:numPr>
          <w:ilvl w:val="0"/>
          <w:numId w:val="16"/>
        </w:numPr>
        <w:suppressLineNumbers w:val="0"/>
        <w:kinsoku/>
        <w:overflowPunct/>
        <w:bidi w:val="0"/>
        <w:spacing w:before="0" w:beforeAutospacing="0" w:afterAutospacing="0" w:line="360" w:lineRule="auto"/>
        <w:ind w:left="525" w:leftChars="0" w:right="0" w:rightChars="0" w:firstLine="0" w:firstLineChars="0"/>
        <w:jc w:val="both"/>
        <w:rPr>
          <w:rFonts w:ascii="宋体" w:hAnsi="宋体" w:eastAsia="宋体" w:cs="宋体"/>
          <w:b/>
          <w:bCs/>
          <w:color w:val="000000"/>
          <w:sz w:val="21"/>
          <w:szCs w:val="21"/>
        </w:rPr>
      </w:pPr>
      <w:r>
        <w:rPr>
          <w:rFonts w:ascii="宋体" w:hAnsi="宋体" w:eastAsia="宋体" w:cs="宋体"/>
          <w:b/>
          <w:bCs/>
          <w:color w:val="000000"/>
          <w:sz w:val="21"/>
          <w:szCs w:val="21"/>
        </w:rPr>
        <w:t>工程质量</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 13.1．工程</w:t>
      </w:r>
      <w:r>
        <w:rPr>
          <w:rFonts w:hint="eastAsia" w:ascii="宋体" w:hAnsi="宋体" w:eastAsia="宋体" w:cs="宋体"/>
          <w:b/>
          <w:bCs/>
          <w:color w:val="000000"/>
          <w:sz w:val="21"/>
          <w:szCs w:val="21"/>
          <w:lang w:eastAsia="zh-CN"/>
        </w:rPr>
        <w:t>质量目标</w:t>
      </w:r>
      <w:r>
        <w:rPr>
          <w:rFonts w:ascii="宋体" w:hAnsi="宋体" w:eastAsia="宋体" w:cs="宋体"/>
          <w:b/>
          <w:bCs/>
          <w:color w:val="000000"/>
          <w:sz w:val="21"/>
          <w:szCs w:val="21"/>
        </w:rPr>
        <w:t xml:space="preserve">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第 13.1.1 项约定为：</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工程质量验收按技术规范及《公路工程质量检验评定标准》执行。</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本款补充第 13.1.4 项、第 13.1.5 项：</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13.1.4 发包人和承包人应严格遵守《关于严格落实公路工程质量责任制的若干意见》的相关规定，</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认真执行工程质量责任登记制度并按要求填写工程质量责任登记表。</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13.1.5 本项目严格执行质量责任追究制度。质量事故处理实行“四不放过”原则：事故原因调查不清不放过；事故责任者没有受到教育不放过；没有防范措施不放过；相关责任人没受到处理不放过。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13.2．承包人的质量管理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第 13.2.1 项补充：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承包人提交工程质量保证措施文件的期限：签订合同协议书后 28 天之内。</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本款补充第 13.2.3 项～第 13.2.10 项：</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13.2.3 公路工程施行质量责任终身制。承包人应当书面明确相应的项目负责人和质量负责人。承包人的相关人员按照国家法律法规和有关规定在工程合理使用年限内承担相应的质量责任。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13.2.4 承包人应当建立健全工程质量保证体系，制定质量管理制度，强化工程质量管理措施，完善工程质量目标保障机制；严格遵守国家有关法律、法规和规章，严格执行公路工程强制性技术标准、各类技术规范及规程，全面履行工程合同义务。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13.2.5 承包人对工程施工质量负责，应当按合同约定设立现场质量管理机构、配备工程技术人员和质量管理人员，落实工程施工质量责任制。</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13.2.6 承包人应当严格按照工程设计图纸、施工技术标准和合同约定施工，对原材料、混合料、构配件、工程实体、机电设备等进行检验；按规定施行班组自检、工序交接检、专职质检员检验的质量控制程序；对分项工程、分部工程和单位工程进行质量自评。检验或者自评不合格的，不得进入下道工序或者投入使用。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13.2.7 承包人应当加强施工过程质量控制，并形成完整、可追溯的施工质量管理资料，主体工程的隐蔽部位施工还应当保留影像资料。对施工中出现的质量问题或者验收不合格的工程，应当负责返工处理；对在保修范围和保修期限内发生质量问题的工程，应当履行保修义务。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13.2.8 承包人应当按照合同约定设立工地临时试验室，配齐检测和试验仪器、仪表，及时校正确保其精度；严格按照工程技术标准、检测规范和规程，在核定的试验检测参数范围内开展试验检测活动，并确保规范规定的检验、抽检频率。承包人应当对其设立的工地临时试验室所出具的试验检测数据和报告的真实性、客观性、准确性负责。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360" w:firstLineChars="200"/>
        <w:jc w:val="both"/>
        <w:rPr>
          <w:rFonts w:ascii="宋体" w:hAnsi="宋体" w:eastAsia="宋体" w:cs="宋体"/>
          <w:b w:val="0"/>
          <w:bCs w:val="0"/>
          <w:color w:val="000000"/>
          <w:sz w:val="21"/>
          <w:szCs w:val="21"/>
        </w:rPr>
      </w:pPr>
      <w:r>
        <w:rPr>
          <w:rFonts w:hint="default" w:ascii="TimesNewRomanPSMT" w:hAnsi="TimesNewRomanPSMT" w:eastAsia="TimesNewRomanPSMT" w:cs="TimesNewRomanPSMT"/>
          <w:b w:val="0"/>
          <w:bCs w:val="0"/>
          <w:color w:val="000000"/>
          <w:sz w:val="18"/>
          <w:szCs w:val="18"/>
        </w:rPr>
        <w:t xml:space="preserve"> </w:t>
      </w:r>
      <w:r>
        <w:rPr>
          <w:rFonts w:ascii="宋体" w:hAnsi="宋体" w:eastAsia="宋体" w:cs="宋体"/>
          <w:b w:val="0"/>
          <w:bCs w:val="0"/>
          <w:color w:val="000000"/>
          <w:sz w:val="21"/>
          <w:szCs w:val="21"/>
        </w:rPr>
        <w:t>13.2.9 承包人应当依法规范分包行为，并对承担的工程质量负总责，分包单位对分包合同范围内的工程质量负责。</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13.2.10 承包人驻工程现场机构应在现场驻地和重要的分部、分项工程施工现场设置明显的工程质量责任登记表公示牌。</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13.4．监理人的质量检查</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val="0"/>
          <w:bCs w:val="0"/>
          <w:color w:val="000000"/>
          <w:sz w:val="21"/>
          <w:szCs w:val="21"/>
        </w:rPr>
      </w:pPr>
      <w:r>
        <w:rPr>
          <w:rFonts w:ascii="宋体" w:hAnsi="宋体" w:eastAsia="宋体" w:cs="宋体"/>
          <w:b/>
          <w:bCs/>
          <w:color w:val="000000"/>
          <w:sz w:val="21"/>
          <w:szCs w:val="21"/>
        </w:rPr>
        <w:t xml:space="preserve"> </w:t>
      </w:r>
      <w:r>
        <w:rPr>
          <w:rFonts w:ascii="宋体" w:hAnsi="宋体" w:eastAsia="宋体" w:cs="宋体"/>
          <w:b w:val="0"/>
          <w:bCs w:val="0"/>
          <w:color w:val="000000"/>
          <w:sz w:val="21"/>
          <w:szCs w:val="21"/>
        </w:rPr>
        <w:t>本款补充：</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监理人及其委派的检验人员，应能进入工程现场，以及材料或工程设备的制造、加工或制配的车间和场所，包括不属于承包人的车间或场所进行检查，承包人应为此提供便利和协助。</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监理人可以将材料或工程设备的检查和检验委托给一家独立的有质量检验认证资格的检验单位。该独立检验单位的检验结果应视为监理人完成的。监理人应将这种委托的通知书不少于 7 天前交给承包人。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bCs/>
          <w:color w:val="000000"/>
          <w:sz w:val="21"/>
          <w:szCs w:val="21"/>
        </w:rPr>
      </w:pPr>
      <w:r>
        <w:rPr>
          <w:rFonts w:hint="eastAsia" w:ascii="宋体" w:hAnsi="宋体" w:eastAsia="宋体" w:cs="宋体"/>
          <w:b w:val="0"/>
          <w:bCs w:val="0"/>
          <w:color w:val="000000"/>
          <w:sz w:val="21"/>
          <w:szCs w:val="21"/>
          <w:lang w:val="en-US" w:eastAsia="zh-CN"/>
        </w:rPr>
        <w:t xml:space="preserve"> </w:t>
      </w:r>
      <w:r>
        <w:rPr>
          <w:rFonts w:ascii="宋体" w:hAnsi="宋体" w:eastAsia="宋体" w:cs="宋体"/>
          <w:b/>
          <w:bCs/>
          <w:color w:val="000000"/>
          <w:sz w:val="21"/>
          <w:szCs w:val="21"/>
        </w:rPr>
        <w:t>13.5．工程隐蔽部位覆盖前的检查</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val="0"/>
          <w:bCs w:val="0"/>
          <w:color w:val="000000"/>
          <w:sz w:val="21"/>
          <w:szCs w:val="21"/>
        </w:rPr>
      </w:pPr>
      <w:r>
        <w:rPr>
          <w:rFonts w:ascii="宋体" w:hAnsi="宋体" w:eastAsia="宋体" w:cs="宋体"/>
          <w:b/>
          <w:bCs/>
          <w:color w:val="000000"/>
          <w:sz w:val="21"/>
          <w:szCs w:val="21"/>
        </w:rPr>
        <w:t xml:space="preserve"> </w:t>
      </w:r>
      <w:r>
        <w:rPr>
          <w:rFonts w:ascii="宋体" w:hAnsi="宋体" w:eastAsia="宋体" w:cs="宋体"/>
          <w:b w:val="0"/>
          <w:bCs w:val="0"/>
          <w:color w:val="000000"/>
          <w:sz w:val="21"/>
          <w:szCs w:val="21"/>
        </w:rPr>
        <w:t xml:space="preserve">第 13.5.1 项补充：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当监理人有指令时，承包人应对重要隐蔽工程进行拍摄或照相并应保证监理人有充分的机会对将要覆盖或掩蔽的工程进行检查和量测，特别是在基础以上的任一部分工程修筑之前，对该基础进行检查。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13.6．清除不合格工程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第 13.6.1 项细化为： </w:t>
      </w:r>
    </w:p>
    <w:p>
      <w:pPr>
        <w:pStyle w:val="5"/>
        <w:keepNext w:val="0"/>
        <w:keepLines w:val="0"/>
        <w:pageBreakBefore w:val="0"/>
        <w:widowControl/>
        <w:numPr>
          <w:ilvl w:val="0"/>
          <w:numId w:val="19"/>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承包人使用不合格材料、工程设备，或采用不适当的施工工艺，或施工不当，造成工程不合格的， 监理人可以随时发出指示，要求承包人立即采取措施进行替换、补救或拆除重建，直至达到合同要求的质量标准，由此增加的费用和（或）工期延误由承包人承担。 </w:t>
      </w:r>
    </w:p>
    <w:p>
      <w:pPr>
        <w:pStyle w:val="5"/>
        <w:keepNext w:val="0"/>
        <w:keepLines w:val="0"/>
        <w:pageBreakBefore w:val="0"/>
        <w:widowControl/>
        <w:numPr>
          <w:ilvl w:val="0"/>
          <w:numId w:val="19"/>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如果承包人未在规定时间内执行监理人的指示，发包人有权雇用他人执行，由此增加的费用和（或） 工期延误由承包人承担。</w:t>
      </w:r>
    </w:p>
    <w:p>
      <w:pPr>
        <w:pStyle w:val="5"/>
        <w:keepNext w:val="0"/>
        <w:keepLines w:val="0"/>
        <w:pageBreakBefore w:val="0"/>
        <w:widowControl/>
        <w:numPr>
          <w:ilvl w:val="0"/>
          <w:numId w:val="16"/>
        </w:numPr>
        <w:suppressLineNumbers w:val="0"/>
        <w:kinsoku/>
        <w:overflowPunct/>
        <w:bidi w:val="0"/>
        <w:spacing w:before="0" w:beforeAutospacing="0" w:afterAutospacing="0" w:line="360" w:lineRule="auto"/>
        <w:ind w:left="525" w:leftChars="0" w:right="0" w:rightChars="0" w:firstLine="0" w:firstLineChars="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试验和检验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补充第 14.4 款：</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 xml:space="preserve">14.4．试验和检验费用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（1）承包人应负责提供合同和技术规范规定的试验和检验所需的全部样品，并承担其费用。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（2）在合同中明确规定的试验和检验，包括无须在工程量清单中单独列项和已在工程量清单中单独列 项的试验和检验，其试验和检验的费用由承包人承担。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（3）如果监理人所要求做的试验和检验为合同未规定的或是在该材料或工程设备的制造、加工、制配 场地以外的场所进行的，则检验结束后，如表明操作工艺或材料、工程设备未能符合合同规定，其费用应 由承包人承担，否则，其费用应由发包人承担。</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firstLine="420" w:firstLineChars="2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15．变更</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 15.1．变更的范围和内容</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firstLine="422" w:firstLineChars="200"/>
        <w:jc w:val="both"/>
        <w:rPr>
          <w:rFonts w:ascii="宋体" w:hAnsi="宋体" w:eastAsia="宋体" w:cs="宋体"/>
          <w:b w:val="0"/>
          <w:bCs w:val="0"/>
          <w:color w:val="000000"/>
          <w:sz w:val="21"/>
          <w:szCs w:val="21"/>
        </w:rPr>
      </w:pPr>
      <w:r>
        <w:rPr>
          <w:rFonts w:ascii="宋体" w:hAnsi="宋体" w:eastAsia="宋体" w:cs="宋体"/>
          <w:b/>
          <w:bCs/>
          <w:color w:val="000000"/>
          <w:sz w:val="21"/>
          <w:szCs w:val="21"/>
        </w:rPr>
        <w:t xml:space="preserve"> </w:t>
      </w:r>
      <w:r>
        <w:rPr>
          <w:rFonts w:ascii="宋体" w:hAnsi="宋体" w:eastAsia="宋体" w:cs="宋体"/>
          <w:b w:val="0"/>
          <w:bCs w:val="0"/>
          <w:color w:val="000000"/>
          <w:sz w:val="21"/>
          <w:szCs w:val="21"/>
        </w:rPr>
        <w:t xml:space="preserve">本款第（1）项细化为： </w:t>
      </w:r>
    </w:p>
    <w:p>
      <w:pPr>
        <w:pStyle w:val="5"/>
        <w:keepNext w:val="0"/>
        <w:keepLines w:val="0"/>
        <w:pageBreakBefore w:val="0"/>
        <w:widowControl/>
        <w:numPr>
          <w:ilvl w:val="0"/>
          <w:numId w:val="20"/>
        </w:numPr>
        <w:suppressLineNumbers w:val="0"/>
        <w:kinsoku/>
        <w:overflowPunct/>
        <w:bidi w:val="0"/>
        <w:spacing w:before="0" w:beforeAutospacing="0" w:afterAutospacing="0" w:line="360" w:lineRule="auto"/>
        <w:ind w:left="525"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取消合同中任何一项工作，但被取消的工作不能转由发包人或其他人实施，由于承包人违约造成 的情况除外；</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0" w:firstLineChars="2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 xml:space="preserve">15.3．变更程序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本款补充第 15.3.4 项：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15.3.4 设计变更程序应执行《公路工程设计变更管理办法》的相关规定。</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0" w:firstLineChars="2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 xml:space="preserve">15.4．变更的估价原则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本款细化为：</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除项目专用合同条款另有约定外，因变更引起的价格调整按照本款约定处理。</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15.4.1 如果取消某项工作，则该项工作的总额价不予支付。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15.4.2 已标价工程量清单中有适用于变更工作的子目的，采用该子目的单价。</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15.4.3 已标价工程量清单中无适用于变更工作的子目，但有类似子目的，可在合理范围内参照类似子目的单价，由监理人按第 3.5 款商定或确定变更工作的单价。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15.4.4 已标价工程量清单中无适用或类似子目的单价，可在综合考虑承包人在投标时所提供的单价分 析表的基础上，由监理人按第 3.5 款商定或确定变更工作的单价。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15.4.5 如果本工程的变更指示是因承包人过错、承包人违反合同或承包人责任造成的，则这种违约引 起的任何额外费用应由承包人承担。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0" w:firstLineChars="200"/>
        <w:jc w:val="both"/>
        <w:rPr>
          <w:rFonts w:ascii="宋体" w:hAnsi="宋体" w:eastAsia="宋体" w:cs="宋体"/>
          <w:b/>
          <w:bCs/>
          <w:color w:val="000000"/>
          <w:sz w:val="21"/>
          <w:szCs w:val="21"/>
        </w:rPr>
      </w:pPr>
      <w:r>
        <w:rPr>
          <w:rFonts w:hint="default" w:ascii="Arial-BoldMT" w:hAnsi="Arial-BoldMT" w:eastAsia="Arial-BoldMT" w:cs="Arial-BoldMT"/>
          <w:b w:val="0"/>
          <w:bCs w:val="0"/>
          <w:color w:val="000000"/>
          <w:sz w:val="21"/>
          <w:szCs w:val="21"/>
        </w:rPr>
        <w:t>1</w:t>
      </w:r>
      <w:r>
        <w:rPr>
          <w:rFonts w:ascii="宋体" w:hAnsi="宋体" w:eastAsia="宋体" w:cs="宋体"/>
          <w:b/>
          <w:bCs/>
          <w:color w:val="000000"/>
          <w:sz w:val="21"/>
          <w:szCs w:val="21"/>
        </w:rPr>
        <w:t>5.5．承包人的合理化建议</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0" w:firstLineChars="200"/>
        <w:jc w:val="both"/>
        <w:rPr>
          <w:rFonts w:ascii="宋体" w:hAnsi="宋体" w:eastAsia="宋体" w:cs="宋体"/>
          <w:b w:val="0"/>
          <w:bCs w:val="0"/>
          <w:color w:val="000000"/>
          <w:sz w:val="21"/>
          <w:szCs w:val="21"/>
        </w:rPr>
      </w:pPr>
      <w:r>
        <w:rPr>
          <w:rFonts w:hint="default" w:ascii="Arial-BoldMT" w:hAnsi="Arial-BoldMT" w:eastAsia="Arial-BoldMT" w:cs="Arial-BoldMT"/>
          <w:b w:val="0"/>
          <w:bCs w:val="0"/>
          <w:color w:val="000000"/>
          <w:sz w:val="21"/>
          <w:szCs w:val="21"/>
        </w:rPr>
        <w:t xml:space="preserve"> </w:t>
      </w:r>
      <w:r>
        <w:rPr>
          <w:rFonts w:ascii="宋体" w:hAnsi="宋体" w:eastAsia="宋体" w:cs="宋体"/>
          <w:b w:val="0"/>
          <w:bCs w:val="0"/>
          <w:color w:val="000000"/>
          <w:sz w:val="21"/>
          <w:szCs w:val="21"/>
        </w:rPr>
        <w:t xml:space="preserve">第 15.5.2 项约定为：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承包人提出的合理化建议缩短了工期，发包人按第 11.6 款的规定给予奖励。 承包人提出的合理化建议降低了合同价格或者提高了工程经济效益的，发包人按项目专用合同条款数 据表中规定的金额给予奖励。</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15.6．暂列金额</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2" w:firstLineChars="200"/>
        <w:jc w:val="both"/>
        <w:rPr>
          <w:rFonts w:ascii="宋体" w:hAnsi="宋体" w:eastAsia="宋体" w:cs="宋体"/>
          <w:b w:val="0"/>
          <w:bCs w:val="0"/>
          <w:color w:val="000000"/>
          <w:sz w:val="21"/>
          <w:szCs w:val="21"/>
        </w:rPr>
      </w:pPr>
      <w:r>
        <w:rPr>
          <w:rFonts w:ascii="宋体" w:hAnsi="宋体" w:eastAsia="宋体" w:cs="宋体"/>
          <w:b/>
          <w:bCs/>
          <w:color w:val="000000"/>
          <w:sz w:val="21"/>
          <w:szCs w:val="21"/>
        </w:rPr>
        <w:t xml:space="preserve"> </w:t>
      </w:r>
      <w:r>
        <w:rPr>
          <w:rFonts w:ascii="宋体" w:hAnsi="宋体" w:eastAsia="宋体" w:cs="宋体"/>
          <w:b w:val="0"/>
          <w:bCs w:val="0"/>
          <w:color w:val="000000"/>
          <w:sz w:val="21"/>
          <w:szCs w:val="21"/>
        </w:rPr>
        <w:t>本款细化为：</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15.6.1 暂列金额应由监理人报发包人批准后指令全部或部分地使用，或者根本不予动用。</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15.6.2 对于经发包人批准的每一笔暂列金额，监理人有权向承包人发出实施工程或提供材料、工程设备或服务的指令。这些指令应由承包人完成，监理人应根据第 15.4 款约定的变更估价原则和第 15.7 款的规定，对合同价格进行相应调整。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15.6.3 当监理人提出要求时，承包人应提供有关暂列金额支出的所有报价单、发票、凭证和账单或收据，除非该工作是根据已标价工程量清单列明的单价或总额价进行的估价。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16．价格调整</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 16.1．物价波动引起的价格调整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本款约定为： </w:t>
      </w:r>
    </w:p>
    <w:p>
      <w:pPr>
        <w:pStyle w:val="5"/>
        <w:keepNext w:val="0"/>
        <w:keepLines w:val="0"/>
        <w:pageBreakBefore w:val="0"/>
        <w:widowControl/>
        <w:numPr>
          <w:ilvl w:val="0"/>
          <w:numId w:val="21"/>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除项目专用合同条款另有约定外，因物价波动引起的价格调整应按项目专用合同条款数据表的规 定，按照第 16.1.1 项或第 16.1.2 项约定的原则处理；或者 </w:t>
      </w:r>
    </w:p>
    <w:p>
      <w:pPr>
        <w:pStyle w:val="5"/>
        <w:keepNext w:val="0"/>
        <w:keepLines w:val="0"/>
        <w:pageBreakBefore w:val="0"/>
        <w:widowControl/>
        <w:numPr>
          <w:ilvl w:val="0"/>
          <w:numId w:val="21"/>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在合同执行期间（包括工期拖延期间）由于人工、材料和设备价格的上涨而引起工程施工成本增 加的风险由承包人自行承担，合同价格不会因此而调整。</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16.1.1 采用价格指数调整价格差额</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jc w:val="both"/>
        <w:rPr>
          <w:rFonts w:ascii="宋体" w:hAnsi="宋体" w:eastAsia="宋体" w:cs="宋体"/>
          <w:b w:val="0"/>
          <w:bCs w:val="0"/>
          <w:color w:val="000000"/>
          <w:sz w:val="21"/>
          <w:szCs w:val="21"/>
        </w:rPr>
      </w:pPr>
      <w:r>
        <w:rPr>
          <w:rFonts w:ascii="宋体" w:hAnsi="宋体" w:eastAsia="宋体" w:cs="宋体"/>
          <w:b/>
          <w:bCs/>
          <w:color w:val="000000"/>
          <w:sz w:val="21"/>
          <w:szCs w:val="21"/>
        </w:rPr>
        <w:t xml:space="preserve"> </w:t>
      </w:r>
      <w:r>
        <w:rPr>
          <w:rFonts w:ascii="宋体" w:hAnsi="宋体" w:eastAsia="宋体" w:cs="宋体"/>
          <w:b w:val="0"/>
          <w:bCs w:val="0"/>
          <w:color w:val="000000"/>
          <w:sz w:val="21"/>
          <w:szCs w:val="21"/>
        </w:rPr>
        <w:t>16.1.1.1 价格调整公式</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价格调整公式后增加备注如下：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式中，A=1－（B1＋B2＋B3＋……＋Bn）。</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本目最后一段文字细化为：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在采用价格调整公式进行调价时，还应遵守以下规定： </w:t>
      </w:r>
    </w:p>
    <w:p>
      <w:pPr>
        <w:pStyle w:val="5"/>
        <w:keepNext w:val="0"/>
        <w:keepLines w:val="0"/>
        <w:pageBreakBefore w:val="0"/>
        <w:widowControl/>
        <w:numPr>
          <w:ilvl w:val="0"/>
          <w:numId w:val="22"/>
        </w:numPr>
        <w:suppressLineNumbers w:val="0"/>
        <w:kinsoku/>
        <w:overflowPunct/>
        <w:bidi w:val="0"/>
        <w:spacing w:before="0" w:beforeAutospacing="0" w:afterAutospacing="0" w:line="360" w:lineRule="auto"/>
        <w:ind w:leftChars="20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以上价格调整公式中的各可调因子、定值权重，以及基本价格指数及其来源由发包人在投标函</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附录价格指数和权重表中约定。价格指数应首先采用国家或省、自治区、直辖市价格部门或统计部门提供的价格指数，缺乏上述价格指数时，可采用上述部门提供的价格代替。</w:t>
      </w:r>
    </w:p>
    <w:p>
      <w:pPr>
        <w:pStyle w:val="5"/>
        <w:keepNext w:val="0"/>
        <w:keepLines w:val="0"/>
        <w:pageBreakBefore w:val="0"/>
        <w:widowControl/>
        <w:numPr>
          <w:ilvl w:val="0"/>
          <w:numId w:val="22"/>
        </w:numPr>
        <w:suppressLineNumbers w:val="0"/>
        <w:kinsoku/>
        <w:overflowPunct/>
        <w:bidi w:val="0"/>
        <w:spacing w:before="0" w:beforeAutospacing="0" w:afterAutospacing="0" w:line="360" w:lineRule="auto"/>
        <w:ind w:left="420" w:leftChars="200" w:right="0" w:rightChars="0" w:firstLine="0" w:firstLine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价格调整公式中的变值权重，由发包人根据项目实际情况测算确定范围，并在投标函附录价格指数和权重表中约定范围；承包人在投标时在此范围内填写各可调因子的权重，合同实施期间将按此权重进行调价。</w:t>
      </w:r>
    </w:p>
    <w:p>
      <w:pPr>
        <w:pStyle w:val="5"/>
        <w:keepNext w:val="0"/>
        <w:keepLines w:val="0"/>
        <w:pageBreakBefore w:val="0"/>
        <w:widowControl/>
        <w:numPr>
          <w:ilvl w:val="0"/>
          <w:numId w:val="23"/>
        </w:numPr>
        <w:suppressLineNumbers w:val="0"/>
        <w:kinsoku/>
        <w:overflowPunct/>
        <w:bidi w:val="0"/>
        <w:spacing w:before="0" w:beforeAutospacing="0" w:afterAutospacing="0" w:line="360" w:lineRule="auto"/>
        <w:ind w:leftChars="200" w:right="0" w:rightChars="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计量与支付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17.1．计量</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黑体" w:hAnsi="宋体" w:eastAsia="黑体" w:cs="黑体"/>
          <w:b w:val="0"/>
          <w:bCs w:val="0"/>
          <w:color w:val="000000"/>
          <w:sz w:val="21"/>
          <w:szCs w:val="21"/>
        </w:rPr>
      </w:pPr>
      <w:r>
        <w:rPr>
          <w:rFonts w:ascii="宋体" w:hAnsi="宋体" w:eastAsia="宋体" w:cs="宋体"/>
          <w:b/>
          <w:bCs/>
          <w:color w:val="000000"/>
          <w:sz w:val="21"/>
          <w:szCs w:val="21"/>
        </w:rPr>
        <w:t xml:space="preserve"> </w:t>
      </w:r>
      <w:r>
        <w:rPr>
          <w:rFonts w:ascii="宋体" w:hAnsi="宋体" w:eastAsia="宋体" w:cs="宋体"/>
          <w:b w:val="0"/>
          <w:bCs w:val="0"/>
          <w:color w:val="000000"/>
          <w:sz w:val="21"/>
          <w:szCs w:val="21"/>
        </w:rPr>
        <w:t xml:space="preserve">17.1.2 </w:t>
      </w:r>
      <w:r>
        <w:rPr>
          <w:rFonts w:ascii="黑体" w:hAnsi="宋体" w:eastAsia="黑体" w:cs="黑体"/>
          <w:b w:val="0"/>
          <w:bCs w:val="0"/>
          <w:color w:val="000000"/>
          <w:sz w:val="21"/>
          <w:szCs w:val="21"/>
        </w:rPr>
        <w:t>计量方法</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本项约定为：</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工程的计量应以净值为准，除非项目专用合同条款另有约定。工程量清单中各个子目的具体计量方法 按本合同文件工程量清单计量规则中的规定执行。</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 xml:space="preserve">17.1.4 单价子目的计量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本项补充： </w:t>
      </w:r>
    </w:p>
    <w:p>
      <w:pPr>
        <w:pStyle w:val="5"/>
        <w:keepNext w:val="0"/>
        <w:keepLines w:val="0"/>
        <w:pageBreakBefore w:val="0"/>
        <w:widowControl/>
        <w:numPr>
          <w:ilvl w:val="0"/>
          <w:numId w:val="24"/>
        </w:numPr>
        <w:suppressLineNumbers w:val="0"/>
        <w:kinsoku/>
        <w:overflowPunct/>
        <w:bidi w:val="0"/>
        <w:spacing w:before="0" w:beforeAutospacing="0" w:afterAutospacing="0" w:line="360" w:lineRule="auto"/>
        <w:ind w:left="525" w:leftChars="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承包人未在已标价工程量清单中填入单价或总额价的工程子目，将被认为其已包含在本合同</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的其他子目的单价和总额价中，发包人将不另行支付。</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17.1.5 总价子目的计量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本项补充：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本项目工程量清单中要求承包人以“总额”方式报价的子目，各子目的支付原则和支付进度按项目</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专用合同条款的规定执行。</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 xml:space="preserve">17.2．预付款（本项目不适用）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17.2.1 预付款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本项约定为：</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预付款包括开工预付款和材料、设备预付款。具体额度和预付办法如下： </w:t>
      </w:r>
    </w:p>
    <w:p>
      <w:pPr>
        <w:pStyle w:val="5"/>
        <w:keepNext w:val="0"/>
        <w:keepLines w:val="0"/>
        <w:pageBreakBefore w:val="0"/>
        <w:widowControl/>
        <w:numPr>
          <w:ilvl w:val="0"/>
          <w:numId w:val="25"/>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开工预付款的金额在项目专用合同条款数据表中约定。在承包人签订了合同协议书且承包人承诺的主要设备进场后，监理人应在当期进度付款证书中向承包人支付开工预付款。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hint="eastAsia" w:ascii="宋体" w:hAnsi="宋体" w:eastAsia="宋体" w:cs="宋体"/>
          <w:b w:val="0"/>
          <w:bCs w:val="0"/>
          <w:color w:val="000000"/>
          <w:sz w:val="21"/>
          <w:szCs w:val="21"/>
          <w:lang w:eastAsia="zh-CN"/>
        </w:rPr>
      </w:pPr>
      <w:r>
        <w:rPr>
          <w:rFonts w:ascii="宋体" w:hAnsi="宋体" w:eastAsia="宋体" w:cs="宋体"/>
          <w:b w:val="0"/>
          <w:bCs w:val="0"/>
          <w:color w:val="000000"/>
          <w:sz w:val="21"/>
          <w:szCs w:val="21"/>
        </w:rPr>
        <w:t>承包人不得将该预付款用于与本工程无关的支出，监理人有权监督承包人对该项费用的使用，如经查 实承包人滥用开工预付款，发包人有权立即向银行索赔履约保证金，并解除合同。</w:t>
      </w:r>
    </w:p>
    <w:p>
      <w:pPr>
        <w:pStyle w:val="5"/>
        <w:keepNext w:val="0"/>
        <w:keepLines w:val="0"/>
        <w:pageBreakBefore w:val="0"/>
        <w:widowControl/>
        <w:numPr>
          <w:ilvl w:val="0"/>
          <w:numId w:val="25"/>
        </w:numPr>
        <w:suppressLineNumbers w:val="0"/>
        <w:kinsoku/>
        <w:overflowPunct/>
        <w:bidi w:val="0"/>
        <w:spacing w:before="0" w:beforeAutospacing="0" w:afterAutospacing="0" w:line="360" w:lineRule="auto"/>
        <w:ind w:left="0" w:leftChars="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材料、设备预付款按项目专用合同条款数据表中所列主要材料、设备单据费用（进口的材料、设 备为到岸价，国内采购的为出厂价或销售价，地方材料为堆场价）的百分比支付。其预付条件为： </w:t>
      </w:r>
    </w:p>
    <w:p>
      <w:pPr>
        <w:pStyle w:val="5"/>
        <w:keepNext w:val="0"/>
        <w:keepLines w:val="0"/>
        <w:pageBreakBefore w:val="0"/>
        <w:widowControl/>
        <w:numPr>
          <w:ilvl w:val="0"/>
          <w:numId w:val="26"/>
        </w:numPr>
        <w:suppressLineNumbers w:val="0"/>
        <w:kinsoku/>
        <w:overflowPunct/>
        <w:bidi w:val="0"/>
        <w:spacing w:before="0" w:beforeAutospacing="0" w:afterAutospacing="0" w:line="360" w:lineRule="auto"/>
        <w:ind w:leftChars="20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材料、设备符合规范要求并经监理人认可；</w:t>
      </w:r>
    </w:p>
    <w:p>
      <w:pPr>
        <w:pStyle w:val="5"/>
        <w:keepNext w:val="0"/>
        <w:keepLines w:val="0"/>
        <w:pageBreakBefore w:val="0"/>
        <w:widowControl/>
        <w:numPr>
          <w:ilvl w:val="0"/>
          <w:numId w:val="26"/>
        </w:numPr>
        <w:suppressLineNumbers w:val="0"/>
        <w:kinsoku/>
        <w:overflowPunct/>
        <w:bidi w:val="0"/>
        <w:spacing w:before="0" w:beforeAutospacing="0" w:afterAutospacing="0" w:line="360" w:lineRule="auto"/>
        <w:ind w:left="420" w:leftChars="200" w:right="0" w:rightChars="0" w:firstLine="0" w:firstLine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承包人已出具材料、设备费用凭证或支付单据；</w:t>
      </w:r>
    </w:p>
    <w:p>
      <w:pPr>
        <w:pStyle w:val="5"/>
        <w:keepNext w:val="0"/>
        <w:keepLines w:val="0"/>
        <w:pageBreakBefore w:val="0"/>
        <w:widowControl/>
        <w:numPr>
          <w:ilvl w:val="0"/>
          <w:numId w:val="26"/>
        </w:numPr>
        <w:suppressLineNumbers w:val="0"/>
        <w:kinsoku/>
        <w:overflowPunct/>
        <w:bidi w:val="0"/>
        <w:spacing w:before="0" w:beforeAutospacing="0" w:afterAutospacing="0" w:line="360" w:lineRule="auto"/>
        <w:ind w:left="420" w:leftChars="200" w:right="0" w:rightChars="0" w:firstLine="0" w:firstLine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材料、设备已在现场交货，且存储良好，监理人认为材料、设备的存储方法符合要求。</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则监理人应将此项金额作为材料、设备预付款计入下一次的进度付款证书中。在预计交工前 3 个</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月， 将不再支付材料、设备预付款。</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210" w:firstLineChars="1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 xml:space="preserve">17.2.2 预付款保函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210" w:firstLineChars="1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本项细化为：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210" w:firstLineChars="1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承包人无须向发包人提交预付款保函。发包人向承包人支付的预付款，应按照本合同第 17.2.1 项规定使用，承包人提交的履约保证金对预付款的正常使用承担保证责任。</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210" w:firstLineChars="1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17.2.3 预付款的扣回与还清</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211" w:firstLineChars="100"/>
        <w:jc w:val="both"/>
        <w:rPr>
          <w:rFonts w:ascii="宋体" w:hAnsi="宋体" w:eastAsia="宋体" w:cs="宋体"/>
          <w:b w:val="0"/>
          <w:bCs w:val="0"/>
          <w:color w:val="000000"/>
          <w:sz w:val="21"/>
          <w:szCs w:val="21"/>
        </w:rPr>
      </w:pPr>
      <w:r>
        <w:rPr>
          <w:rFonts w:ascii="宋体" w:hAnsi="宋体" w:eastAsia="宋体" w:cs="宋体"/>
          <w:b/>
          <w:bCs/>
          <w:color w:val="000000"/>
          <w:sz w:val="21"/>
          <w:szCs w:val="21"/>
        </w:rPr>
        <w:t xml:space="preserve"> </w:t>
      </w:r>
      <w:r>
        <w:rPr>
          <w:rFonts w:ascii="宋体" w:hAnsi="宋体" w:eastAsia="宋体" w:cs="宋体"/>
          <w:b w:val="0"/>
          <w:bCs w:val="0"/>
          <w:color w:val="000000"/>
          <w:sz w:val="21"/>
          <w:szCs w:val="21"/>
        </w:rPr>
        <w:t xml:space="preserve">本项约定为：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210" w:firstLineChars="100"/>
        <w:jc w:val="both"/>
        <w:rPr>
          <w:rFonts w:ascii="宋体" w:hAnsi="宋体" w:eastAsia="宋体" w:cs="宋体"/>
          <w:b w:val="0"/>
          <w:bCs w:val="0"/>
          <w:color w:val="000000"/>
          <w:sz w:val="21"/>
          <w:szCs w:val="21"/>
        </w:rPr>
      </w:pP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lang w:val="en-US" w:eastAsia="zh-CN"/>
        </w:rPr>
        <w:t>1</w:t>
      </w:r>
      <w:r>
        <w:rPr>
          <w:rFonts w:hint="eastAsia" w:ascii="宋体" w:hAnsi="宋体" w:eastAsia="宋体" w:cs="宋体"/>
          <w:b w:val="0"/>
          <w:bCs w:val="0"/>
          <w:color w:val="000000"/>
          <w:sz w:val="21"/>
          <w:szCs w:val="21"/>
          <w:lang w:eastAsia="zh-CN"/>
        </w:rPr>
        <w:t>）</w:t>
      </w:r>
      <w:r>
        <w:rPr>
          <w:rFonts w:ascii="宋体" w:hAnsi="宋体" w:eastAsia="宋体" w:cs="宋体"/>
          <w:b w:val="0"/>
          <w:bCs w:val="0"/>
          <w:color w:val="000000"/>
          <w:sz w:val="21"/>
          <w:szCs w:val="21"/>
        </w:rPr>
        <w:t xml:space="preserve">开工预付款在进度付款证书的累计金额未达到签约合同价的 30%之前不予扣回，在达到签约合同 价 30%之后，开始按工程进度以固定比例（即每完成签约合同价的 1%，扣回开工预付款的 2%）分期从各月的进度付款证书中扣回，全部金额在进度付款证书的累计金额达到签约合同价的 80%时扣完。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（2）当材料、设备已用于或安装在永久工程之中时，材料、设备预付款应从进度付款证书中扣回，扣 回期不超过 3 个月。已经支付材料、设备预付款的材料、设备的所有权应属于发包人。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17.3．工程进度付款</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 17.3.3 进度付款证书和支付时间</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val="0"/>
          <w:bCs w:val="0"/>
          <w:color w:val="000000"/>
          <w:sz w:val="21"/>
          <w:szCs w:val="21"/>
        </w:rPr>
      </w:pPr>
      <w:r>
        <w:rPr>
          <w:rFonts w:ascii="宋体" w:hAnsi="宋体" w:eastAsia="宋体" w:cs="宋体"/>
          <w:b/>
          <w:bCs/>
          <w:color w:val="000000"/>
          <w:sz w:val="21"/>
          <w:szCs w:val="21"/>
        </w:rPr>
        <w:t xml:space="preserve"> </w:t>
      </w:r>
      <w:r>
        <w:rPr>
          <w:rFonts w:ascii="宋体" w:hAnsi="宋体" w:eastAsia="宋体" w:cs="宋体"/>
          <w:b w:val="0"/>
          <w:bCs w:val="0"/>
          <w:color w:val="000000"/>
          <w:sz w:val="21"/>
          <w:szCs w:val="21"/>
        </w:rPr>
        <w:t>本项（1）目补充：</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如果该付款周期应结算的价款经扣留和扣回后的款额少于项目专用合同条款数据表中列明的进度付款 证书的最低金额，则该付款周期监理人可不核证支付，上述款额将按付款周期结转，直至累计应支付的款 额达到项目专用合同条款数据表中列明的进度付款证书的最低金额为止。</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本项（2）目细化为：</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发包人应在监理人收到进度付款申请单且承包人提交了合格的增值税专用发票后的 28 天内，将进度应 付款支付给承包人。</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发包人不按期支付的，按项目专用合同条款数据表中约定的利率向承包人支付逾期付款违约金。违约 金计算基数为发包人的全部未付款额，时间从应付而未付该款额之日算起（不计复利）。</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本款补充第 17.3.5 项：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17.3.5 农民工工资保证金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（1）为确保施工过程中农民工工资实时、足额发放到位，承包人应按照项目专用合同条款约定的时间 和金额缴存农民工工资保证金。</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（2）农民工工资保证金可采用银行保函或现金、支票形式。采用银行保函时，出具保函的银行须具有 相应担保能力，且按照发包人批准的格式出具，所需费用由承包人承担。</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（3）农民工工资保证金的扣留条件、返还时间按照项目专用合同条款的约定执行。</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 xml:space="preserve">17.4．质量保证金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第 17.4.1 项、第 17.4.2 项细化为：</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w:t>
      </w:r>
      <w:r>
        <w:rPr>
          <w:rFonts w:hint="default" w:ascii="TimesNewRomanPSMT" w:hAnsi="TimesNewRomanPSMT" w:eastAsia="TimesNewRomanPSMT" w:cs="TimesNewRomanPSMT"/>
          <w:b w:val="0"/>
          <w:bCs w:val="0"/>
          <w:color w:val="000000"/>
          <w:sz w:val="18"/>
          <w:szCs w:val="18"/>
        </w:rPr>
        <w:t xml:space="preserve"> </w:t>
      </w:r>
      <w:r>
        <w:rPr>
          <w:rFonts w:ascii="宋体" w:hAnsi="宋体" w:eastAsia="宋体" w:cs="宋体"/>
          <w:b w:val="0"/>
          <w:bCs w:val="0"/>
          <w:color w:val="000000"/>
          <w:sz w:val="21"/>
          <w:szCs w:val="21"/>
        </w:rPr>
        <w:t>17.4.1 交工验收证书签发后 14 天内，承包人应向发包人缴纳质量保证金。质量保证金可采用银行保函或现金、支票形式，金额应符合项目专用合同条款数据表的规定。采用银行保函时，出具保函的银行须具有相应担保能力，且按照发包人批准的格式出具，所需费用由承包人承担。</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质量保证金采用现金、支票形式提交的，发包人应在项目专用合同条款数据表中明确是否计付利息以及利息的计算方式。</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17.4.2 在第 1.1.4.5 目约定的缺陷责任期满，且质量监督机构已按规定对工程质量检测鉴定合格，承包人向发包人申请到期应返还承包人剩余的质量保证金金额，发包人应在 14 天内会同承包人按照合同约定的内容核实承包人是否完成缺陷责任。如无异议，发包人应当在核实后将剩余保证金返还承包人。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黑体" w:hAnsi="宋体" w:eastAsia="黑体" w:cs="黑体"/>
          <w:b/>
          <w:bCs/>
          <w:color w:val="000000"/>
          <w:sz w:val="21"/>
          <w:szCs w:val="21"/>
        </w:rPr>
      </w:pPr>
      <w:r>
        <w:rPr>
          <w:rFonts w:ascii="Arial-BoldMT" w:hAnsi="Arial-BoldMT" w:eastAsia="Arial-BoldMT" w:cs="Arial-BoldMT"/>
          <w:b w:val="0"/>
          <w:bCs w:val="0"/>
          <w:color w:val="000000"/>
          <w:sz w:val="21"/>
          <w:szCs w:val="21"/>
        </w:rPr>
        <w:t>17.5</w:t>
      </w:r>
      <w:r>
        <w:rPr>
          <w:rFonts w:ascii="黑体" w:hAnsi="宋体" w:eastAsia="黑体" w:cs="黑体"/>
          <w:b/>
          <w:bCs/>
          <w:color w:val="000000"/>
          <w:sz w:val="21"/>
          <w:szCs w:val="21"/>
        </w:rPr>
        <w:t>．交工结算</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bCs/>
          <w:color w:val="000000"/>
          <w:sz w:val="21"/>
          <w:szCs w:val="21"/>
        </w:rPr>
      </w:pPr>
      <w:r>
        <w:rPr>
          <w:rFonts w:hint="default" w:ascii="Arial-BoldMT" w:hAnsi="Arial-BoldMT" w:eastAsia="Arial-BoldMT" w:cs="Arial-BoldMT"/>
          <w:b w:val="0"/>
          <w:bCs w:val="0"/>
          <w:color w:val="000000"/>
          <w:sz w:val="21"/>
          <w:szCs w:val="21"/>
        </w:rPr>
        <w:t xml:space="preserve"> </w:t>
      </w:r>
      <w:r>
        <w:rPr>
          <w:rFonts w:ascii="宋体" w:hAnsi="宋体" w:eastAsia="宋体" w:cs="宋体"/>
          <w:b/>
          <w:bCs/>
          <w:color w:val="000000"/>
          <w:sz w:val="21"/>
          <w:szCs w:val="21"/>
        </w:rPr>
        <w:t>17.5.1 交工付款申请单</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val="0"/>
          <w:bCs w:val="0"/>
          <w:color w:val="000000"/>
          <w:sz w:val="21"/>
          <w:szCs w:val="21"/>
        </w:rPr>
      </w:pPr>
      <w:r>
        <w:rPr>
          <w:rFonts w:ascii="宋体" w:hAnsi="宋体" w:eastAsia="宋体" w:cs="宋体"/>
          <w:b/>
          <w:bCs/>
          <w:color w:val="000000"/>
          <w:sz w:val="21"/>
          <w:szCs w:val="21"/>
        </w:rPr>
        <w:t xml:space="preserve"> </w:t>
      </w:r>
      <w:r>
        <w:rPr>
          <w:rFonts w:ascii="宋体" w:hAnsi="宋体" w:eastAsia="宋体" w:cs="宋体"/>
          <w:b w:val="0"/>
          <w:bCs w:val="0"/>
          <w:color w:val="000000"/>
          <w:sz w:val="21"/>
          <w:szCs w:val="21"/>
        </w:rPr>
        <w:t xml:space="preserve">本项（1）目约定为：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承包人向监理人提交交工付款申请单（包括相关证明材料）的份数在项目专用合同条款数据表中约定； 期限：交工验收证书签发后 42 天内。</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 xml:space="preserve">17.5.2 交工付款证书及支付时间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本项（2）目细化为：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发包人应在监理人出具交工付款证书且承包人提交了合格的增值税专用发票后的 14 天内，将应支付款支付给承包人。发包人不按期支付的，按第 17.3.3（2）目的约定，将逾期付款违约金支付给承包人。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17.6．最终结清</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 17.6.1 最终结清申请单</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val="0"/>
          <w:bCs w:val="0"/>
          <w:color w:val="000000"/>
          <w:sz w:val="21"/>
          <w:szCs w:val="21"/>
        </w:rPr>
      </w:pPr>
      <w:r>
        <w:rPr>
          <w:rFonts w:ascii="宋体" w:hAnsi="宋体" w:eastAsia="宋体" w:cs="宋体"/>
          <w:b/>
          <w:bCs/>
          <w:color w:val="000000"/>
          <w:sz w:val="21"/>
          <w:szCs w:val="21"/>
        </w:rPr>
        <w:t xml:space="preserve"> </w:t>
      </w:r>
      <w:r>
        <w:rPr>
          <w:rFonts w:ascii="宋体" w:hAnsi="宋体" w:eastAsia="宋体" w:cs="宋体"/>
          <w:b w:val="0"/>
          <w:bCs w:val="0"/>
          <w:color w:val="000000"/>
          <w:sz w:val="21"/>
          <w:szCs w:val="21"/>
        </w:rPr>
        <w:t>本项（1）目约定为：</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承包人向监理人提交最终结清申请单（包括相关证明材料）的份数在项目专用合同条款数据表中约定； 期限：缺陷责任期终止证书签发后 28 天内。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420" w:leftChars="200" w:right="0" w:rightChars="0" w:firstLine="0" w:firstLineChars="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最终结清申请单中的总金额应认为是代表了根据合同规定应付给承包人的全部款项的最后结算。 </w:t>
      </w:r>
      <w:r>
        <w:rPr>
          <w:rFonts w:ascii="宋体" w:hAnsi="宋体" w:eastAsia="宋体" w:cs="宋体"/>
          <w:b/>
          <w:bCs/>
          <w:color w:val="000000"/>
          <w:sz w:val="21"/>
          <w:szCs w:val="21"/>
        </w:rPr>
        <w:t xml:space="preserve">17.6.2 最终结清证书和支付时间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420" w:leftChars="200" w:right="0" w:rightChars="0" w:firstLine="0" w:firstLine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本项（2）目细化为：</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jc w:val="both"/>
        <w:rPr>
          <w:rFonts w:ascii="宋体" w:hAnsi="宋体" w:eastAsia="宋体" w:cs="宋体"/>
          <w:b w:val="0"/>
          <w:bCs w:val="0"/>
          <w:color w:val="000000"/>
          <w:sz w:val="21"/>
          <w:szCs w:val="21"/>
        </w:rPr>
      </w:pP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lang w:val="en-US" w:eastAsia="zh-CN"/>
        </w:rPr>
        <w:t>2</w:t>
      </w:r>
      <w:r>
        <w:rPr>
          <w:rFonts w:hint="eastAsia" w:ascii="宋体" w:hAnsi="宋体" w:eastAsia="宋体" w:cs="宋体"/>
          <w:b w:val="0"/>
          <w:bCs w:val="0"/>
          <w:color w:val="000000"/>
          <w:sz w:val="21"/>
          <w:szCs w:val="21"/>
          <w:lang w:eastAsia="zh-CN"/>
        </w:rPr>
        <w:t>）</w:t>
      </w:r>
      <w:r>
        <w:rPr>
          <w:rFonts w:ascii="宋体" w:hAnsi="宋体" w:eastAsia="宋体" w:cs="宋体"/>
          <w:b w:val="0"/>
          <w:bCs w:val="0"/>
          <w:color w:val="000000"/>
          <w:sz w:val="21"/>
          <w:szCs w:val="21"/>
        </w:rPr>
        <w:t>发包人应在监理人出具最终结清证书且承包人提交了合格的增值税专用发票后的 14 天内，</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将应支付款支付给承包人。发包人不按期支付的，按第 17.3.3（2）目的约定，将逾期付款违约金支付给承包人。 </w:t>
      </w:r>
    </w:p>
    <w:p>
      <w:pPr>
        <w:pStyle w:val="5"/>
        <w:keepNext w:val="0"/>
        <w:keepLines w:val="0"/>
        <w:pageBreakBefore w:val="0"/>
        <w:widowControl/>
        <w:numPr>
          <w:ilvl w:val="0"/>
          <w:numId w:val="23"/>
        </w:numPr>
        <w:suppressLineNumbers w:val="0"/>
        <w:kinsoku/>
        <w:overflowPunct/>
        <w:bidi w:val="0"/>
        <w:spacing w:before="0" w:beforeAutospacing="0" w:afterAutospacing="0" w:line="360" w:lineRule="auto"/>
        <w:ind w:left="420" w:leftChars="200" w:right="0" w:rightChars="0" w:firstLine="0" w:firstLineChars="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交工验收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18.2．交工验收申请报告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本款第（2）项约定为：</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竣工资料的内容：承包人应按照《公路工程竣（交）工验收办法》和相关规定编制竣工资料。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竣工资料的份数在项目专用合同条款数据表中约定。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211" w:firstLineChars="100"/>
        <w:jc w:val="both"/>
        <w:rPr>
          <w:rFonts w:ascii="宋体" w:hAnsi="宋体" w:eastAsia="宋体" w:cs="宋体"/>
          <w:b/>
          <w:bCs/>
          <w:color w:val="000000"/>
          <w:sz w:val="21"/>
          <w:szCs w:val="21"/>
        </w:rPr>
      </w:pPr>
      <w:r>
        <w:rPr>
          <w:rFonts w:ascii="宋体" w:hAnsi="宋体" w:eastAsia="宋体" w:cs="宋体"/>
          <w:b/>
          <w:bCs/>
          <w:color w:val="000000"/>
          <w:sz w:val="21"/>
          <w:szCs w:val="21"/>
        </w:rPr>
        <w:t>18.3．验收</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211" w:firstLineChars="100"/>
        <w:jc w:val="both"/>
        <w:rPr>
          <w:rFonts w:ascii="宋体" w:hAnsi="宋体" w:eastAsia="宋体" w:cs="宋体"/>
          <w:b w:val="0"/>
          <w:bCs w:val="0"/>
          <w:color w:val="000000"/>
          <w:sz w:val="21"/>
          <w:szCs w:val="21"/>
        </w:rPr>
      </w:pPr>
      <w:r>
        <w:rPr>
          <w:rFonts w:ascii="宋体" w:hAnsi="宋体" w:eastAsia="宋体" w:cs="宋体"/>
          <w:b/>
          <w:bCs/>
          <w:color w:val="000000"/>
          <w:sz w:val="21"/>
          <w:szCs w:val="21"/>
        </w:rPr>
        <w:t xml:space="preserve"> </w:t>
      </w:r>
      <w:r>
        <w:rPr>
          <w:rFonts w:ascii="宋体" w:hAnsi="宋体" w:eastAsia="宋体" w:cs="宋体"/>
          <w:b w:val="0"/>
          <w:bCs w:val="0"/>
          <w:color w:val="000000"/>
          <w:sz w:val="21"/>
          <w:szCs w:val="21"/>
        </w:rPr>
        <w:t>第 18.3.2 项补充：</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210" w:firstLineChars="1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交工验收由发包人主持，由发包人、监理人、质监、设计、施工、运营、管理养护等有关部门代表组 成交工验收小组，对本项目的工程质量进行评定，并写出交工验收报告报交通运输主管部门备案。承包人 应按发包人的要求提交竣工资料，完成交工验收准备工作。</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210" w:firstLineChars="1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第 18.3.5 项约定为：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经验收合格工程的实际交工日期，以最终提交交工验收申请报告的日期为准，并在交工验收证书中写明。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本款补充第 18.3.7 项：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组织办理交工验收和签发交工验收证书的费用由发包人承担。但按照第 18.3.4 项规定达不到合格标准 的交工验收费用由承包人承担。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本条补充第 18.9 款：</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210" w:firstLineChars="1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 xml:space="preserve">18.9．竣工文件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承包人应按照《公路工程竣（交）工验收办法》的相关规定，在缺陷责任期内为竣工验收补充竣工资料，并在签发缺陷责任期终止证书之前提交。</w:t>
      </w:r>
    </w:p>
    <w:p>
      <w:pPr>
        <w:pStyle w:val="5"/>
        <w:keepNext w:val="0"/>
        <w:keepLines w:val="0"/>
        <w:pageBreakBefore w:val="0"/>
        <w:widowControl/>
        <w:numPr>
          <w:ilvl w:val="0"/>
          <w:numId w:val="23"/>
        </w:numPr>
        <w:suppressLineNumbers w:val="0"/>
        <w:kinsoku/>
        <w:overflowPunct/>
        <w:bidi w:val="0"/>
        <w:spacing w:before="0" w:beforeAutospacing="0" w:afterAutospacing="0" w:line="360" w:lineRule="auto"/>
        <w:ind w:left="420" w:leftChars="200" w:right="0" w:rightChars="0" w:firstLine="0" w:firstLineChars="0"/>
        <w:jc w:val="both"/>
        <w:rPr>
          <w:rFonts w:ascii="宋体" w:hAnsi="宋体" w:eastAsia="宋体" w:cs="宋体"/>
          <w:b/>
          <w:bCs/>
          <w:color w:val="000000"/>
          <w:sz w:val="21"/>
          <w:szCs w:val="21"/>
        </w:rPr>
      </w:pPr>
      <w:r>
        <w:rPr>
          <w:rFonts w:ascii="宋体" w:hAnsi="宋体" w:eastAsia="宋体" w:cs="宋体"/>
          <w:b/>
          <w:bCs/>
          <w:color w:val="000000"/>
          <w:sz w:val="21"/>
          <w:szCs w:val="21"/>
        </w:rPr>
        <w:t>缺陷责任与保修责任</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 19.2．缺陷责任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第 19.2.2 项补充：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在缺陷责任期内，承包人应尽快完成在交工验收证书中写明的未完成工作，并完成对本工程缺陷的修复或监理人指令的修补工作。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360" w:firstLineChars="200"/>
        <w:jc w:val="both"/>
        <w:rPr>
          <w:rFonts w:ascii="宋体" w:hAnsi="宋体" w:eastAsia="宋体" w:cs="宋体"/>
          <w:b/>
          <w:bCs/>
          <w:color w:val="000000"/>
          <w:sz w:val="21"/>
          <w:szCs w:val="21"/>
        </w:rPr>
      </w:pPr>
      <w:r>
        <w:rPr>
          <w:rFonts w:hint="default" w:ascii="TimesNewRomanPSMT" w:hAnsi="TimesNewRomanPSMT" w:eastAsia="TimesNewRomanPSMT" w:cs="TimesNewRomanPSMT"/>
          <w:b w:val="0"/>
          <w:bCs w:val="0"/>
          <w:color w:val="000000"/>
          <w:sz w:val="18"/>
          <w:szCs w:val="18"/>
        </w:rPr>
        <w:t xml:space="preserve"> </w:t>
      </w:r>
      <w:r>
        <w:rPr>
          <w:rFonts w:ascii="宋体" w:hAnsi="宋体" w:eastAsia="宋体" w:cs="宋体"/>
          <w:b/>
          <w:bCs/>
          <w:color w:val="000000"/>
          <w:sz w:val="21"/>
          <w:szCs w:val="21"/>
        </w:rPr>
        <w:t xml:space="preserve">19.5．承包人的进入权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本款补充：</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承包人在缺陷修复施工过程中，应服从管养单位的有关安全管理规定，由于承包人自身原因造成的人员伤亡、设备和材料的损毁及罚款等责任由承包人自负。</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0" w:firstLineChars="2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 xml:space="preserve">19.7．保修责任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本款细化为： </w:t>
      </w:r>
    </w:p>
    <w:p>
      <w:pPr>
        <w:pStyle w:val="5"/>
        <w:keepNext w:val="0"/>
        <w:keepLines w:val="0"/>
        <w:pageBreakBefore w:val="0"/>
        <w:widowControl/>
        <w:numPr>
          <w:ilvl w:val="0"/>
          <w:numId w:val="27"/>
        </w:numPr>
        <w:suppressLineNumbers w:val="0"/>
        <w:kinsoku/>
        <w:overflowPunct/>
        <w:bidi w:val="0"/>
        <w:spacing w:before="0" w:beforeAutospacing="0" w:afterAutospacing="0" w:line="360" w:lineRule="auto"/>
        <w:ind w:leftChars="200" w:right="0" w:rightChars="0" w:firstLine="420" w:firstLineChars="200"/>
        <w:jc w:val="both"/>
        <w:rPr>
          <w:rFonts w:hint="eastAsia" w:ascii="宋体" w:hAnsi="宋体" w:eastAsia="宋体" w:cs="宋体"/>
          <w:b w:val="0"/>
          <w:bCs w:val="0"/>
          <w:color w:val="000000"/>
          <w:sz w:val="21"/>
          <w:szCs w:val="21"/>
          <w:lang w:eastAsia="zh-CN"/>
        </w:rPr>
      </w:pPr>
      <w:r>
        <w:rPr>
          <w:rFonts w:ascii="宋体" w:hAnsi="宋体" w:eastAsia="宋体" w:cs="宋体"/>
          <w:b w:val="0"/>
          <w:bCs w:val="0"/>
          <w:color w:val="000000"/>
          <w:sz w:val="21"/>
          <w:szCs w:val="21"/>
        </w:rPr>
        <w:t xml:space="preserve">保修期自实际交工日期起计算，具体期限在项目专用合同条款数据表中约定。保修期与缺陷责任期重叠的期间内，承包人的保修责任同缺陷责任。在缺陷责任期满后的保修期内，承包人可不在工地留有办事人员和机械设备，但必须随时与发包人保持联系，在保修期内承包人应对由于施工质量原因造成的损坏自费进行修复 </w:t>
      </w:r>
      <w:r>
        <w:rPr>
          <w:rFonts w:hint="eastAsia" w:ascii="宋体" w:hAnsi="宋体" w:eastAsia="宋体" w:cs="宋体"/>
          <w:b w:val="0"/>
          <w:bCs w:val="0"/>
          <w:color w:val="000000"/>
          <w:sz w:val="21"/>
          <w:szCs w:val="21"/>
          <w:lang w:eastAsia="zh-CN"/>
        </w:rPr>
        <w:t>。</w:t>
      </w:r>
    </w:p>
    <w:p>
      <w:pPr>
        <w:pStyle w:val="5"/>
        <w:keepNext w:val="0"/>
        <w:keepLines w:val="0"/>
        <w:pageBreakBefore w:val="0"/>
        <w:widowControl/>
        <w:numPr>
          <w:ilvl w:val="0"/>
          <w:numId w:val="27"/>
        </w:numPr>
        <w:suppressLineNumbers w:val="0"/>
        <w:kinsoku/>
        <w:overflowPunct/>
        <w:bidi w:val="0"/>
        <w:spacing w:before="0" w:beforeAutospacing="0" w:afterAutospacing="0" w:line="360" w:lineRule="auto"/>
        <w:ind w:left="420" w:leftChars="20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在全部工程交工验收前，已经发包人提前验收的单位工程，其保修期的起算日期相应提前。 </w:t>
      </w:r>
      <w:r>
        <w:rPr>
          <w:rFonts w:hint="eastAsia" w:ascii="宋体" w:hAnsi="宋体" w:eastAsia="宋体" w:cs="宋体"/>
          <w:b w:val="0"/>
          <w:bCs w:val="0"/>
          <w:color w:val="000000"/>
          <w:sz w:val="21"/>
          <w:szCs w:val="21"/>
          <w:lang w:val="en-US" w:eastAsia="zh-CN"/>
        </w:rPr>
        <w:t xml:space="preserve">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 xml:space="preserve"> </w:t>
      </w:r>
      <w:r>
        <w:rPr>
          <w:rFonts w:ascii="宋体" w:hAnsi="宋体" w:eastAsia="宋体" w:cs="宋体"/>
          <w:b w:val="0"/>
          <w:bCs w:val="0"/>
          <w:color w:val="000000"/>
          <w:sz w:val="21"/>
          <w:szCs w:val="21"/>
        </w:rPr>
        <w:t xml:space="preserve">（3）工程保修期终止后 28 天内，监理人签发保修期终止证书。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（4）若承包人不履行保修义务和责任，则承包人应承担由于违约造成的法律后果，并由发包人将其违约行为上报省级交通运输主管部门，作为不良记录纳入</w:t>
      </w:r>
      <w:r>
        <w:rPr>
          <w:rFonts w:hint="eastAsia" w:ascii="宋体" w:hAnsi="宋体" w:eastAsia="宋体" w:cs="宋体"/>
          <w:b w:val="0"/>
          <w:bCs w:val="0"/>
          <w:color w:val="000000"/>
          <w:sz w:val="21"/>
          <w:szCs w:val="21"/>
          <w:lang w:eastAsia="zh-CN"/>
        </w:rPr>
        <w:t>全国公路建设市场监督管理系统</w:t>
      </w:r>
      <w:r>
        <w:rPr>
          <w:rFonts w:ascii="宋体" w:hAnsi="宋体" w:eastAsia="宋体" w:cs="宋体"/>
          <w:b w:val="0"/>
          <w:bCs w:val="0"/>
          <w:color w:val="000000"/>
          <w:sz w:val="21"/>
          <w:szCs w:val="21"/>
        </w:rPr>
        <w:t>。</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 xml:space="preserve">20．保险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20.1．工程保险</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val="0"/>
          <w:bCs w:val="0"/>
          <w:color w:val="000000"/>
          <w:sz w:val="21"/>
          <w:szCs w:val="21"/>
        </w:rPr>
      </w:pPr>
      <w:r>
        <w:rPr>
          <w:rFonts w:ascii="宋体" w:hAnsi="宋体" w:eastAsia="宋体" w:cs="宋体"/>
          <w:b/>
          <w:bCs/>
          <w:color w:val="000000"/>
          <w:sz w:val="21"/>
          <w:szCs w:val="21"/>
        </w:rPr>
        <w:t xml:space="preserve"> </w:t>
      </w:r>
      <w:r>
        <w:rPr>
          <w:rFonts w:ascii="宋体" w:hAnsi="宋体" w:eastAsia="宋体" w:cs="宋体"/>
          <w:b w:val="0"/>
          <w:bCs w:val="0"/>
          <w:color w:val="000000"/>
          <w:sz w:val="21"/>
          <w:szCs w:val="21"/>
        </w:rPr>
        <w:t>本款约定为：</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建筑工程一切险的投保内容：为本合同工程的永久工程、临时工程和设备及已运至施工工地用于永久工程的材料和设备所投的保险。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保险金额：工程量清单第 100 章（不含建筑工程一切险及第三者责任险的保险费）至第 700 章的合计金额。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保险费率：在项目专用合同条款数据表中约定。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保险期限：开工日起直至本合同工程签发缺陷责任期终止证书止（即合同工期＋缺陷责任期）。</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承包人应以发包人和承包人的共同名义投保建筑工程一切险。建筑工程一切险的保险费由承包人报价时列入工程量清单第 100 章内。发包人在接到保险单后，将按照保险单的费用直接向承包人支付。 </w:t>
      </w:r>
      <w:r>
        <w:rPr>
          <w:rFonts w:ascii="宋体" w:hAnsi="宋体" w:eastAsia="宋体" w:cs="宋体"/>
          <w:b/>
          <w:bCs/>
          <w:color w:val="000000"/>
          <w:sz w:val="21"/>
          <w:szCs w:val="21"/>
        </w:rPr>
        <w:t>20.4．第三者责任险</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val="0"/>
          <w:bCs w:val="0"/>
          <w:color w:val="000000"/>
          <w:sz w:val="21"/>
          <w:szCs w:val="21"/>
        </w:rPr>
      </w:pPr>
      <w:r>
        <w:rPr>
          <w:rFonts w:ascii="宋体" w:hAnsi="宋体" w:eastAsia="宋体" w:cs="宋体"/>
          <w:b/>
          <w:bCs/>
          <w:color w:val="000000"/>
          <w:sz w:val="21"/>
          <w:szCs w:val="21"/>
        </w:rPr>
        <w:t xml:space="preserve"> </w:t>
      </w:r>
      <w:r>
        <w:rPr>
          <w:rFonts w:ascii="宋体" w:hAnsi="宋体" w:eastAsia="宋体" w:cs="宋体"/>
          <w:b w:val="0"/>
          <w:bCs w:val="0"/>
          <w:color w:val="000000"/>
          <w:sz w:val="21"/>
          <w:szCs w:val="21"/>
        </w:rPr>
        <w:t>第 20.4.2 项补充：</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第三者责任险的保险费由承包人报价时列入工程量清单第 100 章内。发包人在接到保险单后，将按照保险单的费用直接向承包人支付。</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 xml:space="preserve">20.5．其他保险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本款约定为：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承包人应为其施工设备等办理保险，其投保金额应足以现场重置。办理本款保险的一切费用均由承包人承担，并包括在工程量清单的单价及总额价中，发包人不单独支付。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hint="default" w:ascii="Arial-BoldMT" w:hAnsi="Arial-BoldMT" w:eastAsia="Arial-BoldMT" w:cs="Arial-BoldMT"/>
          <w:b w:val="0"/>
          <w:bCs w:val="0"/>
          <w:color w:val="000000"/>
          <w:sz w:val="21"/>
          <w:szCs w:val="21"/>
        </w:rPr>
      </w:pPr>
      <w:r>
        <w:rPr>
          <w:rFonts w:hint="default" w:ascii="宋体" w:hAnsi="宋体" w:eastAsia="宋体" w:cs="宋体"/>
          <w:b w:val="0"/>
          <w:bCs w:val="0"/>
          <w:color w:val="000000"/>
          <w:sz w:val="21"/>
          <w:szCs w:val="21"/>
        </w:rPr>
        <w:t>20.6</w:t>
      </w:r>
      <w:r>
        <w:rPr>
          <w:rFonts w:ascii="宋体" w:hAnsi="宋体" w:eastAsia="宋体" w:cs="宋体"/>
          <w:b w:val="0"/>
          <w:bCs w:val="0"/>
          <w:color w:val="000000"/>
          <w:sz w:val="21"/>
          <w:szCs w:val="21"/>
        </w:rPr>
        <w:t>．</w:t>
      </w:r>
      <w:r>
        <w:rPr>
          <w:rFonts w:ascii="黑体" w:hAnsi="宋体" w:eastAsia="黑体" w:cs="黑体"/>
          <w:b/>
          <w:bCs/>
          <w:color w:val="000000"/>
          <w:sz w:val="21"/>
          <w:szCs w:val="21"/>
        </w:rPr>
        <w:t>对各项保险的一般要求</w:t>
      </w:r>
      <w:r>
        <w:rPr>
          <w:rFonts w:hint="default" w:ascii="Arial-BoldMT" w:hAnsi="Arial-BoldMT" w:eastAsia="Arial-BoldMT" w:cs="Arial-BoldMT"/>
          <w:b w:val="0"/>
          <w:bCs w:val="0"/>
          <w:color w:val="000000"/>
          <w:sz w:val="21"/>
          <w:szCs w:val="21"/>
        </w:rPr>
        <w:t xml:space="preserve">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20.6.1 保险凭证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本项约定为：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承包人向发包人提交各项保险生效的证据和保险单副本的期限：开工后 56 天内。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20.6.3 持续保险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本项补充：</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在整个合同期内，承包人应按合同条款规定保证足够的保险额。</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 xml:space="preserve">20.6.4 保险金不足的补偿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本项细化为：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保险金不足以补偿损失的（包括免赔额和超过赔偿限额的部分），应由承包人和（或）发包人按合同约定负责补偿。</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20.6.5 未按约定投保的补救</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val="0"/>
          <w:bCs w:val="0"/>
          <w:color w:val="000000"/>
          <w:sz w:val="21"/>
          <w:szCs w:val="21"/>
        </w:rPr>
      </w:pPr>
      <w:r>
        <w:rPr>
          <w:rFonts w:ascii="宋体" w:hAnsi="宋体" w:eastAsia="宋体" w:cs="宋体"/>
          <w:b/>
          <w:bCs/>
          <w:color w:val="000000"/>
          <w:sz w:val="21"/>
          <w:szCs w:val="21"/>
        </w:rPr>
        <w:t xml:space="preserve"> </w:t>
      </w:r>
      <w:r>
        <w:rPr>
          <w:rFonts w:ascii="宋体" w:hAnsi="宋体" w:eastAsia="宋体" w:cs="宋体"/>
          <w:b w:val="0"/>
          <w:bCs w:val="0"/>
          <w:color w:val="000000"/>
          <w:sz w:val="21"/>
          <w:szCs w:val="21"/>
        </w:rPr>
        <w:t xml:space="preserve">本项（2）目细化为：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lang w:val="en-US" w:eastAsia="zh-CN"/>
        </w:rPr>
        <w:t>2</w:t>
      </w:r>
      <w:r>
        <w:rPr>
          <w:rFonts w:hint="eastAsia" w:ascii="宋体" w:hAnsi="宋体" w:eastAsia="宋体" w:cs="宋体"/>
          <w:b w:val="0"/>
          <w:bCs w:val="0"/>
          <w:color w:val="000000"/>
          <w:sz w:val="21"/>
          <w:szCs w:val="21"/>
          <w:lang w:eastAsia="zh-CN"/>
        </w:rPr>
        <w:t>）</w:t>
      </w:r>
      <w:r>
        <w:rPr>
          <w:rFonts w:ascii="宋体" w:hAnsi="宋体" w:eastAsia="宋体" w:cs="宋体"/>
          <w:b w:val="0"/>
          <w:bCs w:val="0"/>
          <w:color w:val="000000"/>
          <w:sz w:val="21"/>
          <w:szCs w:val="21"/>
        </w:rPr>
        <w:t>由于负有投保义务的一方当事人未按合同约定办理某项保险，或未按保险单规定的条件和期限及时向保险人报告事故情况，或未按要求的保险期限进行投保，或未按要求投保足够的保险金额，导致受益人未能或未能全部得到保险人的赔偿，原应从该项保险得到的保险金应由负有投保义务的一方当事人支付。</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jc w:val="both"/>
        <w:rPr>
          <w:rFonts w:ascii="宋体" w:hAnsi="宋体" w:eastAsia="宋体" w:cs="宋体"/>
          <w:b/>
          <w:bCs/>
          <w:color w:val="000000"/>
          <w:sz w:val="21"/>
          <w:szCs w:val="21"/>
        </w:rPr>
      </w:pPr>
      <w:r>
        <w:rPr>
          <w:rFonts w:hint="eastAsia" w:ascii="宋体" w:hAnsi="宋体" w:eastAsia="宋体" w:cs="宋体"/>
          <w:b/>
          <w:bCs/>
          <w:color w:val="000000"/>
          <w:sz w:val="21"/>
          <w:szCs w:val="21"/>
          <w:lang w:val="en-US" w:eastAsia="zh-CN"/>
        </w:rPr>
        <w:t>21.</w:t>
      </w:r>
      <w:r>
        <w:rPr>
          <w:rFonts w:ascii="宋体" w:hAnsi="宋体" w:eastAsia="宋体" w:cs="宋体"/>
          <w:b/>
          <w:bCs/>
          <w:color w:val="000000"/>
          <w:sz w:val="21"/>
          <w:szCs w:val="21"/>
        </w:rPr>
        <w:t xml:space="preserve">不可抗力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632" w:firstLineChars="300"/>
        <w:jc w:val="both"/>
        <w:rPr>
          <w:rFonts w:ascii="宋体" w:hAnsi="宋体" w:eastAsia="宋体" w:cs="宋体"/>
          <w:b/>
          <w:bCs/>
          <w:color w:val="000000"/>
          <w:sz w:val="21"/>
          <w:szCs w:val="21"/>
        </w:rPr>
      </w:pPr>
      <w:r>
        <w:rPr>
          <w:rFonts w:ascii="宋体" w:hAnsi="宋体" w:eastAsia="宋体" w:cs="宋体"/>
          <w:b/>
          <w:bCs/>
          <w:color w:val="000000"/>
          <w:sz w:val="21"/>
          <w:szCs w:val="21"/>
        </w:rPr>
        <w:t>21.1．不可抗力的确认</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val="0"/>
          <w:bCs w:val="0"/>
          <w:color w:val="000000"/>
          <w:sz w:val="21"/>
          <w:szCs w:val="21"/>
        </w:rPr>
      </w:pPr>
      <w:r>
        <w:rPr>
          <w:rFonts w:ascii="宋体" w:hAnsi="宋体" w:eastAsia="宋体" w:cs="宋体"/>
          <w:b/>
          <w:bCs/>
          <w:color w:val="000000"/>
          <w:sz w:val="21"/>
          <w:szCs w:val="21"/>
        </w:rPr>
        <w:t xml:space="preserve"> </w:t>
      </w:r>
      <w:r>
        <w:rPr>
          <w:rFonts w:ascii="宋体" w:hAnsi="宋体" w:eastAsia="宋体" w:cs="宋体"/>
          <w:b w:val="0"/>
          <w:bCs w:val="0"/>
          <w:color w:val="000000"/>
          <w:sz w:val="21"/>
          <w:szCs w:val="21"/>
        </w:rPr>
        <w:t xml:space="preserve">第 21.1.1 项细化为：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不可抗力是指承包人和发包人在订立合同时不可预见，在工程施工过程中不可避免发生并不能克服的自然灾害和社会性突发事件。包括但不限于：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lang w:val="en-US" w:eastAsia="zh-CN"/>
        </w:rPr>
        <w:t>1）</w:t>
      </w:r>
      <w:r>
        <w:rPr>
          <w:rFonts w:hint="eastAsia" w:ascii="宋体" w:hAnsi="宋体" w:eastAsia="宋体" w:cs="宋体"/>
          <w:b w:val="0"/>
          <w:bCs w:val="0"/>
          <w:color w:val="000000"/>
          <w:sz w:val="21"/>
          <w:szCs w:val="21"/>
          <w:lang w:eastAsia="zh-CN"/>
        </w:rPr>
        <w:t>）</w:t>
      </w:r>
      <w:r>
        <w:rPr>
          <w:rFonts w:ascii="宋体" w:hAnsi="宋体" w:eastAsia="宋体" w:cs="宋体"/>
          <w:b w:val="0"/>
          <w:bCs w:val="0"/>
          <w:color w:val="000000"/>
          <w:sz w:val="21"/>
          <w:szCs w:val="21"/>
        </w:rPr>
        <w:t>地震、海啸、火山爆发、泥石流、暴雨（雪）、台风、龙卷风、水灾等自然灾害；</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lang w:val="en-US" w:eastAsia="zh-CN"/>
        </w:rPr>
        <w:t>2）</w:t>
      </w:r>
      <w:r>
        <w:rPr>
          <w:rFonts w:hint="eastAsia" w:ascii="宋体" w:hAnsi="宋体" w:eastAsia="宋体" w:cs="宋体"/>
          <w:b w:val="0"/>
          <w:bCs w:val="0"/>
          <w:color w:val="000000"/>
          <w:sz w:val="21"/>
          <w:szCs w:val="21"/>
          <w:lang w:eastAsia="zh-CN"/>
        </w:rPr>
        <w:t>）</w:t>
      </w:r>
      <w:r>
        <w:rPr>
          <w:rFonts w:ascii="宋体" w:hAnsi="宋体" w:eastAsia="宋体" w:cs="宋体"/>
          <w:b w:val="0"/>
          <w:bCs w:val="0"/>
          <w:color w:val="000000"/>
          <w:sz w:val="21"/>
          <w:szCs w:val="21"/>
        </w:rPr>
        <w:t>战争、骚乱、暴动，但纯属承包人或其分包人派遣与雇用的人员由于本合同工程施工原</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因引起者除外；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lang w:val="en-US" w:eastAsia="zh-CN"/>
        </w:rPr>
        <w:t>3</w:t>
      </w:r>
      <w:r>
        <w:rPr>
          <w:rFonts w:hint="eastAsia" w:ascii="宋体" w:hAnsi="宋体" w:eastAsia="宋体" w:cs="宋体"/>
          <w:b w:val="0"/>
          <w:bCs w:val="0"/>
          <w:color w:val="000000"/>
          <w:sz w:val="21"/>
          <w:szCs w:val="21"/>
          <w:lang w:eastAsia="zh-CN"/>
        </w:rPr>
        <w:t>）</w:t>
      </w:r>
      <w:r>
        <w:rPr>
          <w:rFonts w:ascii="宋体" w:hAnsi="宋体" w:eastAsia="宋体" w:cs="宋体"/>
          <w:b w:val="0"/>
          <w:bCs w:val="0"/>
          <w:color w:val="000000"/>
          <w:sz w:val="21"/>
          <w:szCs w:val="21"/>
        </w:rPr>
        <w:t xml:space="preserve">核反应、辐射或放射性污染；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（4）空中飞行物体坠落或非发包人或承包人责任造成的爆炸、火灾；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（5）瘟疫；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（6）项目专用合同条款约定的其他情形。</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21.3．不可抗力后果及其处理</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 21.3.4 因不可抗力解除合同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本项细化为：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合同一方当事人因不可抗力不能履行合同的，应当及时通知对方解除合同。合同解除后，承包人应按照第 22.2.5 项约定撤离施工场地。已经订货的材料、设备由订货方负责退货或解除订货合同，不能退还的货款和因退货、解除订货合同发生的费用，由发包人承担，因未及时退货造成的损失由责任方承担。合同解除后的付款，参照第 22.2.4 项约定，由监理人按第 3.5 款商定或确定，但由于解除合同应赔偿的承包人损失不予考虑。 </w:t>
      </w:r>
    </w:p>
    <w:p>
      <w:pPr>
        <w:pStyle w:val="5"/>
        <w:keepNext w:val="0"/>
        <w:keepLines w:val="0"/>
        <w:pageBreakBefore w:val="0"/>
        <w:widowControl/>
        <w:numPr>
          <w:ilvl w:val="0"/>
          <w:numId w:val="28"/>
        </w:numPr>
        <w:suppressLineNumbers w:val="0"/>
        <w:kinsoku/>
        <w:overflowPunct/>
        <w:bidi w:val="0"/>
        <w:spacing w:before="0" w:beforeAutospacing="0" w:afterAutospacing="0" w:line="360" w:lineRule="auto"/>
        <w:ind w:right="0" w:rightChars="0" w:firstLine="632" w:firstLineChars="300"/>
        <w:jc w:val="both"/>
        <w:rPr>
          <w:rFonts w:ascii="宋体" w:hAnsi="宋体" w:eastAsia="宋体" w:cs="宋体"/>
          <w:b/>
          <w:bCs/>
          <w:color w:val="000000"/>
          <w:sz w:val="21"/>
          <w:szCs w:val="21"/>
        </w:rPr>
      </w:pPr>
      <w:r>
        <w:rPr>
          <w:rFonts w:ascii="宋体" w:hAnsi="宋体" w:eastAsia="宋体" w:cs="宋体"/>
          <w:b/>
          <w:bCs/>
          <w:color w:val="000000"/>
          <w:sz w:val="21"/>
          <w:szCs w:val="21"/>
        </w:rPr>
        <w:t>违约 22.1．承包人违约 22.1.1 承包人违约的情形</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422" w:firstLineChars="200"/>
        <w:jc w:val="both"/>
        <w:rPr>
          <w:rFonts w:ascii="宋体" w:hAnsi="宋体" w:eastAsia="宋体" w:cs="宋体"/>
          <w:b w:val="0"/>
          <w:bCs w:val="0"/>
          <w:color w:val="000000"/>
          <w:sz w:val="21"/>
          <w:szCs w:val="21"/>
        </w:rPr>
      </w:pPr>
      <w:r>
        <w:rPr>
          <w:rFonts w:ascii="宋体" w:hAnsi="宋体" w:eastAsia="宋体" w:cs="宋体"/>
          <w:b/>
          <w:bCs/>
          <w:color w:val="000000"/>
          <w:sz w:val="21"/>
          <w:szCs w:val="21"/>
        </w:rPr>
        <w:t xml:space="preserve"> </w:t>
      </w:r>
      <w:r>
        <w:rPr>
          <w:rFonts w:ascii="宋体" w:hAnsi="宋体" w:eastAsia="宋体" w:cs="宋体"/>
          <w:b w:val="0"/>
          <w:bCs w:val="0"/>
          <w:color w:val="000000"/>
          <w:sz w:val="21"/>
          <w:szCs w:val="21"/>
        </w:rPr>
        <w:t xml:space="preserve">本项（2）目细化为： </w:t>
      </w:r>
    </w:p>
    <w:p>
      <w:pPr>
        <w:pStyle w:val="5"/>
        <w:keepNext w:val="0"/>
        <w:keepLines w:val="0"/>
        <w:pageBreakBefore w:val="0"/>
        <w:widowControl/>
        <w:numPr>
          <w:ilvl w:val="0"/>
          <w:numId w:val="27"/>
        </w:numPr>
        <w:suppressLineNumbers w:val="0"/>
        <w:kinsoku/>
        <w:overflowPunct/>
        <w:bidi w:val="0"/>
        <w:spacing w:before="0" w:beforeAutospacing="0" w:afterAutospacing="0" w:line="360" w:lineRule="auto"/>
        <w:ind w:left="420" w:leftChars="20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承包人违反第 5.3 款或第 6.4 款的约定，未经监理人批准，私自将已按合同约定进入施工场地的 施工设备、临时设施、材料或工程设备撤离施工场地；</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40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本项（7）目细化为：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jc w:val="both"/>
        <w:rPr>
          <w:rFonts w:ascii="宋体" w:hAnsi="宋体" w:eastAsia="宋体" w:cs="宋体"/>
          <w:b w:val="0"/>
          <w:bCs w:val="0"/>
          <w:color w:val="000000"/>
          <w:sz w:val="21"/>
          <w:szCs w:val="21"/>
        </w:rPr>
      </w:pP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lang w:val="en-US" w:eastAsia="zh-CN"/>
        </w:rPr>
        <w:t>7</w:t>
      </w:r>
      <w:r>
        <w:rPr>
          <w:rFonts w:hint="eastAsia" w:ascii="宋体" w:hAnsi="宋体" w:eastAsia="宋体" w:cs="宋体"/>
          <w:b w:val="0"/>
          <w:bCs w:val="0"/>
          <w:color w:val="000000"/>
          <w:sz w:val="21"/>
          <w:szCs w:val="21"/>
          <w:lang w:eastAsia="zh-CN"/>
        </w:rPr>
        <w:t>）</w:t>
      </w:r>
      <w:r>
        <w:rPr>
          <w:rFonts w:ascii="宋体" w:hAnsi="宋体" w:eastAsia="宋体" w:cs="宋体"/>
          <w:b w:val="0"/>
          <w:bCs w:val="0"/>
          <w:color w:val="000000"/>
          <w:sz w:val="21"/>
          <w:szCs w:val="21"/>
        </w:rPr>
        <w:t>承包人未能按期开工；</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（8）承包人违反第 4.6 款或第 6.3 款的规定，未按承诺或未按监理人的要求及时配备称职的主</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要管理人员、技术骨干或关键施工设备；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（9）经监理人和发包人检查，发现承包人有安全问题或有违反安全管理规章制度的情况；</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（10）承包人不按合同约定履行义务的其他情况。</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22.1.2 对承包人违约的处理</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525" w:leftChars="0" w:right="0" w:rightChars="0"/>
        <w:jc w:val="both"/>
        <w:rPr>
          <w:rFonts w:ascii="宋体" w:hAnsi="宋体" w:eastAsia="宋体" w:cs="宋体"/>
          <w:b w:val="0"/>
          <w:bCs w:val="0"/>
          <w:color w:val="000000"/>
          <w:sz w:val="21"/>
          <w:szCs w:val="21"/>
        </w:rPr>
      </w:pPr>
      <w:r>
        <w:rPr>
          <w:rFonts w:ascii="宋体" w:hAnsi="宋体" w:eastAsia="宋体" w:cs="宋体"/>
          <w:b/>
          <w:bCs/>
          <w:color w:val="000000"/>
          <w:sz w:val="21"/>
          <w:szCs w:val="21"/>
        </w:rPr>
        <w:t xml:space="preserve"> </w:t>
      </w:r>
      <w:r>
        <w:rPr>
          <w:rFonts w:ascii="宋体" w:hAnsi="宋体" w:eastAsia="宋体" w:cs="宋体"/>
          <w:b w:val="0"/>
          <w:bCs w:val="0"/>
          <w:color w:val="000000"/>
          <w:sz w:val="21"/>
          <w:szCs w:val="21"/>
        </w:rPr>
        <w:t>本项补充：</w:t>
      </w:r>
    </w:p>
    <w:p>
      <w:pPr>
        <w:pStyle w:val="5"/>
        <w:keepNext w:val="0"/>
        <w:keepLines w:val="0"/>
        <w:pageBreakBefore w:val="0"/>
        <w:widowControl/>
        <w:numPr>
          <w:ilvl w:val="0"/>
          <w:numId w:val="27"/>
        </w:numPr>
        <w:suppressLineNumbers w:val="0"/>
        <w:kinsoku/>
        <w:overflowPunct/>
        <w:bidi w:val="0"/>
        <w:spacing w:before="0" w:beforeAutospacing="0" w:afterAutospacing="0" w:line="360" w:lineRule="auto"/>
        <w:ind w:left="420" w:leftChars="20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承包人发生第 22.1.1 项约定的违约情况时，无论发包人是否解除合同，发包人均有权向承包人 课以项目专用合同条款中规定的违约金，并由发包人将其违约行为上报省级交通运输主管部门，作为不良记录纳入</w:t>
      </w:r>
      <w:r>
        <w:rPr>
          <w:rFonts w:hint="eastAsia" w:ascii="宋体" w:hAnsi="宋体" w:eastAsia="宋体" w:cs="宋体"/>
          <w:b w:val="0"/>
          <w:bCs w:val="0"/>
          <w:color w:val="000000"/>
          <w:sz w:val="21"/>
          <w:szCs w:val="21"/>
          <w:lang w:eastAsia="zh-CN"/>
        </w:rPr>
        <w:t>全国公路建设市场监督管理系统</w:t>
      </w:r>
      <w:r>
        <w:rPr>
          <w:rFonts w:ascii="宋体" w:hAnsi="宋体" w:eastAsia="宋体" w:cs="宋体"/>
          <w:b w:val="0"/>
          <w:bCs w:val="0"/>
          <w:color w:val="000000"/>
          <w:sz w:val="21"/>
          <w:szCs w:val="21"/>
        </w:rPr>
        <w:t>。</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400" w:right="0" w:rightChars="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 xml:space="preserve">22.2．发包人违约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400" w:right="0" w:rightChars="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22.2.1 发包人违约的情形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400"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本项（5）目细化为： </w:t>
      </w:r>
    </w:p>
    <w:p>
      <w:pPr>
        <w:pStyle w:val="5"/>
        <w:keepNext w:val="0"/>
        <w:keepLines w:val="0"/>
        <w:pageBreakBefore w:val="0"/>
        <w:widowControl/>
        <w:numPr>
          <w:ilvl w:val="0"/>
          <w:numId w:val="27"/>
        </w:numPr>
        <w:suppressLineNumbers w:val="0"/>
        <w:kinsoku/>
        <w:overflowPunct/>
        <w:bidi w:val="0"/>
        <w:spacing w:before="0" w:beforeAutospacing="0" w:afterAutospacing="0" w:line="360" w:lineRule="auto"/>
        <w:ind w:left="420" w:leftChars="20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发包人无正当理由不按时返还履约保证金、质量保证金或农民工工资保证金的；</w:t>
      </w:r>
    </w:p>
    <w:p>
      <w:pPr>
        <w:pStyle w:val="5"/>
        <w:keepNext w:val="0"/>
        <w:keepLines w:val="0"/>
        <w:pageBreakBefore w:val="0"/>
        <w:widowControl/>
        <w:numPr>
          <w:ilvl w:val="0"/>
          <w:numId w:val="27"/>
        </w:numPr>
        <w:suppressLineNumbers w:val="0"/>
        <w:kinsoku/>
        <w:overflowPunct/>
        <w:bidi w:val="0"/>
        <w:spacing w:before="0" w:beforeAutospacing="0" w:afterAutospacing="0" w:line="360" w:lineRule="auto"/>
        <w:ind w:left="420" w:leftChars="20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发包人不履行合同约定其他义务的。</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400" w:right="0" w:rightChars="0"/>
        <w:jc w:val="both"/>
        <w:rPr>
          <w:rFonts w:ascii="宋体" w:hAnsi="宋体" w:eastAsia="宋体" w:cs="宋体"/>
          <w:b/>
          <w:bCs/>
          <w:color w:val="000000"/>
          <w:sz w:val="21"/>
          <w:szCs w:val="21"/>
        </w:rPr>
      </w:pPr>
      <w:r>
        <w:rPr>
          <w:rFonts w:ascii="宋体" w:hAnsi="宋体" w:eastAsia="宋体" w:cs="宋体"/>
          <w:b/>
          <w:bCs/>
          <w:color w:val="000000"/>
          <w:sz w:val="21"/>
          <w:szCs w:val="21"/>
        </w:rPr>
        <w:t>22.2.2 承包人有权暂停施工</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632" w:firstLineChars="300"/>
        <w:jc w:val="both"/>
        <w:rPr>
          <w:rFonts w:ascii="宋体" w:hAnsi="宋体" w:eastAsia="宋体" w:cs="宋体"/>
          <w:b w:val="0"/>
          <w:bCs w:val="0"/>
          <w:color w:val="000000"/>
          <w:sz w:val="21"/>
          <w:szCs w:val="21"/>
        </w:rPr>
      </w:pPr>
      <w:r>
        <w:rPr>
          <w:rFonts w:ascii="宋体" w:hAnsi="宋体" w:eastAsia="宋体" w:cs="宋体"/>
          <w:b/>
          <w:bCs/>
          <w:color w:val="000000"/>
          <w:sz w:val="21"/>
          <w:szCs w:val="21"/>
        </w:rPr>
        <w:t xml:space="preserve"> </w:t>
      </w:r>
      <w:r>
        <w:rPr>
          <w:rFonts w:ascii="宋体" w:hAnsi="宋体" w:eastAsia="宋体" w:cs="宋体"/>
          <w:b w:val="0"/>
          <w:bCs w:val="0"/>
          <w:color w:val="000000"/>
          <w:sz w:val="21"/>
          <w:szCs w:val="21"/>
        </w:rPr>
        <w:t xml:space="preserve">本项细化为：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630" w:firstLineChars="3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发包人发生除第 22.2.1（4）、（5）目以外的违约情况时，承包人可向发包人发出通知，要求</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发包人采取有效措施纠正违约行为。发包人收到承包人通知后的 28 天内仍不履行合同义务，承包人有权暂停施工， 并通知监理人，发包人应承担由此增加的费用和（或）工期延误，并支付承包人合理利润。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630" w:firstLineChars="3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发包人发生第 22.2.1（5）目的违约情况时，承包人可向发包人发出通知，要求发包人采取有效措施纠正违约行为。发包人收到承包人通知后的 28 天内仍不返还履约保证金、质量保证金或农民工工资保证金的， 发包人应按项目专用合同条款的约定向承包人支付逾期返还保证金的违约金。</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630" w:firstLineChars="3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22.2.4 解除合同后的付款</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632" w:firstLineChars="300"/>
        <w:jc w:val="both"/>
        <w:rPr>
          <w:rFonts w:ascii="宋体" w:hAnsi="宋体" w:eastAsia="宋体" w:cs="宋体"/>
          <w:b w:val="0"/>
          <w:bCs w:val="0"/>
          <w:color w:val="000000"/>
          <w:sz w:val="21"/>
          <w:szCs w:val="21"/>
        </w:rPr>
      </w:pPr>
      <w:r>
        <w:rPr>
          <w:rFonts w:ascii="宋体" w:hAnsi="宋体" w:eastAsia="宋体" w:cs="宋体"/>
          <w:b/>
          <w:bCs/>
          <w:color w:val="000000"/>
          <w:sz w:val="21"/>
          <w:szCs w:val="21"/>
        </w:rPr>
        <w:t xml:space="preserve"> </w:t>
      </w:r>
      <w:r>
        <w:rPr>
          <w:rFonts w:ascii="宋体" w:hAnsi="宋体" w:eastAsia="宋体" w:cs="宋体"/>
          <w:b w:val="0"/>
          <w:bCs w:val="0"/>
          <w:color w:val="000000"/>
          <w:sz w:val="21"/>
          <w:szCs w:val="21"/>
        </w:rPr>
        <w:t>本项（2）目细化为：</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jc w:val="both"/>
        <w:rPr>
          <w:rFonts w:ascii="黑体" w:hAnsi="宋体" w:eastAsia="黑体" w:cs="黑体"/>
          <w:b w:val="0"/>
          <w:bCs w:val="0"/>
          <w:color w:val="000000"/>
          <w:sz w:val="21"/>
          <w:szCs w:val="21"/>
        </w:rPr>
      </w:pP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lang w:val="en-US" w:eastAsia="zh-CN"/>
        </w:rPr>
        <w:t>2</w:t>
      </w:r>
      <w:r>
        <w:rPr>
          <w:rFonts w:hint="eastAsia" w:ascii="宋体" w:hAnsi="宋体" w:eastAsia="宋体" w:cs="宋体"/>
          <w:b w:val="0"/>
          <w:bCs w:val="0"/>
          <w:color w:val="000000"/>
          <w:sz w:val="21"/>
          <w:szCs w:val="21"/>
          <w:lang w:eastAsia="zh-CN"/>
        </w:rPr>
        <w:t>）</w:t>
      </w:r>
      <w:r>
        <w:rPr>
          <w:rFonts w:ascii="宋体" w:hAnsi="宋体" w:eastAsia="宋体" w:cs="宋体"/>
          <w:b w:val="0"/>
          <w:bCs w:val="0"/>
          <w:color w:val="000000"/>
          <w:sz w:val="21"/>
          <w:szCs w:val="21"/>
        </w:rPr>
        <w:t>承包人为该工程施工订购并已付款的材料、工程设备和其他物品的金额。发包人付款后，该材料、 工程设备和其他物品归发包人所有</w:t>
      </w:r>
      <w:r>
        <w:rPr>
          <w:rFonts w:ascii="黑体" w:hAnsi="宋体" w:eastAsia="黑体" w:cs="黑体"/>
          <w:b w:val="0"/>
          <w:bCs w:val="0"/>
          <w:color w:val="000000"/>
          <w:sz w:val="21"/>
          <w:szCs w:val="21"/>
        </w:rPr>
        <w:t>；</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jc w:val="both"/>
        <w:rPr>
          <w:rFonts w:ascii="宋体" w:hAnsi="宋体" w:eastAsia="宋体" w:cs="宋体"/>
          <w:b/>
          <w:bCs/>
          <w:color w:val="000000"/>
          <w:sz w:val="21"/>
          <w:szCs w:val="21"/>
        </w:rPr>
      </w:pPr>
      <w:r>
        <w:rPr>
          <w:rFonts w:ascii="黑体" w:hAnsi="宋体" w:eastAsia="黑体" w:cs="黑体"/>
          <w:b w:val="0"/>
          <w:bCs w:val="0"/>
          <w:color w:val="000000"/>
          <w:sz w:val="21"/>
          <w:szCs w:val="21"/>
        </w:rPr>
        <w:t xml:space="preserve"> </w:t>
      </w:r>
      <w:r>
        <w:rPr>
          <w:rFonts w:ascii="宋体" w:hAnsi="宋体" w:eastAsia="宋体" w:cs="宋体"/>
          <w:b/>
          <w:bCs/>
          <w:color w:val="000000"/>
          <w:sz w:val="21"/>
          <w:szCs w:val="21"/>
        </w:rPr>
        <w:t>23．索赔</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 </w:t>
      </w:r>
      <w:r>
        <w:rPr>
          <w:rFonts w:hint="eastAsia" w:ascii="宋体" w:hAnsi="宋体" w:eastAsia="宋体" w:cs="宋体"/>
          <w:b/>
          <w:bCs/>
          <w:color w:val="000000"/>
          <w:sz w:val="21"/>
          <w:szCs w:val="21"/>
          <w:lang w:val="en-US" w:eastAsia="zh-CN"/>
        </w:rPr>
        <w:t xml:space="preserve">  </w:t>
      </w:r>
      <w:r>
        <w:rPr>
          <w:rFonts w:ascii="宋体" w:hAnsi="宋体" w:eastAsia="宋体" w:cs="宋体"/>
          <w:b/>
          <w:bCs/>
          <w:color w:val="000000"/>
          <w:sz w:val="21"/>
          <w:szCs w:val="21"/>
        </w:rPr>
        <w:t xml:space="preserve">23.1．承包人索赔的提出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本款第（4）项细化为：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0" w:firstLineChars="200"/>
        <w:jc w:val="both"/>
        <w:rPr>
          <w:rFonts w:ascii="宋体" w:hAnsi="宋体" w:eastAsia="宋体" w:cs="宋体"/>
          <w:b w:val="0"/>
          <w:bCs w:val="0"/>
          <w:color w:val="000000"/>
          <w:sz w:val="21"/>
          <w:szCs w:val="21"/>
        </w:rPr>
      </w:pP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lang w:val="en-US" w:eastAsia="zh-CN"/>
        </w:rPr>
        <w:t>4</w:t>
      </w:r>
      <w:r>
        <w:rPr>
          <w:rFonts w:hint="eastAsia" w:ascii="宋体" w:hAnsi="宋体" w:eastAsia="宋体" w:cs="宋体"/>
          <w:b w:val="0"/>
          <w:bCs w:val="0"/>
          <w:color w:val="000000"/>
          <w:sz w:val="21"/>
          <w:szCs w:val="21"/>
          <w:lang w:eastAsia="zh-CN"/>
        </w:rPr>
        <w:t>）</w:t>
      </w:r>
      <w:r>
        <w:rPr>
          <w:rFonts w:ascii="宋体" w:hAnsi="宋体" w:eastAsia="宋体" w:cs="宋体"/>
          <w:b w:val="0"/>
          <w:bCs w:val="0"/>
          <w:color w:val="000000"/>
          <w:sz w:val="21"/>
          <w:szCs w:val="21"/>
        </w:rPr>
        <w:t>在索赔事件影响结束后的 28 天内，承包人应向监理人递交最终索赔通知书，说明最终要求索赔 的追加付款金额和（或）延长的工期，并附必要的记录和证明材料。</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0" w:firstLineChars="2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23.2．承包人索赔处理程序</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2" w:firstLineChars="200"/>
        <w:jc w:val="both"/>
        <w:rPr>
          <w:rFonts w:ascii="宋体" w:hAnsi="宋体" w:eastAsia="宋体" w:cs="宋体"/>
          <w:b w:val="0"/>
          <w:bCs w:val="0"/>
          <w:color w:val="000000"/>
          <w:sz w:val="21"/>
          <w:szCs w:val="21"/>
        </w:rPr>
      </w:pPr>
      <w:r>
        <w:rPr>
          <w:rFonts w:ascii="宋体" w:hAnsi="宋体" w:eastAsia="宋体" w:cs="宋体"/>
          <w:b/>
          <w:bCs/>
          <w:color w:val="000000"/>
          <w:sz w:val="21"/>
          <w:szCs w:val="21"/>
        </w:rPr>
        <w:t xml:space="preserve"> </w:t>
      </w:r>
      <w:r>
        <w:rPr>
          <w:rFonts w:ascii="宋体" w:hAnsi="宋体" w:eastAsia="宋体" w:cs="宋体"/>
          <w:b w:val="0"/>
          <w:bCs w:val="0"/>
          <w:color w:val="000000"/>
          <w:sz w:val="21"/>
          <w:szCs w:val="21"/>
        </w:rPr>
        <w:t>本款第（2）项细化为：</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420" w:firstLineChars="200"/>
        <w:jc w:val="both"/>
        <w:rPr>
          <w:rFonts w:ascii="宋体" w:hAnsi="宋体" w:eastAsia="宋体" w:cs="宋体"/>
          <w:b w:val="0"/>
          <w:bCs w:val="0"/>
          <w:color w:val="000000"/>
          <w:sz w:val="21"/>
          <w:szCs w:val="21"/>
        </w:rPr>
      </w:pP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lang w:val="en-US" w:eastAsia="zh-CN"/>
        </w:rPr>
        <w:t>2</w:t>
      </w:r>
      <w:r>
        <w:rPr>
          <w:rFonts w:hint="eastAsia" w:ascii="宋体" w:hAnsi="宋体" w:eastAsia="宋体" w:cs="宋体"/>
          <w:b w:val="0"/>
          <w:bCs w:val="0"/>
          <w:color w:val="000000"/>
          <w:sz w:val="21"/>
          <w:szCs w:val="21"/>
          <w:lang w:eastAsia="zh-CN"/>
        </w:rPr>
        <w:t>）</w:t>
      </w:r>
      <w:r>
        <w:rPr>
          <w:rFonts w:ascii="宋体" w:hAnsi="宋体" w:eastAsia="宋体" w:cs="宋体"/>
          <w:b w:val="0"/>
          <w:bCs w:val="0"/>
          <w:color w:val="000000"/>
          <w:sz w:val="21"/>
          <w:szCs w:val="21"/>
        </w:rPr>
        <w:t>监理人应按第 3.5 款商定或确定追加的付款和（或）延长的工期，并在收到上述索赔通知书或有 关索赔的进一步证明材料后的 42 天内，将索赔处理结果报发包人批准后答复承包人。如果承包人提出的索</w:t>
      </w:r>
      <w:r>
        <w:rPr>
          <w:rFonts w:hint="default" w:ascii="TimesNewRomanPSMT" w:hAnsi="TimesNewRomanPSMT" w:eastAsia="TimesNewRomanPSMT" w:cs="TimesNewRomanPSMT"/>
          <w:b w:val="0"/>
          <w:bCs w:val="0"/>
          <w:color w:val="000000"/>
          <w:sz w:val="18"/>
          <w:szCs w:val="18"/>
        </w:rPr>
        <w:t xml:space="preserve"> 88 </w:t>
      </w:r>
      <w:r>
        <w:rPr>
          <w:rFonts w:ascii="宋体" w:hAnsi="宋体" w:eastAsia="宋体" w:cs="宋体"/>
          <w:b w:val="0"/>
          <w:bCs w:val="0"/>
          <w:color w:val="000000"/>
          <w:sz w:val="21"/>
          <w:szCs w:val="21"/>
        </w:rPr>
        <w:t xml:space="preserve">赔要求未能遵守第 23.1（2）～（4）项的规定，则承包人只限于索赔由监理人按当时记录予以核实的那部 分款额和（或）工期延长天数。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211" w:firstLineChars="1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24．争议的解决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211" w:firstLineChars="1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24.3．争议评审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210" w:firstLineChars="1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第 24.3.1 项补充：</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210" w:firstLineChars="1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争议评审组由 3 人或 5 人组成，专家的聘请方法可由发包人和承包人共同协商确定，亦可请政</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府主管部门推荐或通过合同争议调解机构聘请，并经双方认同。争议评审组成员应与合同双方均无利害关系。争议评审组的各项费用由发包人和承包人平均分担。</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leftChars="200" w:right="0" w:rightChars="0" w:firstLine="210" w:firstLineChars="1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本条补充第 24.4、第 24.5 款（适用于采用仲裁方式最终解决争议的项目）</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210" w:firstLineChars="100"/>
        <w:jc w:val="both"/>
        <w:rPr>
          <w:rFonts w:ascii="宋体" w:hAnsi="宋体" w:eastAsia="宋体" w:cs="宋体"/>
          <w:b/>
          <w:bCs/>
          <w:color w:val="000000"/>
          <w:sz w:val="21"/>
          <w:szCs w:val="21"/>
        </w:rPr>
      </w:pP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 xml:space="preserve">24.4．仲裁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630" w:firstLineChars="3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（1）对于未能友好解决或未能通过争议评审解决的争议，发包人或承包人任一方均有权提交给第 24.1 款约定的仲裁委员会仲裁。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630" w:firstLineChars="3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2）仲裁可在交工之前或之后进行，但发包人、监理人和承包人各自的义务不得因在工程实施期间进行仲裁而有所改变。如果仲裁是在终止合同的情况下进行，则对合同工程应采取保护措施，措施费由败诉方承担。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630" w:firstLineChars="3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（3）仲裁裁决是终局性的并对发包人和承包人双方具有约束力。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630" w:firstLineChars="3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（4）全部仲裁费用应由败诉方承担；或按仲裁委员会裁决的比例分担。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632" w:firstLineChars="300"/>
        <w:jc w:val="both"/>
        <w:rPr>
          <w:rFonts w:ascii="宋体" w:hAnsi="宋体" w:eastAsia="宋体" w:cs="宋体"/>
          <w:b/>
          <w:bCs/>
          <w:color w:val="000000"/>
          <w:sz w:val="21"/>
          <w:szCs w:val="21"/>
        </w:rPr>
      </w:pPr>
      <w:r>
        <w:rPr>
          <w:rFonts w:ascii="宋体" w:hAnsi="宋体" w:eastAsia="宋体" w:cs="宋体"/>
          <w:b/>
          <w:bCs/>
          <w:color w:val="000000"/>
          <w:sz w:val="21"/>
          <w:szCs w:val="21"/>
        </w:rPr>
        <w:t xml:space="preserve">24.5．仲裁的执行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630" w:firstLineChars="300"/>
        <w:jc w:val="both"/>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（1）任何一方不履行仲裁机构的裁决的，对方可以向有管辖权的人民法院申请执行。 </w:t>
      </w:r>
    </w:p>
    <w:p>
      <w:pPr>
        <w:pStyle w:val="5"/>
        <w:keepNext w:val="0"/>
        <w:keepLines w:val="0"/>
        <w:pageBreakBefore w:val="0"/>
        <w:widowControl/>
        <w:numPr>
          <w:ilvl w:val="0"/>
          <w:numId w:val="0"/>
        </w:numPr>
        <w:suppressLineNumbers w:val="0"/>
        <w:kinsoku/>
        <w:overflowPunct/>
        <w:bidi w:val="0"/>
        <w:spacing w:before="0" w:beforeAutospacing="0" w:afterAutospacing="0" w:line="360" w:lineRule="auto"/>
        <w:ind w:right="0" w:rightChars="0" w:firstLine="630" w:firstLineChars="300"/>
        <w:jc w:val="both"/>
        <w:rPr>
          <w:rFonts w:hint="eastAsia" w:ascii="宋体" w:hAnsi="宋体" w:eastAsia="宋体" w:cs="宋体"/>
          <w:kern w:val="2"/>
          <w:sz w:val="22"/>
          <w:szCs w:val="22"/>
        </w:rPr>
        <w:sectPr>
          <w:pgSz w:w="11910" w:h="16850"/>
          <w:pgMar w:top="1480" w:right="1200" w:bottom="1040" w:left="1220" w:header="876" w:footer="853" w:gutter="0"/>
          <w:pgNumType w:fmt="decimal"/>
          <w:cols w:space="720" w:num="1"/>
          <w:docGrid w:type="lines" w:linePitch="312" w:charSpace="0"/>
        </w:sectPr>
      </w:pPr>
      <w:r>
        <w:rPr>
          <w:rFonts w:ascii="宋体" w:hAnsi="宋体" w:eastAsia="宋体" w:cs="宋体"/>
          <w:b w:val="0"/>
          <w:bCs w:val="0"/>
          <w:color w:val="000000"/>
          <w:sz w:val="21"/>
          <w:szCs w:val="21"/>
        </w:rPr>
        <w:t>（2）任何一方提出证据证明裁决有《中华人民共和国仲裁法》第五十八条规定情形之一的，可以向仲裁委员会所在地的中级人民法院申请撤销裁决。人民法院认定执行该裁决违背社会公共利益的，裁定不予执行。仲裁裁决被人民法院裁定不予执行的，当事人可以根据双方达成的书面仲裁协议重新申请仲裁，也可以向人民法院起诉。</w:t>
      </w:r>
      <w:bookmarkStart w:id="137" w:name="_bookmark173"/>
      <w:bookmarkEnd w:id="137"/>
      <w:bookmarkStart w:id="138" w:name="_bookmark172"/>
      <w:bookmarkEnd w:id="138"/>
      <w:bookmarkStart w:id="139" w:name="_bookmark210"/>
      <w:bookmarkEnd w:id="139"/>
      <w:bookmarkStart w:id="140" w:name="_bookmark222"/>
      <w:bookmarkEnd w:id="140"/>
      <w:bookmarkStart w:id="141" w:name="_bookmark199"/>
      <w:bookmarkEnd w:id="141"/>
      <w:bookmarkStart w:id="142" w:name="_bookmark197"/>
      <w:bookmarkEnd w:id="142"/>
    </w:p>
    <w:p>
      <w:pPr>
        <w:pStyle w:val="5"/>
        <w:keepNext w:val="0"/>
        <w:keepLines w:val="0"/>
        <w:pageBreakBefore w:val="0"/>
        <w:widowControl/>
        <w:suppressLineNumbers w:val="0"/>
        <w:kinsoku/>
        <w:overflowPunct/>
        <w:bidi w:val="0"/>
        <w:spacing w:before="0" w:beforeAutospacing="0" w:afterAutospacing="0" w:line="360" w:lineRule="auto"/>
        <w:ind w:left="0" w:leftChars="0" w:right="0"/>
        <w:jc w:val="center"/>
        <w:rPr>
          <w:rFonts w:hint="eastAsia" w:ascii="宋体" w:hAnsi="宋体" w:eastAsia="宋体" w:cs="宋体"/>
          <w:b/>
          <w:bCs/>
          <w:kern w:val="0"/>
          <w:sz w:val="32"/>
          <w:szCs w:val="32"/>
        </w:rPr>
      </w:pPr>
      <w:bookmarkStart w:id="143" w:name="_bookmark257"/>
      <w:bookmarkEnd w:id="143"/>
      <w:r>
        <w:rPr>
          <w:rFonts w:hint="eastAsia" w:ascii="宋体" w:hAnsi="宋体" w:eastAsia="宋体" w:cs="宋体"/>
          <w:b/>
          <w:bCs/>
          <w:kern w:val="0"/>
          <w:sz w:val="32"/>
          <w:szCs w:val="32"/>
          <w:lang w:val="en-US" w:eastAsia="zh-CN"/>
        </w:rPr>
        <w:t>B.</w:t>
      </w:r>
      <w:r>
        <w:rPr>
          <w:rFonts w:hint="eastAsia" w:ascii="宋体" w:hAnsi="宋体" w:eastAsia="宋体" w:cs="宋体"/>
          <w:b/>
          <w:bCs/>
          <w:kern w:val="0"/>
          <w:sz w:val="32"/>
          <w:szCs w:val="32"/>
        </w:rPr>
        <w:t>项目专用合同条款</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说</w:t>
      </w:r>
      <w:r>
        <w:rPr>
          <w:rFonts w:hint="eastAsia" w:ascii="宋体" w:hAnsi="宋体" w:eastAsia="宋体" w:cs="宋体"/>
          <w:kern w:val="0"/>
          <w:sz w:val="24"/>
          <w:szCs w:val="24"/>
          <w:lang w:val="en-US" w:eastAsia="zh-CN" w:bidi="ar"/>
        </w:rPr>
        <w:tab/>
      </w:r>
      <w:r>
        <w:rPr>
          <w:rFonts w:hint="eastAsia" w:ascii="宋体" w:hAnsi="宋体" w:eastAsia="宋体" w:cs="宋体"/>
          <w:kern w:val="0"/>
          <w:sz w:val="24"/>
          <w:szCs w:val="24"/>
          <w:lang w:val="en-US" w:eastAsia="zh-CN" w:bidi="ar"/>
        </w:rPr>
        <w:t>明：</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719"/>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w:t>
      </w:r>
      <w:r>
        <w:rPr>
          <w:rFonts w:hint="eastAsia" w:ascii="宋体" w:hAnsi="宋体" w:eastAsia="宋体" w:cs="宋体"/>
          <w:spacing w:val="-2"/>
          <w:kern w:val="0"/>
          <w:sz w:val="24"/>
          <w:szCs w:val="24"/>
          <w:lang w:val="en-US" w:eastAsia="zh-CN" w:bidi="ar"/>
        </w:rPr>
        <w:t>招标人在根据《公路工程标准施工招标文件》编制项目招标文件中的“项目</w:t>
      </w:r>
      <w:r>
        <w:rPr>
          <w:rFonts w:hint="eastAsia" w:ascii="宋体" w:hAnsi="宋体" w:eastAsia="宋体" w:cs="宋体"/>
          <w:spacing w:val="-6"/>
          <w:kern w:val="0"/>
          <w:sz w:val="24"/>
          <w:szCs w:val="24"/>
          <w:lang w:val="en-US" w:eastAsia="zh-CN" w:bidi="ar"/>
        </w:rPr>
        <w:t>专用合同条款”时，可根据招标项目的具体特点和实际需要，对“通用合同条款</w:t>
      </w:r>
      <w:r>
        <w:rPr>
          <w:rFonts w:hint="eastAsia" w:ascii="宋体" w:hAnsi="宋体" w:eastAsia="宋体" w:cs="宋体"/>
          <w:kern w:val="0"/>
          <w:sz w:val="24"/>
          <w:szCs w:val="24"/>
          <w:lang w:val="en-US" w:eastAsia="zh-CN" w:bidi="ar"/>
        </w:rPr>
        <w:t>”及“公路工程专用合同条款”进行补充和细化，除“通用合同条款”明确“专用合同条款”</w:t>
      </w:r>
      <w:r>
        <w:rPr>
          <w:rFonts w:hint="eastAsia" w:ascii="宋体" w:hAnsi="宋体" w:eastAsia="宋体" w:cs="宋体"/>
          <w:spacing w:val="2"/>
          <w:kern w:val="0"/>
          <w:sz w:val="24"/>
          <w:szCs w:val="24"/>
          <w:lang w:val="en-US" w:eastAsia="zh-CN" w:bidi="ar"/>
        </w:rPr>
        <w:t>可作出不同约定以及“公路工程专用合同条款</w:t>
      </w:r>
      <w:r>
        <w:rPr>
          <w:rFonts w:hint="eastAsia" w:ascii="宋体" w:hAnsi="宋体" w:eastAsia="宋体" w:cs="宋体"/>
          <w:kern w:val="0"/>
          <w:sz w:val="24"/>
          <w:szCs w:val="24"/>
          <w:lang w:val="en-US" w:eastAsia="zh-CN" w:bidi="ar"/>
        </w:rPr>
        <w:t>”</w:t>
      </w:r>
      <w:r>
        <w:rPr>
          <w:rFonts w:hint="eastAsia" w:ascii="宋体" w:hAnsi="宋体" w:eastAsia="宋体" w:cs="宋体"/>
          <w:spacing w:val="2"/>
          <w:kern w:val="0"/>
          <w:sz w:val="24"/>
          <w:szCs w:val="24"/>
          <w:lang w:val="en-US" w:eastAsia="zh-CN" w:bidi="ar"/>
        </w:rPr>
        <w:t>明确</w:t>
      </w:r>
      <w:r>
        <w:rPr>
          <w:rFonts w:hint="eastAsia" w:ascii="宋体" w:hAnsi="宋体" w:eastAsia="宋体" w:cs="宋体"/>
          <w:kern w:val="0"/>
          <w:sz w:val="24"/>
          <w:szCs w:val="24"/>
          <w:lang w:val="en-US" w:eastAsia="zh-CN" w:bidi="ar"/>
        </w:rPr>
        <w:t>“</w:t>
      </w:r>
      <w:r>
        <w:rPr>
          <w:rFonts w:hint="eastAsia" w:ascii="宋体" w:hAnsi="宋体" w:eastAsia="宋体" w:cs="宋体"/>
          <w:spacing w:val="2"/>
          <w:kern w:val="0"/>
          <w:sz w:val="24"/>
          <w:szCs w:val="24"/>
          <w:lang w:val="en-US" w:eastAsia="zh-CN" w:bidi="ar"/>
        </w:rPr>
        <w:t>项目专用合同条款</w:t>
      </w:r>
      <w:r>
        <w:rPr>
          <w:rFonts w:hint="eastAsia" w:ascii="宋体" w:hAnsi="宋体" w:eastAsia="宋体" w:cs="宋体"/>
          <w:spacing w:val="5"/>
          <w:kern w:val="0"/>
          <w:sz w:val="24"/>
          <w:szCs w:val="24"/>
          <w:lang w:val="en-US" w:eastAsia="zh-CN" w:bidi="ar"/>
        </w:rPr>
        <w:t>”</w:t>
      </w:r>
      <w:r>
        <w:rPr>
          <w:rFonts w:hint="eastAsia" w:ascii="宋体" w:hAnsi="宋体" w:eastAsia="宋体" w:cs="宋体"/>
          <w:spacing w:val="2"/>
          <w:kern w:val="0"/>
          <w:sz w:val="24"/>
          <w:szCs w:val="24"/>
          <w:lang w:val="en-US" w:eastAsia="zh-CN" w:bidi="ar"/>
        </w:rPr>
        <w:t>可作出不同约定</w:t>
      </w:r>
      <w:r>
        <w:rPr>
          <w:rFonts w:hint="eastAsia" w:ascii="宋体" w:hAnsi="宋体" w:eastAsia="宋体" w:cs="宋体"/>
          <w:spacing w:val="-7"/>
          <w:kern w:val="0"/>
          <w:sz w:val="24"/>
          <w:szCs w:val="24"/>
          <w:lang w:val="en-US" w:eastAsia="zh-CN" w:bidi="ar"/>
        </w:rPr>
        <w:t>外，补充和细化的内容不得与“通用合同条款</w:t>
      </w:r>
      <w:r>
        <w:rPr>
          <w:rFonts w:hint="eastAsia" w:ascii="宋体" w:hAnsi="宋体" w:eastAsia="宋体" w:cs="宋体"/>
          <w:kern w:val="0"/>
          <w:sz w:val="24"/>
          <w:szCs w:val="24"/>
          <w:lang w:val="en-US" w:eastAsia="zh-CN" w:bidi="ar"/>
        </w:rPr>
        <w:t>”及“公路工程专用合同条款”强制性规定相抵触。同时，补充、细化或约定的内容，不得违反法律、行政法规的强制性规定和平等、自愿、公平和诚实信用原则。</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2.项目专用合同条款的编号应与通用合同条款和公路工程专用合同条款一致。</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3.项目专用合同条款可对下列内容进行补充和细化：</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w:t>
      </w:r>
      <w:r>
        <w:rPr>
          <w:rFonts w:hint="eastAsia" w:ascii="宋体" w:hAnsi="宋体" w:eastAsia="宋体" w:cs="宋体"/>
          <w:spacing w:val="-120"/>
          <w:kern w:val="0"/>
          <w:sz w:val="24"/>
          <w:szCs w:val="24"/>
          <w:lang w:val="en-US" w:eastAsia="zh-CN" w:bidi="ar"/>
        </w:rPr>
        <w:t>）</w:t>
      </w:r>
      <w:r>
        <w:rPr>
          <w:rFonts w:hint="eastAsia" w:ascii="宋体" w:hAnsi="宋体" w:eastAsia="宋体" w:cs="宋体"/>
          <w:spacing w:val="-1"/>
          <w:kern w:val="0"/>
          <w:sz w:val="24"/>
          <w:szCs w:val="24"/>
          <w:lang w:val="en-US" w:eastAsia="zh-CN" w:bidi="ar"/>
        </w:rPr>
        <w:t>“</w:t>
      </w:r>
      <w:r>
        <w:rPr>
          <w:rFonts w:hint="eastAsia" w:ascii="宋体" w:hAnsi="宋体" w:eastAsia="宋体" w:cs="宋体"/>
          <w:kern w:val="0"/>
          <w:sz w:val="24"/>
          <w:szCs w:val="24"/>
          <w:lang w:val="en-US" w:eastAsia="zh-CN" w:bidi="ar"/>
        </w:rPr>
        <w:t>通用合同条款”中明确指出</w:t>
      </w:r>
      <w:r>
        <w:rPr>
          <w:rFonts w:hint="eastAsia" w:ascii="宋体" w:hAnsi="宋体" w:eastAsia="宋体" w:cs="宋体"/>
          <w:spacing w:val="-1"/>
          <w:kern w:val="0"/>
          <w:sz w:val="24"/>
          <w:szCs w:val="24"/>
          <w:lang w:val="en-US" w:eastAsia="zh-CN" w:bidi="ar"/>
        </w:rPr>
        <w:t>“专用</w:t>
      </w:r>
      <w:r>
        <w:rPr>
          <w:rFonts w:hint="eastAsia" w:ascii="宋体" w:hAnsi="宋体" w:eastAsia="宋体" w:cs="宋体"/>
          <w:kern w:val="0"/>
          <w:sz w:val="24"/>
          <w:szCs w:val="24"/>
          <w:lang w:val="en-US" w:eastAsia="zh-CN" w:bidi="ar"/>
        </w:rPr>
        <w:t>合同条款”可对“通用合同条款”进行修改的内容（</w:t>
      </w:r>
      <w:r>
        <w:rPr>
          <w:rFonts w:hint="eastAsia" w:ascii="宋体" w:hAnsi="宋体" w:eastAsia="宋体" w:cs="宋体"/>
          <w:spacing w:val="2"/>
          <w:kern w:val="0"/>
          <w:sz w:val="24"/>
          <w:szCs w:val="24"/>
          <w:lang w:val="en-US" w:eastAsia="zh-CN" w:bidi="ar"/>
        </w:rPr>
        <w:t>在</w:t>
      </w:r>
      <w:r>
        <w:rPr>
          <w:rFonts w:hint="eastAsia" w:ascii="宋体" w:hAnsi="宋体" w:eastAsia="宋体" w:cs="宋体"/>
          <w:kern w:val="0"/>
          <w:sz w:val="24"/>
          <w:szCs w:val="24"/>
          <w:lang w:val="en-US" w:eastAsia="zh-CN" w:bidi="ar"/>
        </w:rPr>
        <w:t>“通用合同条款”中用“应按合同约定</w:t>
      </w:r>
      <w:r>
        <w:rPr>
          <w:rFonts w:hint="eastAsia" w:ascii="宋体" w:hAnsi="宋体" w:eastAsia="宋体" w:cs="宋体"/>
          <w:spacing w:val="-39"/>
          <w:kern w:val="0"/>
          <w:sz w:val="24"/>
          <w:szCs w:val="24"/>
          <w:lang w:val="en-US" w:eastAsia="zh-CN" w:bidi="ar"/>
        </w:rPr>
        <w:t>”“</w:t>
      </w:r>
      <w:r>
        <w:rPr>
          <w:rFonts w:hint="eastAsia" w:ascii="宋体" w:hAnsi="宋体" w:eastAsia="宋体" w:cs="宋体"/>
          <w:kern w:val="0"/>
          <w:sz w:val="24"/>
          <w:szCs w:val="24"/>
          <w:lang w:val="en-US" w:eastAsia="zh-CN" w:bidi="ar"/>
        </w:rPr>
        <w:t>应按专用合同条款约定</w:t>
      </w:r>
      <w:r>
        <w:rPr>
          <w:rFonts w:hint="eastAsia" w:ascii="宋体" w:hAnsi="宋体" w:eastAsia="宋体" w:cs="宋体"/>
          <w:spacing w:val="-39"/>
          <w:kern w:val="0"/>
          <w:sz w:val="24"/>
          <w:szCs w:val="24"/>
          <w:lang w:val="en-US" w:eastAsia="zh-CN" w:bidi="ar"/>
        </w:rPr>
        <w:t>”“</w:t>
      </w:r>
      <w:r>
        <w:rPr>
          <w:rFonts w:hint="eastAsia" w:ascii="宋体" w:hAnsi="宋体" w:eastAsia="宋体" w:cs="宋体"/>
          <w:kern w:val="0"/>
          <w:sz w:val="24"/>
          <w:szCs w:val="24"/>
          <w:lang w:val="en-US" w:eastAsia="zh-CN" w:bidi="ar"/>
        </w:rPr>
        <w:t>除合同另有</w:t>
      </w:r>
      <w:r>
        <w:rPr>
          <w:rFonts w:hint="eastAsia" w:ascii="宋体" w:hAnsi="宋体" w:eastAsia="宋体" w:cs="宋体"/>
          <w:spacing w:val="-1"/>
          <w:kern w:val="0"/>
          <w:sz w:val="24"/>
          <w:szCs w:val="24"/>
          <w:lang w:val="en-US" w:eastAsia="zh-CN" w:bidi="ar"/>
        </w:rPr>
        <w:t>约定外</w:t>
      </w:r>
      <w:r>
        <w:rPr>
          <w:rFonts w:hint="eastAsia" w:ascii="宋体" w:hAnsi="宋体" w:eastAsia="宋体" w:cs="宋体"/>
          <w:spacing w:val="-41"/>
          <w:kern w:val="0"/>
          <w:sz w:val="24"/>
          <w:szCs w:val="24"/>
          <w:lang w:val="en-US" w:eastAsia="zh-CN" w:bidi="ar"/>
        </w:rPr>
        <w:t>”“</w:t>
      </w:r>
      <w:r>
        <w:rPr>
          <w:rFonts w:hint="eastAsia" w:ascii="宋体" w:hAnsi="宋体" w:eastAsia="宋体" w:cs="宋体"/>
          <w:kern w:val="0"/>
          <w:sz w:val="24"/>
          <w:szCs w:val="24"/>
          <w:lang w:val="en-US" w:eastAsia="zh-CN" w:bidi="ar"/>
        </w:rPr>
        <w:t>除专用合同条款另有约定外</w:t>
      </w:r>
      <w:r>
        <w:rPr>
          <w:rFonts w:hint="eastAsia" w:ascii="宋体" w:hAnsi="宋体" w:eastAsia="宋体" w:cs="宋体"/>
          <w:spacing w:val="-41"/>
          <w:kern w:val="0"/>
          <w:sz w:val="24"/>
          <w:szCs w:val="24"/>
          <w:lang w:val="en-US" w:eastAsia="zh-CN" w:bidi="ar"/>
        </w:rPr>
        <w:t>”“</w:t>
      </w:r>
      <w:r>
        <w:rPr>
          <w:rFonts w:hint="eastAsia" w:ascii="宋体" w:hAnsi="宋体" w:eastAsia="宋体" w:cs="宋体"/>
          <w:spacing w:val="-1"/>
          <w:kern w:val="0"/>
          <w:sz w:val="24"/>
          <w:szCs w:val="24"/>
          <w:lang w:val="en-US" w:eastAsia="zh-CN" w:bidi="ar"/>
        </w:rPr>
        <w:t>在专用合同条款中约定”</w:t>
      </w:r>
      <w:r>
        <w:rPr>
          <w:rFonts w:hint="eastAsia" w:ascii="宋体" w:hAnsi="宋体" w:eastAsia="宋体" w:cs="宋体"/>
          <w:kern w:val="0"/>
          <w:sz w:val="24"/>
          <w:szCs w:val="24"/>
          <w:lang w:val="en-US" w:eastAsia="zh-CN" w:bidi="ar"/>
        </w:rPr>
        <w:t>等多种文字形式表达</w:t>
      </w:r>
      <w:r>
        <w:rPr>
          <w:rFonts w:hint="eastAsia" w:ascii="宋体" w:hAnsi="宋体" w:eastAsia="宋体" w:cs="宋体"/>
          <w:spacing w:val="-120"/>
          <w:kern w:val="0"/>
          <w:sz w:val="24"/>
          <w:szCs w:val="24"/>
          <w:lang w:val="en-US" w:eastAsia="zh-CN" w:bidi="ar"/>
        </w:rPr>
        <w:t>）</w:t>
      </w:r>
      <w:r>
        <w:rPr>
          <w:rFonts w:hint="eastAsia" w:ascii="宋体" w:hAnsi="宋体" w:eastAsia="宋体" w:cs="宋体"/>
          <w:kern w:val="0"/>
          <w:sz w:val="24"/>
          <w:szCs w:val="24"/>
          <w:lang w:val="en-US" w:eastAsia="zh-CN" w:bidi="ar"/>
        </w:rPr>
        <w:t>；</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right="0" w:firstLine="484" w:firstLineChars="200"/>
        <w:jc w:val="both"/>
        <w:rPr>
          <w:rFonts w:hint="eastAsia" w:ascii="宋体" w:hAnsi="宋体" w:eastAsia="宋体" w:cs="宋体"/>
          <w:kern w:val="0"/>
          <w:sz w:val="24"/>
          <w:szCs w:val="24"/>
        </w:rPr>
      </w:pPr>
      <w:r>
        <w:rPr>
          <w:rFonts w:hint="eastAsia" w:ascii="宋体" w:hAnsi="宋体" w:eastAsia="宋体" w:cs="宋体"/>
          <w:spacing w:val="1"/>
          <w:kern w:val="0"/>
          <w:sz w:val="24"/>
          <w:szCs w:val="24"/>
          <w:lang w:val="en-US" w:eastAsia="zh-CN" w:bidi="ar"/>
        </w:rPr>
        <w:t>（</w:t>
      </w:r>
      <w:r>
        <w:rPr>
          <w:rFonts w:hint="eastAsia" w:ascii="宋体" w:hAnsi="宋体" w:eastAsia="宋体" w:cs="宋体"/>
          <w:spacing w:val="2"/>
          <w:kern w:val="0"/>
          <w:sz w:val="24"/>
          <w:szCs w:val="24"/>
          <w:lang w:val="en-US" w:eastAsia="zh-CN" w:bidi="ar"/>
        </w:rPr>
        <w:t>2</w:t>
      </w:r>
      <w:r>
        <w:rPr>
          <w:rFonts w:hint="eastAsia" w:ascii="宋体" w:hAnsi="宋体" w:eastAsia="宋体" w:cs="宋体"/>
          <w:spacing w:val="-118"/>
          <w:kern w:val="0"/>
          <w:sz w:val="24"/>
          <w:szCs w:val="24"/>
          <w:lang w:val="en-US" w:eastAsia="zh-CN" w:bidi="ar"/>
        </w:rPr>
        <w:t>）</w:t>
      </w:r>
      <w:r>
        <w:rPr>
          <w:rFonts w:hint="eastAsia" w:ascii="宋体" w:hAnsi="宋体" w:eastAsia="宋体" w:cs="宋体"/>
          <w:kern w:val="0"/>
          <w:sz w:val="24"/>
          <w:szCs w:val="24"/>
          <w:lang w:val="en-US" w:eastAsia="zh-CN" w:bidi="ar"/>
        </w:rPr>
        <w:t>“公路工程专用合同条款”中明确指出</w:t>
      </w:r>
      <w:r>
        <w:rPr>
          <w:rFonts w:hint="eastAsia" w:ascii="宋体" w:hAnsi="宋体" w:eastAsia="宋体" w:cs="宋体"/>
          <w:spacing w:val="2"/>
          <w:kern w:val="0"/>
          <w:sz w:val="24"/>
          <w:szCs w:val="24"/>
          <w:lang w:val="en-US" w:eastAsia="zh-CN" w:bidi="ar"/>
        </w:rPr>
        <w:t>“</w:t>
      </w:r>
      <w:r>
        <w:rPr>
          <w:rFonts w:hint="eastAsia" w:ascii="宋体" w:hAnsi="宋体" w:eastAsia="宋体" w:cs="宋体"/>
          <w:spacing w:val="1"/>
          <w:kern w:val="0"/>
          <w:sz w:val="24"/>
          <w:szCs w:val="24"/>
          <w:lang w:val="en-US" w:eastAsia="zh-CN" w:bidi="ar"/>
        </w:rPr>
        <w:t>项目专用合同条款</w:t>
      </w:r>
      <w:r>
        <w:rPr>
          <w:rFonts w:hint="eastAsia" w:ascii="宋体" w:hAnsi="宋体" w:eastAsia="宋体" w:cs="宋体"/>
          <w:spacing w:val="2"/>
          <w:kern w:val="0"/>
          <w:sz w:val="24"/>
          <w:szCs w:val="24"/>
          <w:lang w:val="en-US" w:eastAsia="zh-CN" w:bidi="ar"/>
        </w:rPr>
        <w:t>”</w:t>
      </w:r>
      <w:r>
        <w:rPr>
          <w:rFonts w:hint="eastAsia" w:ascii="宋体" w:hAnsi="宋体" w:eastAsia="宋体" w:cs="宋体"/>
          <w:spacing w:val="1"/>
          <w:kern w:val="0"/>
          <w:sz w:val="24"/>
          <w:szCs w:val="24"/>
          <w:lang w:val="en-US" w:eastAsia="zh-CN" w:bidi="ar"/>
        </w:rPr>
        <w:t>可对</w:t>
      </w:r>
      <w:r>
        <w:rPr>
          <w:rFonts w:hint="eastAsia" w:ascii="宋体" w:hAnsi="宋体" w:eastAsia="宋体" w:cs="宋体"/>
          <w:spacing w:val="5"/>
          <w:kern w:val="0"/>
          <w:sz w:val="24"/>
          <w:szCs w:val="24"/>
          <w:lang w:val="en-US" w:eastAsia="zh-CN" w:bidi="ar"/>
        </w:rPr>
        <w:t>“</w:t>
      </w:r>
      <w:r>
        <w:rPr>
          <w:rFonts w:hint="eastAsia" w:ascii="宋体" w:hAnsi="宋体" w:eastAsia="宋体" w:cs="宋体"/>
          <w:spacing w:val="1"/>
          <w:kern w:val="0"/>
          <w:sz w:val="24"/>
          <w:szCs w:val="24"/>
          <w:lang w:val="en-US" w:eastAsia="zh-CN" w:bidi="ar"/>
        </w:rPr>
        <w:t>公路工程</w:t>
      </w:r>
      <w:r>
        <w:rPr>
          <w:rFonts w:hint="eastAsia" w:ascii="宋体" w:hAnsi="宋体" w:eastAsia="宋体" w:cs="宋体"/>
          <w:spacing w:val="-4"/>
          <w:kern w:val="0"/>
          <w:sz w:val="24"/>
          <w:szCs w:val="24"/>
          <w:lang w:val="en-US" w:eastAsia="zh-CN" w:bidi="ar"/>
        </w:rPr>
        <w:t>专用合同条款”进行修改的内容</w:t>
      </w:r>
      <w:r>
        <w:rPr>
          <w:rFonts w:hint="eastAsia" w:ascii="宋体" w:hAnsi="宋体" w:eastAsia="宋体" w:cs="宋体"/>
          <w:kern w:val="0"/>
          <w:sz w:val="24"/>
          <w:szCs w:val="24"/>
          <w:lang w:val="en-US" w:eastAsia="zh-CN" w:bidi="ar"/>
        </w:rPr>
        <w:t>（在“公路工程专用合同条款”中用“除项目专用合同条款另有约定外</w:t>
      </w:r>
      <w:r>
        <w:rPr>
          <w:rFonts w:hint="eastAsia" w:ascii="宋体" w:hAnsi="宋体" w:eastAsia="宋体" w:cs="宋体"/>
          <w:spacing w:val="-40"/>
          <w:kern w:val="0"/>
          <w:sz w:val="24"/>
          <w:szCs w:val="24"/>
          <w:lang w:val="en-US" w:eastAsia="zh-CN" w:bidi="ar"/>
        </w:rPr>
        <w:t>”“</w:t>
      </w:r>
      <w:r>
        <w:rPr>
          <w:rFonts w:hint="eastAsia" w:ascii="宋体" w:hAnsi="宋体" w:eastAsia="宋体" w:cs="宋体"/>
          <w:kern w:val="0"/>
          <w:sz w:val="24"/>
          <w:szCs w:val="24"/>
          <w:lang w:val="en-US" w:eastAsia="zh-CN" w:bidi="ar"/>
        </w:rPr>
        <w:t>项目专用合同条款可能约定的</w:t>
      </w:r>
      <w:r>
        <w:rPr>
          <w:rFonts w:hint="eastAsia" w:ascii="宋体" w:hAnsi="宋体" w:eastAsia="宋体" w:cs="宋体"/>
          <w:spacing w:val="-40"/>
          <w:kern w:val="0"/>
          <w:sz w:val="24"/>
          <w:szCs w:val="24"/>
          <w:lang w:val="en-US" w:eastAsia="zh-CN" w:bidi="ar"/>
        </w:rPr>
        <w:t>”“</w:t>
      </w:r>
      <w:r>
        <w:rPr>
          <w:rFonts w:hint="eastAsia" w:ascii="宋体" w:hAnsi="宋体" w:eastAsia="宋体" w:cs="宋体"/>
          <w:kern w:val="0"/>
          <w:sz w:val="24"/>
          <w:szCs w:val="24"/>
          <w:lang w:val="en-US" w:eastAsia="zh-CN" w:bidi="ar"/>
        </w:rPr>
        <w:t>项目专用合同条款约定的其他情形”等多种文字形式表达</w:t>
      </w:r>
      <w:r>
        <w:rPr>
          <w:rFonts w:hint="eastAsia" w:ascii="宋体" w:hAnsi="宋体" w:eastAsia="宋体" w:cs="宋体"/>
          <w:spacing w:val="-120"/>
          <w:kern w:val="0"/>
          <w:sz w:val="24"/>
          <w:szCs w:val="24"/>
          <w:lang w:val="en-US" w:eastAsia="zh-CN" w:bidi="ar"/>
        </w:rPr>
        <w:t>）</w:t>
      </w:r>
      <w:r>
        <w:rPr>
          <w:rFonts w:hint="eastAsia" w:ascii="宋体" w:hAnsi="宋体" w:eastAsia="宋体" w:cs="宋体"/>
          <w:kern w:val="0"/>
          <w:sz w:val="24"/>
          <w:szCs w:val="24"/>
          <w:lang w:val="en-US" w:eastAsia="zh-CN" w:bidi="ar"/>
        </w:rPr>
        <w:t>。</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（3）其他需要补充、细化的内容。</w:t>
      </w:r>
    </w:p>
    <w:p>
      <w:pPr>
        <w:pageBreakBefore w:val="0"/>
        <w:kinsoku/>
        <w:overflowPunct/>
        <w:bidi w:val="0"/>
        <w:spacing w:before="0" w:beforeLines="0" w:beforeAutospacing="0" w:after="0" w:afterLines="0" w:afterAutospacing="0" w:line="360" w:lineRule="auto"/>
        <w:ind w:left="0" w:leftChars="0" w:right="0"/>
        <w:rPr>
          <w:rFonts w:hint="eastAsia" w:ascii="宋体" w:hAnsi="宋体" w:eastAsia="宋体" w:cs="宋体"/>
          <w:kern w:val="2"/>
          <w:sz w:val="22"/>
          <w:szCs w:val="22"/>
        </w:rPr>
        <w:sectPr>
          <w:pgSz w:w="11910" w:h="16850"/>
          <w:pgMar w:top="1480" w:right="1200" w:bottom="1080" w:left="1220" w:header="883" w:footer="884" w:gutter="0"/>
          <w:pgNumType w:fmt="decimal"/>
          <w:cols w:space="720" w:num="1"/>
          <w:docGrid w:type="lines" w:linePitch="312" w:charSpace="0"/>
        </w:sectPr>
      </w:pPr>
    </w:p>
    <w:p>
      <w:pPr>
        <w:pStyle w:val="5"/>
        <w:keepNext w:val="0"/>
        <w:keepLines w:val="0"/>
        <w:pageBreakBefore w:val="0"/>
        <w:widowControl/>
        <w:suppressLineNumbers w:val="0"/>
        <w:kinsoku/>
        <w:overflowPunct/>
        <w:bidi w:val="0"/>
        <w:spacing w:before="0" w:beforeAutospacing="0" w:afterAutospacing="0" w:line="360" w:lineRule="auto"/>
        <w:ind w:left="0" w:leftChars="0" w:right="0"/>
        <w:jc w:val="center"/>
        <w:rPr>
          <w:rFonts w:hint="eastAsia" w:ascii="宋体" w:hAnsi="宋体" w:eastAsia="宋体" w:cs="宋体"/>
          <w:b/>
          <w:bCs/>
          <w:kern w:val="0"/>
          <w:sz w:val="32"/>
          <w:szCs w:val="32"/>
        </w:rPr>
      </w:pPr>
      <w:bookmarkStart w:id="144" w:name="_bookmark258"/>
      <w:bookmarkEnd w:id="144"/>
      <w:r>
        <w:rPr>
          <w:rFonts w:hint="eastAsia" w:ascii="宋体" w:hAnsi="宋体" w:eastAsia="宋体" w:cs="宋体"/>
          <w:b/>
          <w:bCs/>
          <w:kern w:val="0"/>
          <w:sz w:val="32"/>
          <w:szCs w:val="32"/>
        </w:rPr>
        <w:t>项目专用合同条款数据表</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说明：本数据表是项目专用合同条款中适用于本项目的信息和数据的归纳与提示，是项目专用合同条款的组成部分。第九章“投标文件格式”的投标函附录中的数据（供投标人确认）与本表所列有重复。编写招标文件的单位应仔细校核，不使数据出现差错或不一致。</w:t>
      </w:r>
    </w:p>
    <w:tbl>
      <w:tblPr>
        <w:tblStyle w:val="68"/>
        <w:tblW w:w="0" w:type="auto"/>
        <w:tblInd w:w="5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629"/>
        <w:gridCol w:w="1111"/>
        <w:gridCol w:w="73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b/>
                <w:bCs w:val="0"/>
                <w:kern w:val="0"/>
                <w:sz w:val="24"/>
                <w:szCs w:val="24"/>
                <w:highlight w:val="none"/>
              </w:rPr>
            </w:pPr>
            <w:r>
              <w:rPr>
                <w:rFonts w:hint="eastAsia" w:ascii="宋体" w:hAnsi="宋体" w:eastAsia="宋体" w:cs="宋体"/>
                <w:b/>
                <w:bCs w:val="0"/>
                <w:kern w:val="0"/>
                <w:sz w:val="24"/>
                <w:szCs w:val="24"/>
                <w:highlight w:val="none"/>
                <w:lang w:val="en-US" w:eastAsia="zh-CN" w:bidi="ar"/>
              </w:rPr>
              <w:t>序号</w:t>
            </w:r>
          </w:p>
        </w:tc>
        <w:tc>
          <w:tcPr>
            <w:tcW w:w="1111"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b/>
                <w:bCs w:val="0"/>
                <w:kern w:val="0"/>
                <w:sz w:val="24"/>
                <w:szCs w:val="24"/>
                <w:highlight w:val="none"/>
              </w:rPr>
            </w:pPr>
            <w:r>
              <w:rPr>
                <w:rFonts w:hint="eastAsia" w:ascii="宋体" w:hAnsi="宋体" w:eastAsia="宋体" w:cs="宋体"/>
                <w:b/>
                <w:bCs w:val="0"/>
                <w:kern w:val="0"/>
                <w:sz w:val="24"/>
                <w:szCs w:val="24"/>
                <w:highlight w:val="none"/>
                <w:lang w:val="en-US" w:eastAsia="zh-CN" w:bidi="ar"/>
              </w:rPr>
              <w:t>条目号</w:t>
            </w:r>
          </w:p>
        </w:tc>
        <w:tc>
          <w:tcPr>
            <w:tcW w:w="7305"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b/>
                <w:bCs w:val="0"/>
                <w:kern w:val="0"/>
                <w:sz w:val="24"/>
                <w:szCs w:val="24"/>
                <w:highlight w:val="none"/>
              </w:rPr>
            </w:pPr>
            <w:r>
              <w:rPr>
                <w:rFonts w:hint="eastAsia" w:ascii="宋体" w:hAnsi="宋体" w:eastAsia="宋体" w:cs="宋体"/>
                <w:b/>
                <w:bCs w:val="0"/>
                <w:kern w:val="0"/>
                <w:sz w:val="24"/>
                <w:szCs w:val="24"/>
                <w:highlight w:val="none"/>
                <w:lang w:val="en-US" w:eastAsia="zh-CN" w:bidi="ar"/>
              </w:rPr>
              <w:t>信息或数据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719"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1</w:t>
            </w:r>
          </w:p>
        </w:tc>
        <w:tc>
          <w:tcPr>
            <w:tcW w:w="1111"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1.1.2.2</w:t>
            </w:r>
          </w:p>
        </w:tc>
        <w:tc>
          <w:tcPr>
            <w:tcW w:w="73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发包人：伊川县交通事业发展中心</w:t>
            </w:r>
          </w:p>
          <w:p>
            <w:pPr>
              <w:keepNext w:val="0"/>
              <w:keepLines w:val="0"/>
              <w:pageBreakBefore w:val="0"/>
              <w:widowControl/>
              <w:suppressLineNumbers w:val="0"/>
              <w:kinsoku/>
              <w:overflowPunct/>
              <w:bidi w:val="0"/>
              <w:spacing w:before="0" w:beforeAutospacing="0" w:after="0" w:afterAutospacing="0" w:line="360" w:lineRule="auto"/>
              <w:ind w:left="0" w:leftChars="0" w:right="0"/>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地址：</w:t>
            </w:r>
            <w:r>
              <w:rPr>
                <w:rFonts w:hint="eastAsia" w:ascii="宋体" w:hAnsi="宋体" w:eastAsia="宋体" w:cs="宋体"/>
                <w:color w:val="000000"/>
                <w:kern w:val="0"/>
                <w:sz w:val="24"/>
                <w:szCs w:val="24"/>
                <w:highlight w:val="none"/>
                <w:lang w:val="en-US" w:eastAsia="zh-CN" w:bidi="ar"/>
              </w:rPr>
              <w:t>伊川县立奇商务大厦A区8楼</w:t>
            </w:r>
          </w:p>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邮政编码：471300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2</w:t>
            </w:r>
          </w:p>
        </w:tc>
        <w:tc>
          <w:tcPr>
            <w:tcW w:w="1111"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1.1.2.6</w:t>
            </w:r>
          </w:p>
        </w:tc>
        <w:tc>
          <w:tcPr>
            <w:tcW w:w="73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监理人：招标确定</w:t>
            </w:r>
          </w:p>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地址：（待定）</w:t>
            </w:r>
          </w:p>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邮政编码：（待定）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3</w:t>
            </w:r>
          </w:p>
        </w:tc>
        <w:tc>
          <w:tcPr>
            <w:tcW w:w="1111"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1.1.4.5</w:t>
            </w:r>
          </w:p>
        </w:tc>
        <w:tc>
          <w:tcPr>
            <w:tcW w:w="730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缺陷责任期：自实际交工日期起计算</w:t>
            </w:r>
            <w:r>
              <w:rPr>
                <w:rFonts w:hint="eastAsia" w:ascii="宋体" w:hAnsi="宋体" w:eastAsia="宋体" w:cs="宋体"/>
                <w:kern w:val="2"/>
                <w:sz w:val="24"/>
                <w:szCs w:val="24"/>
                <w:highlight w:val="none"/>
                <w:u w:val="single"/>
                <w:lang w:val="en-US" w:eastAsia="zh-CN" w:bidi="ar"/>
              </w:rPr>
              <w:t>2</w:t>
            </w:r>
            <w:r>
              <w:rPr>
                <w:rFonts w:hint="eastAsia" w:ascii="宋体" w:hAnsi="宋体" w:eastAsia="宋体" w:cs="宋体"/>
                <w:kern w:val="2"/>
                <w:sz w:val="24"/>
                <w:szCs w:val="24"/>
                <w:highlight w:val="none"/>
                <w:lang w:val="en-US" w:eastAsia="zh-CN" w:bidi="ar"/>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719"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4</w:t>
            </w:r>
          </w:p>
        </w:tc>
        <w:tc>
          <w:tcPr>
            <w:tcW w:w="1111"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1.6.3</w:t>
            </w:r>
          </w:p>
        </w:tc>
        <w:tc>
          <w:tcPr>
            <w:tcW w:w="7305"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图纸需要修改和补充的，应由监理人取得发包人同意后，在该工程或工程相应部位施工前</w:t>
            </w:r>
            <w:r>
              <w:rPr>
                <w:rFonts w:hint="eastAsia" w:ascii="宋体" w:hAnsi="宋体" w:eastAsia="宋体" w:cs="宋体"/>
                <w:kern w:val="2"/>
                <w:sz w:val="24"/>
                <w:szCs w:val="24"/>
                <w:highlight w:val="none"/>
                <w:u w:val="single"/>
                <w:lang w:val="en-US" w:eastAsia="zh-CN" w:bidi="ar"/>
              </w:rPr>
              <w:t>7</w:t>
            </w:r>
            <w:r>
              <w:rPr>
                <w:rFonts w:hint="eastAsia" w:ascii="宋体" w:hAnsi="宋体" w:eastAsia="宋体" w:cs="宋体"/>
                <w:kern w:val="2"/>
                <w:sz w:val="24"/>
                <w:szCs w:val="24"/>
                <w:highlight w:val="none"/>
                <w:lang w:val="en-US" w:eastAsia="zh-CN" w:bidi="ar"/>
              </w:rPr>
              <w:t>天签发图纸修改图给承包人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5</w:t>
            </w:r>
          </w:p>
        </w:tc>
        <w:tc>
          <w:tcPr>
            <w:tcW w:w="1111"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3.1.1</w:t>
            </w:r>
          </w:p>
        </w:tc>
        <w:tc>
          <w:tcPr>
            <w:tcW w:w="7305"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b w:val="0"/>
                <w:bCs w:val="0"/>
                <w:color w:val="000000"/>
                <w:sz w:val="24"/>
                <w:szCs w:val="24"/>
              </w:rPr>
              <w:t>所有的变更必须得到业主的审核及批准。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6</w:t>
            </w:r>
          </w:p>
        </w:tc>
        <w:tc>
          <w:tcPr>
            <w:tcW w:w="1111"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5.2.1</w:t>
            </w:r>
          </w:p>
        </w:tc>
        <w:tc>
          <w:tcPr>
            <w:tcW w:w="7305"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发包人是否提供材料或工程设备：</w:t>
            </w:r>
            <w:r>
              <w:rPr>
                <w:rFonts w:hint="eastAsia" w:ascii="宋体" w:hAnsi="宋体" w:eastAsia="宋体" w:cs="宋体"/>
                <w:kern w:val="2"/>
                <w:sz w:val="24"/>
                <w:szCs w:val="24"/>
                <w:highlight w:val="none"/>
                <w:u w:val="single"/>
                <w:lang w:val="en-US" w:eastAsia="zh-CN" w:bidi="ar"/>
              </w:rPr>
              <w:t>否</w:t>
            </w:r>
            <w:r>
              <w:rPr>
                <w:rFonts w:hint="eastAsia" w:ascii="宋体" w:hAnsi="宋体" w:eastAsia="宋体" w:cs="宋体"/>
                <w:kern w:val="2"/>
                <w:sz w:val="24"/>
                <w:szCs w:val="24"/>
                <w:highlight w:val="none"/>
                <w:lang w:val="en-US" w:eastAsia="zh-CN" w:bidi="ar"/>
              </w:rPr>
              <w:tab/>
            </w:r>
          </w:p>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如发包人负责提供部分材料或工程设备，相关规定如下：</w:t>
            </w:r>
            <w:r>
              <w:rPr>
                <w:rFonts w:hint="eastAsia" w:ascii="宋体" w:hAnsi="宋体" w:eastAsia="宋体" w:cs="宋体"/>
                <w:kern w:val="2"/>
                <w:sz w:val="24"/>
                <w:szCs w:val="24"/>
                <w:highlight w:val="none"/>
                <w:u w:val="single"/>
                <w:lang w:val="en-US" w:eastAsia="zh-CN" w:bidi="ar"/>
              </w:rPr>
              <w:t>/</w:t>
            </w:r>
            <w:r>
              <w:rPr>
                <w:rFonts w:hint="eastAsia" w:ascii="宋体" w:hAnsi="宋体" w:eastAsia="宋体" w:cs="宋体"/>
                <w:kern w:val="2"/>
                <w:sz w:val="24"/>
                <w:szCs w:val="24"/>
                <w:highlight w:val="none"/>
                <w:lang w:val="en-US" w:eastAsia="zh-CN" w:bidi="ar"/>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719"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7</w:t>
            </w:r>
          </w:p>
        </w:tc>
        <w:tc>
          <w:tcPr>
            <w:tcW w:w="1111"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6.2</w:t>
            </w:r>
          </w:p>
        </w:tc>
        <w:tc>
          <w:tcPr>
            <w:tcW w:w="7305"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发包人是否提供施工设备和临时设施：否</w:t>
            </w:r>
            <w:r>
              <w:rPr>
                <w:rFonts w:hint="eastAsia" w:ascii="宋体" w:hAnsi="宋体" w:eastAsia="宋体" w:cs="宋体"/>
                <w:kern w:val="2"/>
                <w:sz w:val="24"/>
                <w:szCs w:val="24"/>
                <w:highlight w:val="none"/>
                <w:lang w:val="en-US" w:eastAsia="zh-CN" w:bidi="ar"/>
              </w:rPr>
              <w:tab/>
            </w:r>
          </w:p>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如发包人负责提供部分施工设备和临时设施，相关规定如下：</w:t>
            </w:r>
            <w:r>
              <w:rPr>
                <w:rFonts w:hint="eastAsia" w:ascii="宋体" w:hAnsi="宋体" w:eastAsia="宋体" w:cs="宋体"/>
                <w:kern w:val="2"/>
                <w:sz w:val="24"/>
                <w:szCs w:val="24"/>
                <w:highlight w:val="none"/>
                <w:u w:val="single"/>
                <w:lang w:val="en-US" w:eastAsia="zh-CN" w:bidi="ar"/>
              </w:rPr>
              <w:t>/</w:t>
            </w:r>
            <w:r>
              <w:rPr>
                <w:rFonts w:hint="eastAsia" w:ascii="宋体" w:hAnsi="宋体" w:eastAsia="宋体" w:cs="宋体"/>
                <w:kern w:val="2"/>
                <w:sz w:val="24"/>
                <w:szCs w:val="24"/>
                <w:highlight w:val="none"/>
                <w:u w:val="single"/>
                <w:lang w:val="en-US" w:eastAsia="zh-CN" w:bidi="ar"/>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722"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8</w:t>
            </w:r>
          </w:p>
        </w:tc>
        <w:tc>
          <w:tcPr>
            <w:tcW w:w="1111"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8.1.1</w:t>
            </w:r>
          </w:p>
        </w:tc>
        <w:tc>
          <w:tcPr>
            <w:tcW w:w="7305"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left"/>
              <w:rPr>
                <w:rFonts w:hint="eastAsia" w:ascii="宋体" w:hAnsi="宋体" w:eastAsia="宋体" w:cs="宋体"/>
                <w:kern w:val="2"/>
                <w:sz w:val="24"/>
                <w:szCs w:val="24"/>
                <w:highlight w:val="none"/>
              </w:rPr>
            </w:pPr>
            <w:r>
              <w:rPr>
                <w:rFonts w:hint="eastAsia" w:ascii="宋体" w:hAnsi="宋体" w:eastAsia="宋体" w:cs="宋体"/>
                <w:b w:val="0"/>
                <w:bCs w:val="0"/>
                <w:color w:val="000000"/>
                <w:sz w:val="24"/>
                <w:szCs w:val="24"/>
              </w:rPr>
              <w:t>发包人提供测量基准点、基准线和水准点及其书面资料的期限：合同签订后</w:t>
            </w:r>
            <w:r>
              <w:rPr>
                <w:rFonts w:hint="eastAsia" w:ascii="宋体" w:hAnsi="宋体" w:eastAsia="宋体" w:cs="宋体"/>
                <w:b w:val="0"/>
                <w:bCs w:val="0"/>
                <w:color w:val="000000"/>
                <w:sz w:val="24"/>
                <w:szCs w:val="24"/>
                <w:u w:val="single"/>
              </w:rPr>
              <w:t>开工令发出之日前</w:t>
            </w:r>
            <w:r>
              <w:rPr>
                <w:rFonts w:hint="eastAsia" w:ascii="宋体" w:hAnsi="宋体" w:eastAsia="宋体" w:cs="宋体"/>
                <w:b w:val="0"/>
                <w:bCs w:val="0"/>
                <w:color w:val="000000"/>
                <w:sz w:val="24"/>
                <w:szCs w:val="24"/>
              </w:rPr>
              <w:t xml:space="preserve"> </w:t>
            </w:r>
            <w:r>
              <w:rPr>
                <w:rFonts w:hint="eastAsia" w:ascii="宋体" w:hAnsi="宋体" w:eastAsia="宋体" w:cs="宋体"/>
                <w:b w:val="0"/>
                <w:bCs w:val="0"/>
                <w:color w:val="000000"/>
                <w:sz w:val="24"/>
                <w:szCs w:val="24"/>
                <w:lang w:val="en-US" w:eastAsia="zh-CN"/>
              </w:rPr>
              <w:t xml:space="preserve">                                                       </w:t>
            </w:r>
            <w:r>
              <w:rPr>
                <w:rFonts w:hint="eastAsia" w:ascii="宋体" w:hAnsi="宋体" w:eastAsia="宋体" w:cs="宋体"/>
                <w:b w:val="0"/>
                <w:bCs w:val="0"/>
                <w:color w:val="000000"/>
                <w:sz w:val="24"/>
                <w:szCs w:val="24"/>
              </w:rPr>
              <w:t>承包人将施工控制网资料报送监理人审批的期限：</w:t>
            </w:r>
            <w:r>
              <w:rPr>
                <w:rFonts w:hint="eastAsia" w:ascii="宋体" w:hAnsi="宋体" w:eastAsia="宋体" w:cs="宋体"/>
                <w:b w:val="0"/>
                <w:bCs w:val="0"/>
                <w:color w:val="000000"/>
                <w:sz w:val="24"/>
                <w:szCs w:val="24"/>
                <w:u w:val="single"/>
              </w:rPr>
              <w:t xml:space="preserve">合同签订后开工令发出之日 前 </w:t>
            </w:r>
            <w:r>
              <w:rPr>
                <w:rFonts w:hint="eastAsia" w:ascii="宋体" w:hAnsi="宋体" w:eastAsia="宋体" w:cs="宋体"/>
                <w:kern w:val="2"/>
                <w:sz w:val="24"/>
                <w:szCs w:val="24"/>
                <w:highlight w:val="none"/>
                <w:u w:val="single"/>
                <w:lang w:val="en-US" w:eastAsia="zh-CN" w:bidi="ar"/>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9</w:t>
            </w:r>
          </w:p>
        </w:tc>
        <w:tc>
          <w:tcPr>
            <w:tcW w:w="1111"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11.5（3）</w:t>
            </w:r>
          </w:p>
        </w:tc>
        <w:tc>
          <w:tcPr>
            <w:tcW w:w="7305"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逾期交工违约金：</w:t>
            </w:r>
            <w:r>
              <w:rPr>
                <w:rFonts w:hint="eastAsia" w:ascii="宋体" w:hAnsi="宋体" w:eastAsia="宋体" w:cs="宋体"/>
                <w:kern w:val="2"/>
                <w:sz w:val="24"/>
                <w:szCs w:val="24"/>
                <w:highlight w:val="none"/>
                <w:lang w:val="en-US" w:eastAsia="zh-CN" w:bidi="ar"/>
              </w:rPr>
              <w:tab/>
            </w:r>
            <w:r>
              <w:rPr>
                <w:rFonts w:hint="eastAsia" w:ascii="宋体" w:hAnsi="宋体" w:eastAsia="宋体" w:cs="宋体"/>
                <w:kern w:val="2"/>
                <w:sz w:val="24"/>
                <w:szCs w:val="24"/>
                <w:highlight w:val="none"/>
                <w:u w:val="single"/>
                <w:lang w:val="en-US" w:eastAsia="zh-CN" w:bidi="ar"/>
              </w:rPr>
              <w:t>1000</w:t>
            </w:r>
            <w:r>
              <w:rPr>
                <w:rFonts w:hint="eastAsia" w:ascii="宋体" w:hAnsi="宋体" w:eastAsia="宋体" w:cs="宋体"/>
                <w:kern w:val="2"/>
                <w:sz w:val="24"/>
                <w:szCs w:val="24"/>
                <w:highlight w:val="none"/>
                <w:lang w:val="en-US" w:eastAsia="zh-CN" w:bidi="ar"/>
              </w:rPr>
              <w:t>元/天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10</w:t>
            </w:r>
          </w:p>
        </w:tc>
        <w:tc>
          <w:tcPr>
            <w:tcW w:w="1111"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11.5（3）</w:t>
            </w:r>
          </w:p>
        </w:tc>
        <w:tc>
          <w:tcPr>
            <w:tcW w:w="7305"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逾期交工违约金限额：</w:t>
            </w:r>
            <w:r>
              <w:rPr>
                <w:rFonts w:hint="eastAsia" w:ascii="宋体" w:hAnsi="宋体" w:eastAsia="宋体" w:cs="宋体"/>
                <w:kern w:val="2"/>
                <w:sz w:val="24"/>
                <w:szCs w:val="24"/>
                <w:highlight w:val="none"/>
                <w:u w:val="single"/>
                <w:lang w:val="en-US" w:eastAsia="zh-CN" w:bidi="ar"/>
              </w:rPr>
              <w:t>5</w:t>
            </w:r>
            <w:r>
              <w:rPr>
                <w:rFonts w:hint="eastAsia" w:ascii="宋体" w:hAnsi="宋体" w:eastAsia="宋体" w:cs="宋体"/>
                <w:kern w:val="2"/>
                <w:sz w:val="24"/>
                <w:szCs w:val="24"/>
                <w:highlight w:val="none"/>
                <w:lang w:val="en-US" w:eastAsia="zh-CN" w:bidi="ar"/>
              </w:rPr>
              <w:t>%签约合同价②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9"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11</w:t>
            </w:r>
          </w:p>
        </w:tc>
        <w:tc>
          <w:tcPr>
            <w:tcW w:w="1111"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11.6</w:t>
            </w:r>
          </w:p>
        </w:tc>
        <w:tc>
          <w:tcPr>
            <w:tcW w:w="7305"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提前交工的奖金：</w:t>
            </w:r>
            <w:r>
              <w:rPr>
                <w:rFonts w:hint="eastAsia" w:ascii="宋体" w:hAnsi="宋体" w:eastAsia="宋体" w:cs="宋体"/>
                <w:kern w:val="2"/>
                <w:sz w:val="24"/>
                <w:szCs w:val="24"/>
                <w:highlight w:val="none"/>
                <w:lang w:val="en-US" w:eastAsia="zh-CN" w:bidi="ar"/>
              </w:rPr>
              <w:tab/>
            </w:r>
            <w:r>
              <w:rPr>
                <w:rFonts w:hint="eastAsia" w:ascii="宋体" w:hAnsi="宋体" w:eastAsia="宋体" w:cs="宋体"/>
                <w:kern w:val="2"/>
                <w:sz w:val="24"/>
                <w:szCs w:val="24"/>
                <w:highlight w:val="none"/>
                <w:lang w:val="en-US" w:eastAsia="zh-CN" w:bidi="ar"/>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9"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12</w:t>
            </w:r>
          </w:p>
        </w:tc>
        <w:tc>
          <w:tcPr>
            <w:tcW w:w="1111"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11.6</w:t>
            </w:r>
          </w:p>
        </w:tc>
        <w:tc>
          <w:tcPr>
            <w:tcW w:w="7305"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提前交工的奖金限额：无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719"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13</w:t>
            </w:r>
          </w:p>
        </w:tc>
        <w:tc>
          <w:tcPr>
            <w:tcW w:w="1111"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15.5.2</w:t>
            </w:r>
          </w:p>
        </w:tc>
        <w:tc>
          <w:tcPr>
            <w:tcW w:w="7305"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b w:val="0"/>
                <w:bCs w:val="0"/>
                <w:color w:val="000000"/>
                <w:sz w:val="24"/>
                <w:szCs w:val="24"/>
              </w:rPr>
              <w:t>按招标人制定的管理办法执行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55"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14</w:t>
            </w:r>
          </w:p>
        </w:tc>
        <w:tc>
          <w:tcPr>
            <w:tcW w:w="1111"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16.1</w:t>
            </w:r>
          </w:p>
        </w:tc>
        <w:tc>
          <w:tcPr>
            <w:tcW w:w="7305"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b w:val="0"/>
                <w:bCs w:val="0"/>
                <w:color w:val="000000"/>
                <w:sz w:val="24"/>
                <w:szCs w:val="24"/>
              </w:rPr>
              <w:t>☑</w:t>
            </w:r>
            <w:r>
              <w:rPr>
                <w:rFonts w:hint="eastAsia" w:ascii="宋体" w:hAnsi="宋体" w:eastAsia="宋体" w:cs="宋体"/>
                <w:kern w:val="2"/>
                <w:sz w:val="24"/>
                <w:szCs w:val="24"/>
                <w:highlight w:val="none"/>
                <w:lang w:val="en-US" w:eastAsia="zh-CN" w:bidi="ar"/>
              </w:rPr>
              <w:t>合同期内不调价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9"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15</w:t>
            </w:r>
          </w:p>
        </w:tc>
        <w:tc>
          <w:tcPr>
            <w:tcW w:w="1111"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r>
              <w:rPr>
                <w:rFonts w:hint="eastAsia" w:ascii="宋体" w:hAnsi="宋体" w:eastAsia="宋体" w:cs="宋体"/>
                <w:spacing w:val="-6"/>
                <w:kern w:val="0"/>
                <w:sz w:val="24"/>
                <w:szCs w:val="24"/>
                <w:highlight w:val="none"/>
                <w:lang w:val="en-US" w:eastAsia="zh-CN" w:bidi="ar"/>
              </w:rPr>
              <w:t>17.2.1（1）</w:t>
            </w:r>
          </w:p>
        </w:tc>
        <w:tc>
          <w:tcPr>
            <w:tcW w:w="7305"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开工预付款金额：</w:t>
            </w:r>
            <w:r>
              <w:rPr>
                <w:rFonts w:hint="eastAsia" w:ascii="宋体" w:hAnsi="宋体" w:eastAsia="宋体" w:cs="宋体"/>
                <w:kern w:val="2"/>
                <w:sz w:val="24"/>
                <w:szCs w:val="24"/>
                <w:highlight w:val="none"/>
                <w:u w:val="single"/>
                <w:lang w:val="en-US" w:eastAsia="zh-CN" w:bidi="ar"/>
              </w:rPr>
              <w:t xml:space="preserve">/ </w:t>
            </w:r>
            <w:r>
              <w:rPr>
                <w:rFonts w:hint="eastAsia" w:ascii="宋体" w:hAnsi="宋体" w:eastAsia="宋体" w:cs="宋体"/>
                <w:kern w:val="2"/>
                <w:sz w:val="24"/>
                <w:szCs w:val="24"/>
                <w:highlight w:val="none"/>
                <w:lang w:val="en-US" w:eastAsia="zh-CN" w:bidi="ar"/>
              </w:rPr>
              <w:t>%签约合同价②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1"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16</w:t>
            </w:r>
          </w:p>
        </w:tc>
        <w:tc>
          <w:tcPr>
            <w:tcW w:w="1111"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r>
              <w:rPr>
                <w:rFonts w:hint="eastAsia" w:ascii="宋体" w:hAnsi="宋体" w:eastAsia="宋体" w:cs="宋体"/>
                <w:spacing w:val="-6"/>
                <w:kern w:val="0"/>
                <w:sz w:val="24"/>
                <w:szCs w:val="24"/>
                <w:highlight w:val="none"/>
                <w:lang w:val="en-US" w:eastAsia="zh-CN" w:bidi="ar"/>
              </w:rPr>
              <w:t>17.2.1（2）</w:t>
            </w:r>
          </w:p>
        </w:tc>
        <w:tc>
          <w:tcPr>
            <w:tcW w:w="7305"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材料、设备预付款比例：</w:t>
            </w:r>
            <w:r>
              <w:rPr>
                <w:rFonts w:hint="eastAsia" w:ascii="宋体" w:hAnsi="宋体" w:eastAsia="宋体" w:cs="宋体"/>
                <w:kern w:val="2"/>
                <w:sz w:val="24"/>
                <w:szCs w:val="24"/>
                <w:highlight w:val="none"/>
                <w:u w:val="single"/>
                <w:lang w:val="en-US" w:eastAsia="zh-CN" w:bidi="ar"/>
              </w:rPr>
              <w:t>/</w:t>
            </w:r>
            <w:r>
              <w:rPr>
                <w:rFonts w:hint="eastAsia" w:ascii="宋体" w:hAnsi="宋体" w:eastAsia="宋体" w:cs="宋体"/>
                <w:kern w:val="2"/>
                <w:sz w:val="24"/>
                <w:szCs w:val="24"/>
                <w:highlight w:val="none"/>
                <w:lang w:val="en-US" w:eastAsia="zh-CN" w:bidi="ar"/>
              </w:rPr>
              <w:t>等主要材料、设备单据所列费用的</w:t>
            </w:r>
            <w:r>
              <w:rPr>
                <w:rFonts w:hint="eastAsia" w:ascii="宋体" w:hAnsi="宋体" w:eastAsia="宋体" w:cs="宋体"/>
                <w:kern w:val="2"/>
                <w:sz w:val="24"/>
                <w:szCs w:val="24"/>
                <w:highlight w:val="none"/>
                <w:u w:val="single"/>
                <w:lang w:val="en-US" w:eastAsia="zh-CN" w:bidi="ar"/>
              </w:rPr>
              <w:t>/</w:t>
            </w:r>
            <w:r>
              <w:rPr>
                <w:rFonts w:hint="eastAsia" w:ascii="宋体" w:hAnsi="宋体" w:eastAsia="宋体" w:cs="宋体"/>
                <w:kern w:val="2"/>
                <w:sz w:val="24"/>
                <w:szCs w:val="24"/>
                <w:highlight w:val="none"/>
                <w:lang w:val="en-US" w:eastAsia="zh-CN" w:bidi="ar"/>
              </w:rPr>
              <w:t>%③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9"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17</w:t>
            </w:r>
          </w:p>
        </w:tc>
        <w:tc>
          <w:tcPr>
            <w:tcW w:w="1111"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17.3.2</w:t>
            </w:r>
          </w:p>
        </w:tc>
        <w:tc>
          <w:tcPr>
            <w:tcW w:w="7305"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承包人在每个付款周期末向监理人提交进度付款申请单的份数：</w:t>
            </w:r>
            <w:r>
              <w:rPr>
                <w:rFonts w:hint="eastAsia" w:ascii="宋体" w:hAnsi="宋体" w:eastAsia="宋体" w:cs="宋体"/>
                <w:kern w:val="2"/>
                <w:sz w:val="24"/>
                <w:szCs w:val="24"/>
                <w:highlight w:val="none"/>
                <w:u w:val="single"/>
                <w:lang w:val="en-US" w:eastAsia="zh-CN" w:bidi="ar"/>
              </w:rPr>
              <w:t>6</w:t>
            </w:r>
            <w:r>
              <w:rPr>
                <w:rFonts w:hint="eastAsia" w:ascii="宋体" w:hAnsi="宋体" w:eastAsia="宋体" w:cs="宋体"/>
                <w:kern w:val="2"/>
                <w:sz w:val="24"/>
                <w:szCs w:val="24"/>
                <w:highlight w:val="none"/>
                <w:lang w:val="en-US" w:eastAsia="zh-CN" w:bidi="ar"/>
              </w:rPr>
              <w:t>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18</w:t>
            </w:r>
          </w:p>
        </w:tc>
        <w:tc>
          <w:tcPr>
            <w:tcW w:w="1111"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r>
              <w:rPr>
                <w:rFonts w:hint="eastAsia" w:ascii="宋体" w:hAnsi="宋体" w:eastAsia="宋体" w:cs="宋体"/>
                <w:spacing w:val="-6"/>
                <w:kern w:val="0"/>
                <w:sz w:val="24"/>
                <w:szCs w:val="24"/>
                <w:highlight w:val="none"/>
                <w:lang w:val="en-US" w:eastAsia="zh-CN" w:bidi="ar"/>
              </w:rPr>
              <w:t>17.3.3（1）</w:t>
            </w:r>
          </w:p>
        </w:tc>
        <w:tc>
          <w:tcPr>
            <w:tcW w:w="7305"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进度付款证书最低限额：</w:t>
            </w:r>
            <w:r>
              <w:rPr>
                <w:rFonts w:hint="eastAsia" w:ascii="宋体" w:hAnsi="宋体" w:eastAsia="宋体" w:cs="宋体"/>
                <w:kern w:val="2"/>
                <w:sz w:val="24"/>
                <w:szCs w:val="24"/>
                <w:highlight w:val="none"/>
                <w:u w:val="single"/>
                <w:lang w:val="en-US" w:eastAsia="zh-CN" w:bidi="ar"/>
              </w:rPr>
              <w:t xml:space="preserve">/ </w:t>
            </w:r>
            <w:r>
              <w:rPr>
                <w:rFonts w:hint="eastAsia" w:ascii="宋体" w:hAnsi="宋体" w:eastAsia="宋体" w:cs="宋体"/>
                <w:kern w:val="2"/>
                <w:sz w:val="24"/>
                <w:szCs w:val="24"/>
                <w:highlight w:val="none"/>
                <w:lang w:val="en-US" w:eastAsia="zh-CN" w:bidi="ar"/>
              </w:rPr>
              <w:t>%签约合同价或</w:t>
            </w:r>
            <w:r>
              <w:rPr>
                <w:rFonts w:hint="eastAsia" w:ascii="宋体" w:hAnsi="宋体" w:eastAsia="宋体" w:cs="宋体"/>
                <w:kern w:val="2"/>
                <w:sz w:val="24"/>
                <w:szCs w:val="24"/>
                <w:highlight w:val="none"/>
                <w:u w:val="single"/>
                <w:lang w:val="en-US" w:eastAsia="zh-CN" w:bidi="ar"/>
              </w:rPr>
              <w:t xml:space="preserve">/ </w:t>
            </w:r>
            <w:r>
              <w:rPr>
                <w:rFonts w:hint="eastAsia" w:ascii="宋体" w:hAnsi="宋体" w:eastAsia="宋体" w:cs="宋体"/>
                <w:kern w:val="2"/>
                <w:sz w:val="24"/>
                <w:szCs w:val="24"/>
                <w:highlight w:val="none"/>
                <w:lang w:val="en-US" w:eastAsia="zh-CN" w:bidi="ar"/>
              </w:rPr>
              <w:t>万元④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19</w:t>
            </w:r>
          </w:p>
        </w:tc>
        <w:tc>
          <w:tcPr>
            <w:tcW w:w="1111"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r>
              <w:rPr>
                <w:rFonts w:hint="eastAsia" w:ascii="宋体" w:hAnsi="宋体" w:eastAsia="宋体" w:cs="宋体"/>
                <w:spacing w:val="-6"/>
                <w:kern w:val="0"/>
                <w:sz w:val="24"/>
                <w:szCs w:val="24"/>
                <w:highlight w:val="none"/>
                <w:lang w:val="en-US" w:eastAsia="zh-CN" w:bidi="ar"/>
              </w:rPr>
              <w:t>17.3.3（2）</w:t>
            </w:r>
          </w:p>
        </w:tc>
        <w:tc>
          <w:tcPr>
            <w:tcW w:w="7305"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逾期付款违约金的利率：</w:t>
            </w:r>
            <w:r>
              <w:rPr>
                <w:rFonts w:hint="eastAsia" w:ascii="宋体" w:hAnsi="宋体" w:eastAsia="宋体" w:cs="宋体"/>
                <w:kern w:val="2"/>
                <w:sz w:val="24"/>
                <w:szCs w:val="24"/>
                <w:highlight w:val="none"/>
                <w:u w:val="single"/>
                <w:lang w:val="en-US" w:eastAsia="zh-CN" w:bidi="ar"/>
              </w:rPr>
              <w:t xml:space="preserve">/ </w:t>
            </w:r>
            <w:r>
              <w:rPr>
                <w:rFonts w:hint="eastAsia" w:ascii="宋体" w:hAnsi="宋体" w:eastAsia="宋体" w:cs="宋体"/>
                <w:kern w:val="2"/>
                <w:sz w:val="24"/>
                <w:szCs w:val="24"/>
                <w:highlight w:val="none"/>
                <w:lang w:val="en-US" w:eastAsia="zh-CN" w:bidi="ar"/>
              </w:rPr>
              <w:t>‰/天⑤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447"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20</w:t>
            </w:r>
          </w:p>
        </w:tc>
        <w:tc>
          <w:tcPr>
            <w:tcW w:w="1111"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17.4.1</w:t>
            </w:r>
          </w:p>
        </w:tc>
        <w:tc>
          <w:tcPr>
            <w:tcW w:w="7305"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质量保证金金额：</w:t>
            </w:r>
            <w:r>
              <w:rPr>
                <w:rFonts w:hint="eastAsia" w:ascii="宋体" w:hAnsi="宋体" w:eastAsia="宋体" w:cs="宋体"/>
                <w:kern w:val="2"/>
                <w:sz w:val="24"/>
                <w:szCs w:val="24"/>
                <w:highlight w:val="none"/>
                <w:u w:val="single"/>
                <w:lang w:val="en-US" w:eastAsia="zh-CN" w:bidi="ar"/>
              </w:rPr>
              <w:t>3%</w:t>
            </w:r>
            <w:r>
              <w:rPr>
                <w:rFonts w:hint="eastAsia" w:ascii="宋体" w:hAnsi="宋体" w:eastAsia="宋体" w:cs="宋体"/>
                <w:kern w:val="2"/>
                <w:sz w:val="24"/>
                <w:szCs w:val="24"/>
                <w:highlight w:val="none"/>
                <w:lang w:val="en-US" w:eastAsia="zh-CN" w:bidi="ar"/>
              </w:rPr>
              <w:t>合同价格⑥</w:t>
            </w:r>
          </w:p>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质量保证金是否计付利息：否</w:t>
            </w:r>
          </w:p>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利息的计算方式：/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21</w:t>
            </w:r>
          </w:p>
        </w:tc>
        <w:tc>
          <w:tcPr>
            <w:tcW w:w="1111"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r>
              <w:rPr>
                <w:rFonts w:hint="eastAsia" w:ascii="宋体" w:hAnsi="宋体" w:eastAsia="宋体" w:cs="宋体"/>
                <w:spacing w:val="-6"/>
                <w:kern w:val="0"/>
                <w:sz w:val="24"/>
                <w:szCs w:val="24"/>
                <w:highlight w:val="none"/>
                <w:lang w:val="en-US" w:eastAsia="zh-CN" w:bidi="ar"/>
              </w:rPr>
              <w:t>17.5.1（1）</w:t>
            </w:r>
          </w:p>
        </w:tc>
        <w:tc>
          <w:tcPr>
            <w:tcW w:w="7305"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承包人向监理人提交交工付款申请单（包括相关证明材料）的份数：</w:t>
            </w:r>
          </w:p>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u w:val="single"/>
                <w:lang w:val="en-US" w:eastAsia="zh-CN" w:bidi="ar"/>
              </w:rPr>
              <w:t>6</w:t>
            </w:r>
            <w:r>
              <w:rPr>
                <w:rFonts w:hint="eastAsia" w:ascii="宋体" w:hAnsi="宋体" w:eastAsia="宋体" w:cs="宋体"/>
                <w:kern w:val="2"/>
                <w:sz w:val="24"/>
                <w:szCs w:val="24"/>
                <w:highlight w:val="none"/>
                <w:lang w:val="en-US" w:eastAsia="zh-CN" w:bidi="ar"/>
              </w:rPr>
              <w:t>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22</w:t>
            </w:r>
          </w:p>
        </w:tc>
        <w:tc>
          <w:tcPr>
            <w:tcW w:w="1111"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r>
              <w:rPr>
                <w:rFonts w:hint="eastAsia" w:ascii="宋体" w:hAnsi="宋体" w:eastAsia="宋体" w:cs="宋体"/>
                <w:spacing w:val="-6"/>
                <w:kern w:val="0"/>
                <w:sz w:val="24"/>
                <w:szCs w:val="24"/>
                <w:highlight w:val="none"/>
                <w:lang w:val="en-US" w:eastAsia="zh-CN" w:bidi="ar"/>
              </w:rPr>
              <w:t>17.6.1（1）</w:t>
            </w:r>
          </w:p>
        </w:tc>
        <w:tc>
          <w:tcPr>
            <w:tcW w:w="7305"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承包人向监理人提交最终结清申请单（包括相关证明材料）的份数：</w:t>
            </w:r>
          </w:p>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u w:val="single"/>
                <w:lang w:val="en-US" w:eastAsia="zh-CN" w:bidi="ar"/>
              </w:rPr>
              <w:t>6</w:t>
            </w:r>
            <w:r>
              <w:rPr>
                <w:rFonts w:hint="eastAsia" w:ascii="宋体" w:hAnsi="宋体" w:eastAsia="宋体" w:cs="宋体"/>
                <w:kern w:val="2"/>
                <w:sz w:val="24"/>
                <w:szCs w:val="24"/>
                <w:highlight w:val="none"/>
                <w:lang w:val="en-US" w:eastAsia="zh-CN" w:bidi="ar"/>
              </w:rPr>
              <w:t>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23</w:t>
            </w:r>
          </w:p>
        </w:tc>
        <w:tc>
          <w:tcPr>
            <w:tcW w:w="1111"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18.2（2）</w:t>
            </w:r>
          </w:p>
        </w:tc>
        <w:tc>
          <w:tcPr>
            <w:tcW w:w="7305"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竣工资料的份数：</w:t>
            </w:r>
            <w:r>
              <w:rPr>
                <w:rFonts w:hint="eastAsia" w:ascii="宋体" w:hAnsi="宋体" w:eastAsia="宋体" w:cs="宋体"/>
                <w:kern w:val="2"/>
                <w:sz w:val="24"/>
                <w:szCs w:val="24"/>
                <w:highlight w:val="none"/>
                <w:u w:val="single"/>
                <w:lang w:val="en-US" w:eastAsia="zh-CN" w:bidi="ar"/>
              </w:rPr>
              <w:t>2</w:t>
            </w:r>
            <w:r>
              <w:rPr>
                <w:rFonts w:hint="eastAsia" w:ascii="宋体" w:hAnsi="宋体" w:eastAsia="宋体" w:cs="宋体"/>
                <w:kern w:val="2"/>
                <w:sz w:val="24"/>
                <w:szCs w:val="24"/>
                <w:highlight w:val="none"/>
                <w:lang w:val="en-US" w:eastAsia="zh-CN" w:bidi="ar"/>
              </w:rPr>
              <w:t>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81"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24</w:t>
            </w:r>
          </w:p>
        </w:tc>
        <w:tc>
          <w:tcPr>
            <w:tcW w:w="1111"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18.5.1</w:t>
            </w:r>
          </w:p>
        </w:tc>
        <w:tc>
          <w:tcPr>
            <w:tcW w:w="7305"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u w:val="single"/>
              </w:rPr>
            </w:pPr>
            <w:r>
              <w:rPr>
                <w:rFonts w:hint="eastAsia" w:ascii="宋体" w:hAnsi="宋体" w:eastAsia="宋体" w:cs="宋体"/>
                <w:kern w:val="2"/>
                <w:sz w:val="24"/>
                <w:szCs w:val="24"/>
                <w:highlight w:val="none"/>
                <w:lang w:val="en-US" w:eastAsia="zh-CN" w:bidi="ar"/>
              </w:rPr>
              <w:t>单位工程或工程设备是否需投入施工期运行：</w:t>
            </w:r>
            <w:r>
              <w:rPr>
                <w:rFonts w:hint="eastAsia" w:ascii="宋体" w:hAnsi="宋体" w:eastAsia="宋体" w:cs="宋体"/>
                <w:kern w:val="2"/>
                <w:sz w:val="24"/>
                <w:szCs w:val="24"/>
                <w:highlight w:val="none"/>
                <w:u w:val="single"/>
                <w:lang w:val="en-US" w:eastAsia="zh-CN" w:bidi="ar"/>
              </w:rPr>
              <w:t>否</w:t>
            </w:r>
          </w:p>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如单位工程或工程设备需要进行施工期运行，需要施工期运行的单位工程或工程设备规定如下：</w:t>
            </w:r>
            <w:r>
              <w:rPr>
                <w:rFonts w:hint="eastAsia" w:ascii="宋体" w:hAnsi="宋体" w:eastAsia="宋体" w:cs="宋体"/>
                <w:kern w:val="2"/>
                <w:sz w:val="24"/>
                <w:szCs w:val="24"/>
                <w:highlight w:val="none"/>
                <w:u w:val="single"/>
                <w:lang w:val="en-US" w:eastAsia="zh-CN" w:bidi="ar"/>
              </w:rPr>
              <w:tab/>
            </w:r>
            <w:r>
              <w:rPr>
                <w:rFonts w:hint="eastAsia" w:ascii="宋体" w:hAnsi="宋体" w:eastAsia="宋体" w:cs="宋体"/>
                <w:kern w:val="2"/>
                <w:sz w:val="24"/>
                <w:szCs w:val="24"/>
                <w:highlight w:val="none"/>
                <w:u w:val="single"/>
                <w:lang w:val="en-US" w:eastAsia="zh-CN" w:bidi="ar"/>
              </w:rPr>
              <w:t>另行约定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25</w:t>
            </w:r>
          </w:p>
        </w:tc>
        <w:tc>
          <w:tcPr>
            <w:tcW w:w="1111"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18.6.1</w:t>
            </w:r>
          </w:p>
        </w:tc>
        <w:tc>
          <w:tcPr>
            <w:tcW w:w="7305"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u w:val="single"/>
              </w:rPr>
            </w:pPr>
            <w:r>
              <w:rPr>
                <w:rFonts w:hint="eastAsia" w:ascii="宋体" w:hAnsi="宋体" w:eastAsia="宋体" w:cs="宋体"/>
                <w:kern w:val="2"/>
                <w:sz w:val="24"/>
                <w:szCs w:val="24"/>
                <w:highlight w:val="none"/>
                <w:lang w:val="en-US" w:eastAsia="zh-CN" w:bidi="ar"/>
              </w:rPr>
              <w:t>本工程及工程设备是否进行试运行：</w:t>
            </w:r>
            <w:r>
              <w:rPr>
                <w:rFonts w:hint="eastAsia" w:ascii="宋体" w:hAnsi="宋体" w:eastAsia="宋体" w:cs="宋体"/>
                <w:kern w:val="2"/>
                <w:sz w:val="24"/>
                <w:szCs w:val="24"/>
                <w:highlight w:val="none"/>
                <w:u w:val="single"/>
                <w:lang w:val="en-US" w:eastAsia="zh-CN" w:bidi="ar"/>
              </w:rPr>
              <w:t>否</w:t>
            </w:r>
          </w:p>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如本工程及工程设备需要进行试运行，试运行的具体规定如下：</w:t>
            </w:r>
            <w:r>
              <w:rPr>
                <w:rFonts w:hint="eastAsia" w:ascii="宋体" w:hAnsi="宋体" w:eastAsia="宋体" w:cs="宋体"/>
                <w:kern w:val="2"/>
                <w:sz w:val="24"/>
                <w:szCs w:val="24"/>
                <w:highlight w:val="none"/>
                <w:u w:val="single"/>
                <w:lang w:val="en-US" w:eastAsia="zh-CN" w:bidi="ar"/>
              </w:rPr>
              <w:t>/</w:t>
            </w:r>
            <w:r>
              <w:rPr>
                <w:rFonts w:hint="eastAsia" w:ascii="宋体" w:hAnsi="宋体" w:eastAsia="宋体" w:cs="宋体"/>
                <w:kern w:val="2"/>
                <w:sz w:val="24"/>
                <w:szCs w:val="24"/>
                <w:highlight w:val="none"/>
                <w:lang w:val="en-US" w:eastAsia="zh-CN" w:bidi="ar"/>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26</w:t>
            </w:r>
          </w:p>
        </w:tc>
        <w:tc>
          <w:tcPr>
            <w:tcW w:w="1111"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19.7（1）</w:t>
            </w:r>
          </w:p>
        </w:tc>
        <w:tc>
          <w:tcPr>
            <w:tcW w:w="7305"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保修期：自实际交工日期起计</w:t>
            </w:r>
            <w:r>
              <w:rPr>
                <w:rFonts w:hint="eastAsia" w:ascii="宋体" w:hAnsi="宋体" w:eastAsia="宋体" w:cs="宋体"/>
                <w:kern w:val="2"/>
                <w:sz w:val="24"/>
                <w:szCs w:val="24"/>
                <w:highlight w:val="none"/>
                <w:u w:val="single"/>
                <w:lang w:val="en-US" w:eastAsia="zh-CN" w:bidi="ar"/>
              </w:rPr>
              <w:t>5</w:t>
            </w:r>
            <w:r>
              <w:rPr>
                <w:rFonts w:hint="eastAsia" w:ascii="宋体" w:hAnsi="宋体" w:eastAsia="宋体" w:cs="宋体"/>
                <w:kern w:val="2"/>
                <w:sz w:val="24"/>
                <w:szCs w:val="24"/>
                <w:highlight w:val="none"/>
                <w:lang w:val="en-US" w:eastAsia="zh-CN" w:bidi="ar"/>
              </w:rPr>
              <w:t>年⑧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9"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27</w:t>
            </w:r>
          </w:p>
        </w:tc>
        <w:tc>
          <w:tcPr>
            <w:tcW w:w="1111"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20.1</w:t>
            </w:r>
          </w:p>
        </w:tc>
        <w:tc>
          <w:tcPr>
            <w:tcW w:w="7305"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建筑工程一切险的保险费率：</w:t>
            </w:r>
            <w:r>
              <w:rPr>
                <w:rFonts w:hint="eastAsia" w:ascii="宋体" w:hAnsi="宋体" w:eastAsia="宋体" w:cs="宋体"/>
                <w:kern w:val="2"/>
                <w:sz w:val="24"/>
                <w:szCs w:val="24"/>
                <w:highlight w:val="none"/>
                <w:u w:val="single"/>
                <w:lang w:val="en-US" w:eastAsia="zh-CN" w:bidi="ar"/>
              </w:rPr>
              <w:t>3</w:t>
            </w:r>
            <w:r>
              <w:rPr>
                <w:rFonts w:hint="eastAsia" w:ascii="宋体" w:hAnsi="宋体" w:eastAsia="宋体" w:cs="宋体"/>
                <w:kern w:val="2"/>
                <w:sz w:val="24"/>
                <w:szCs w:val="24"/>
                <w:highlight w:val="none"/>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28</w:t>
            </w:r>
          </w:p>
        </w:tc>
        <w:tc>
          <w:tcPr>
            <w:tcW w:w="1111"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20.4.2</w:t>
            </w:r>
          </w:p>
        </w:tc>
        <w:tc>
          <w:tcPr>
            <w:tcW w:w="7305"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第三者责任险的最低投保金额：</w:t>
            </w:r>
            <w:r>
              <w:rPr>
                <w:rFonts w:hint="eastAsia" w:ascii="宋体" w:hAnsi="宋体" w:eastAsia="宋体" w:cs="宋体"/>
                <w:kern w:val="2"/>
                <w:sz w:val="24"/>
                <w:szCs w:val="24"/>
                <w:highlight w:val="none"/>
                <w:u w:val="single"/>
                <w:lang w:val="en-US" w:eastAsia="zh-CN" w:bidi="ar"/>
              </w:rPr>
              <w:t>100</w:t>
            </w:r>
            <w:r>
              <w:rPr>
                <w:rFonts w:hint="eastAsia" w:ascii="宋体" w:hAnsi="宋体" w:eastAsia="宋体" w:cs="宋体"/>
                <w:kern w:val="2"/>
                <w:sz w:val="24"/>
                <w:szCs w:val="24"/>
                <w:highlight w:val="none"/>
                <w:lang w:val="en-US" w:eastAsia="zh-CN" w:bidi="ar"/>
              </w:rPr>
              <w:t>万元，事故次数不限（不计免赔额）保险费率：</w:t>
            </w:r>
            <w:r>
              <w:rPr>
                <w:rFonts w:hint="eastAsia" w:ascii="宋体" w:hAnsi="宋体" w:eastAsia="宋体" w:cs="宋体"/>
                <w:kern w:val="2"/>
                <w:sz w:val="24"/>
                <w:szCs w:val="24"/>
                <w:highlight w:val="none"/>
                <w:u w:val="single"/>
                <w:lang w:val="en-US" w:eastAsia="zh-CN" w:bidi="ar"/>
              </w:rPr>
              <w:t>3.3</w:t>
            </w:r>
            <w:r>
              <w:rPr>
                <w:rFonts w:hint="eastAsia" w:ascii="宋体" w:hAnsi="宋体" w:eastAsia="宋体" w:cs="宋体"/>
                <w:kern w:val="2"/>
                <w:sz w:val="24"/>
                <w:szCs w:val="24"/>
                <w:highlight w:val="none"/>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709"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29</w:t>
            </w:r>
          </w:p>
        </w:tc>
        <w:tc>
          <w:tcPr>
            <w:tcW w:w="1111"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bidi="ar"/>
              </w:rPr>
              <w:t>24.1</w:t>
            </w:r>
          </w:p>
        </w:tc>
        <w:tc>
          <w:tcPr>
            <w:tcW w:w="7305" w:type="dxa"/>
            <w:tcBorders>
              <w:top w:val="single" w:color="000000" w:sz="4" w:space="0"/>
              <w:left w:val="nil"/>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b w:val="0"/>
                <w:bCs w:val="0"/>
                <w:color w:val="000000"/>
                <w:sz w:val="24"/>
                <w:szCs w:val="24"/>
                <w:u w:val="single"/>
              </w:rPr>
            </w:pPr>
            <w:r>
              <w:rPr>
                <w:rFonts w:hint="eastAsia" w:ascii="宋体" w:hAnsi="宋体" w:eastAsia="宋体" w:cs="宋体"/>
                <w:b w:val="0"/>
                <w:bCs w:val="0"/>
                <w:color w:val="000000"/>
                <w:sz w:val="24"/>
                <w:szCs w:val="24"/>
              </w:rPr>
              <w:t>争议的最终解决方式：</w:t>
            </w:r>
            <w:r>
              <w:rPr>
                <w:rFonts w:hint="eastAsia" w:ascii="宋体" w:hAnsi="宋体" w:eastAsia="宋体" w:cs="宋体"/>
                <w:b w:val="0"/>
                <w:bCs w:val="0"/>
                <w:color w:val="000000"/>
                <w:sz w:val="24"/>
                <w:szCs w:val="24"/>
                <w:u w:val="single"/>
              </w:rPr>
              <w:t>诉讼</w:t>
            </w:r>
          </w:p>
          <w:p>
            <w:pPr>
              <w:keepNext w:val="0"/>
              <w:keepLines w:val="0"/>
              <w:pageBreakBefore w:val="0"/>
              <w:widowControl w:val="0"/>
              <w:suppressLineNumbers w:val="0"/>
              <w:kinsoku/>
              <w:overflowPunct/>
              <w:bidi w:val="0"/>
              <w:spacing w:before="0" w:beforeAutospacing="0" w:after="0" w:afterAutospacing="0" w:line="360" w:lineRule="auto"/>
              <w:ind w:left="0" w:leftChars="0" w:right="0" w:rightChars="0"/>
              <w:jc w:val="both"/>
              <w:rPr>
                <w:rFonts w:hint="eastAsia" w:ascii="宋体" w:hAnsi="宋体" w:eastAsia="宋体" w:cs="宋体"/>
                <w:kern w:val="2"/>
                <w:sz w:val="24"/>
                <w:szCs w:val="24"/>
                <w:highlight w:val="none"/>
              </w:rPr>
            </w:pPr>
            <w:r>
              <w:rPr>
                <w:rFonts w:hint="eastAsia" w:ascii="宋体" w:hAnsi="宋体" w:eastAsia="宋体" w:cs="宋体"/>
                <w:b w:val="0"/>
                <w:bCs w:val="0"/>
                <w:color w:val="000000"/>
                <w:sz w:val="24"/>
                <w:szCs w:val="24"/>
              </w:rPr>
              <w:t xml:space="preserve"> 如采用仲裁，仲裁委员会名称： </w:t>
            </w:r>
            <w:r>
              <w:rPr>
                <w:rFonts w:hint="eastAsia" w:ascii="宋体" w:hAnsi="宋体" w:eastAsia="宋体" w:cs="宋体"/>
                <w:b w:val="0"/>
                <w:bCs w:val="0"/>
                <w:color w:val="000000"/>
                <w:sz w:val="24"/>
                <w:szCs w:val="24"/>
                <w:u w:val="single"/>
              </w:rPr>
              <w:t>/</w:t>
            </w:r>
          </w:p>
        </w:tc>
      </w:tr>
    </w:tbl>
    <w:p>
      <w:pPr>
        <w:pageBreakBefore w:val="0"/>
        <w:kinsoku/>
        <w:overflowPunct/>
        <w:bidi w:val="0"/>
        <w:spacing w:before="0" w:beforeLines="0" w:beforeAutospacing="0" w:after="0" w:afterLines="0" w:afterAutospacing="0" w:line="360" w:lineRule="auto"/>
        <w:ind w:left="0" w:leftChars="0" w:right="0"/>
        <w:rPr>
          <w:rFonts w:hint="eastAsia" w:ascii="宋体" w:hAnsi="宋体" w:eastAsia="宋体" w:cs="宋体"/>
          <w:kern w:val="2"/>
          <w:sz w:val="18"/>
          <w:szCs w:val="18"/>
        </w:rPr>
        <w:sectPr>
          <w:pgSz w:w="11910" w:h="16850"/>
          <w:pgMar w:top="1480" w:right="1200" w:bottom="1080" w:left="1220" w:header="883" w:footer="884" w:gutter="0"/>
          <w:pgNumType w:fmt="decimal"/>
          <w:cols w:space="720" w:num="1"/>
          <w:docGrid w:type="lines" w:linePitch="312" w:charSpace="0"/>
        </w:sectPr>
      </w:pPr>
    </w:p>
    <w:p>
      <w:pPr>
        <w:pStyle w:val="5"/>
        <w:keepNext w:val="0"/>
        <w:keepLines w:val="0"/>
        <w:pageBreakBefore w:val="0"/>
        <w:widowControl/>
        <w:suppressLineNumbers w:val="0"/>
        <w:kinsoku/>
        <w:overflowPunct/>
        <w:bidi w:val="0"/>
        <w:spacing w:before="0" w:beforeAutospacing="0" w:afterAutospacing="0" w:line="360" w:lineRule="auto"/>
        <w:ind w:left="0" w:leftChars="0" w:right="0"/>
        <w:jc w:val="center"/>
        <w:rPr>
          <w:rFonts w:hint="eastAsia" w:ascii="宋体" w:hAnsi="宋体" w:eastAsia="宋体" w:cs="宋体"/>
          <w:b/>
          <w:bCs/>
          <w:kern w:val="0"/>
          <w:sz w:val="32"/>
          <w:szCs w:val="32"/>
        </w:rPr>
      </w:pPr>
      <w:bookmarkStart w:id="145" w:name="_bookmark259"/>
      <w:bookmarkEnd w:id="145"/>
      <w:r>
        <w:rPr>
          <w:rFonts w:hint="eastAsia" w:ascii="宋体" w:hAnsi="宋体" w:eastAsia="宋体" w:cs="宋体"/>
          <w:b/>
          <w:bCs/>
          <w:kern w:val="0"/>
          <w:sz w:val="32"/>
          <w:szCs w:val="32"/>
        </w:rPr>
        <w:t>项目专用合同条款</w:t>
      </w:r>
    </w:p>
    <w:p>
      <w:pPr>
        <w:pStyle w:val="17"/>
        <w:keepNext w:val="0"/>
        <w:keepLines w:val="0"/>
        <w:pageBreakBefore w:val="0"/>
        <w:widowControl/>
        <w:numPr>
          <w:ilvl w:val="0"/>
          <w:numId w:val="5"/>
        </w:numPr>
        <w:suppressLineNumbers w:val="0"/>
        <w:kinsoku/>
        <w:overflowPunct/>
        <w:autoSpaceDE w:val="0"/>
        <w:autoSpaceDN w:val="0"/>
        <w:bidi w:val="0"/>
        <w:spacing w:before="0" w:beforeLines="0" w:beforeAutospacing="0" w:after="0" w:afterLines="0" w:afterAutospacing="0" w:line="360" w:lineRule="auto"/>
        <w:ind w:left="0" w:leftChars="0" w:right="0" w:firstLine="0" w:firstLineChars="0"/>
        <w:jc w:val="left"/>
        <w:rPr>
          <w:rFonts w:ascii="宋体" w:hAnsi="宋体" w:eastAsia="宋体" w:cs="宋体"/>
          <w:b/>
          <w:bCs/>
          <w:color w:val="000000"/>
          <w:sz w:val="21"/>
          <w:szCs w:val="21"/>
        </w:rPr>
      </w:pPr>
      <w:r>
        <w:rPr>
          <w:rFonts w:ascii="宋体" w:hAnsi="宋体" w:eastAsia="宋体" w:cs="宋体"/>
          <w:b/>
          <w:bCs/>
          <w:color w:val="000000"/>
          <w:sz w:val="21"/>
          <w:szCs w:val="21"/>
        </w:rPr>
        <w:t>发包人的义务</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Chars="0" w:right="0" w:rightChars="0"/>
        <w:jc w:val="left"/>
        <w:rPr>
          <w:rFonts w:hint="eastAsia" w:ascii="宋体" w:hAnsi="宋体" w:eastAsia="宋体" w:cs="宋体"/>
          <w:kern w:val="0"/>
          <w:sz w:val="24"/>
          <w:szCs w:val="24"/>
        </w:rPr>
      </w:pPr>
      <w:r>
        <w:rPr>
          <w:rFonts w:ascii="宋体" w:hAnsi="宋体" w:eastAsia="宋体" w:cs="宋体"/>
          <w:b/>
          <w:bCs/>
          <w:color w:val="000000"/>
          <w:sz w:val="21"/>
          <w:szCs w:val="21"/>
        </w:rPr>
        <w:t>2.8 其他义务</w:t>
      </w:r>
      <w:r>
        <w:rPr>
          <w:rFonts w:hint="default" w:ascii="TimesNewRomanPS-BoldMT" w:hAnsi="TimesNewRomanPS-BoldMT" w:eastAsia="TimesNewRomanPS-BoldMT" w:cs="TimesNewRomanPS-Bold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Chars="0" w:right="0" w:rightChars="0" w:firstLine="420" w:firstLineChars="20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本款细化为：</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Chars="0" w:right="0" w:rightChars="0" w:firstLine="420" w:firstLineChars="200"/>
        <w:jc w:val="left"/>
        <w:rPr>
          <w:rFonts w:hint="default" w:ascii="TimesNewRomanPSMT" w:hAnsi="TimesNewRomanPSMT" w:eastAsia="TimesNewRomanPSMT" w:cs="TimesNewRomanPSMT"/>
          <w:b w:val="0"/>
          <w:bCs w:val="0"/>
          <w:color w:val="000000"/>
          <w:sz w:val="21"/>
          <w:szCs w:val="21"/>
        </w:rPr>
      </w:pPr>
      <w:r>
        <w:rPr>
          <w:rFonts w:hint="default" w:ascii="TimesNewRomanPSMT" w:hAnsi="TimesNewRomanPSMT" w:eastAsia="TimesNewRomanPSMT" w:cs="TimesNewRomanPSMT"/>
          <w:b w:val="0"/>
          <w:bCs w:val="0"/>
          <w:color w:val="000000"/>
          <w:sz w:val="21"/>
          <w:szCs w:val="21"/>
        </w:rPr>
        <w:t xml:space="preserve"> </w:t>
      </w:r>
      <w:r>
        <w:rPr>
          <w:rFonts w:ascii="宋体" w:hAnsi="宋体" w:eastAsia="宋体" w:cs="宋体"/>
          <w:b w:val="0"/>
          <w:bCs w:val="0"/>
          <w:color w:val="000000"/>
          <w:sz w:val="21"/>
          <w:szCs w:val="21"/>
        </w:rPr>
        <w:t>2.8.1 发包人应协助承包人协调周边环境。</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Chars="0" w:right="0" w:rightChars="0" w:firstLine="420" w:firstLineChars="20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2.8.2 其他发包人应该提供的项目有关资料。</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ascii="宋体" w:hAnsi="宋体" w:eastAsia="宋体" w:cs="宋体"/>
          <w:b/>
          <w:bCs/>
          <w:color w:val="000000"/>
          <w:sz w:val="21"/>
          <w:szCs w:val="21"/>
        </w:rPr>
      </w:pPr>
      <w:r>
        <w:rPr>
          <w:rFonts w:ascii="宋体" w:hAnsi="宋体" w:eastAsia="宋体" w:cs="宋体"/>
          <w:b/>
          <w:bCs/>
          <w:color w:val="000000"/>
          <w:sz w:val="21"/>
          <w:szCs w:val="21"/>
        </w:rPr>
        <w:t>4.1 承包人的一般义务</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hint="default" w:ascii="TimesNewRomanPS-BoldMT" w:hAnsi="TimesNewRomanPS-BoldMT" w:eastAsia="TimesNewRomanPS-BoldMT" w:cs="TimesNewRomanPS-BoldMT"/>
          <w:b w:val="0"/>
          <w:bCs w:val="0"/>
          <w:color w:val="000000"/>
          <w:sz w:val="21"/>
          <w:szCs w:val="21"/>
        </w:rPr>
        <w:t xml:space="preserve"> </w:t>
      </w:r>
      <w:r>
        <w:rPr>
          <w:rFonts w:ascii="宋体" w:hAnsi="宋体" w:eastAsia="宋体" w:cs="宋体"/>
          <w:b w:val="0"/>
          <w:bCs w:val="0"/>
          <w:color w:val="000000"/>
          <w:sz w:val="21"/>
          <w:szCs w:val="21"/>
        </w:rPr>
        <w:t>4.1.10 其他义务</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本项（6）目细化为：</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承包人应履行的其他义务：依法纳税，国家及地方法律、法规规定的应缴纳的一切税款。</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本款补充（7）目～（11）目</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lang w:val="en-US" w:eastAsia="zh-CN"/>
        </w:rPr>
        <w:t>7</w:t>
      </w:r>
      <w:r>
        <w:rPr>
          <w:rFonts w:hint="eastAsia" w:ascii="宋体" w:hAnsi="宋体" w:eastAsia="宋体" w:cs="宋体"/>
          <w:b w:val="0"/>
          <w:bCs w:val="0"/>
          <w:color w:val="000000"/>
          <w:sz w:val="21"/>
          <w:szCs w:val="21"/>
          <w:lang w:eastAsia="zh-CN"/>
        </w:rPr>
        <w:t>）</w:t>
      </w:r>
      <w:r>
        <w:rPr>
          <w:rFonts w:ascii="宋体" w:hAnsi="宋体" w:eastAsia="宋体" w:cs="宋体"/>
          <w:b w:val="0"/>
          <w:bCs w:val="0"/>
          <w:color w:val="000000"/>
          <w:sz w:val="21"/>
          <w:szCs w:val="21"/>
        </w:rPr>
        <w:t>工程用地红线以外临时用地等有关问题由施工单位与当地群众协调，协调过程中所发生的</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费用由承包人承担，承包人应与地方政府、各部门及当地群众搞好关系，自觉遵守村规民约、法律、法规；因施工过程中造成道路、房屋以及其他沿线设施的损坏，由承包人负责赔偿；承包人应处理好与其他工程承包人的关系，发生施工交叉时，应相应配合，友好协作，无条件服从发包人统一协调；承包人为他人提供条件可能发生费用的处理方法；由此产生的一切费用由承包人自行负责，应综合考虑到报价中，不再单独计量。</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lang w:val="en-US" w:eastAsia="zh-CN"/>
        </w:rPr>
        <w:t>8</w:t>
      </w:r>
      <w:r>
        <w:rPr>
          <w:rFonts w:hint="eastAsia" w:ascii="宋体" w:hAnsi="宋体" w:eastAsia="宋体" w:cs="宋体"/>
          <w:b w:val="0"/>
          <w:bCs w:val="0"/>
          <w:color w:val="000000"/>
          <w:sz w:val="21"/>
          <w:szCs w:val="21"/>
          <w:lang w:eastAsia="zh-CN"/>
        </w:rPr>
        <w:t>）</w:t>
      </w:r>
      <w:r>
        <w:rPr>
          <w:rFonts w:ascii="宋体" w:hAnsi="宋体" w:eastAsia="宋体" w:cs="宋体"/>
          <w:b w:val="0"/>
          <w:bCs w:val="0"/>
          <w:color w:val="000000"/>
          <w:sz w:val="21"/>
          <w:szCs w:val="21"/>
        </w:rPr>
        <w:t>承包人应严格遵守国家有关解决拖欠工程款和农民工工资的法律、法规，及时支付工程中的材料、设备货款及农民工工资等费用。承包人不得以任何借口拖欠材料、设备货款及农民工工资等费用，如果出现此种现象，经查实后，一律通报批评并责令承包人自行组织资金，迅速偿还欠款，在必要时，发包人有权从应付给承包人的工程款中代为支付其拖欠的材料、设备货款及农民工工资。对恶意拖欠和拒不按计划支付的，计入信用档案。</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承包人对现场施工劳务人员身份、工资发放等实名登记；必须加装考勤设备、建立电子台账并进行动态管理；承包人必须在工程项目设立劳资专管员，负责劳务实名制度管理工作；承包人应严格按照要求落实建筑劳务用工实名制信息化管理、农民工工资支付专用账户。</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ascii="宋体" w:hAnsi="宋体" w:eastAsia="宋体" w:cs="宋体"/>
          <w:b w:val="0"/>
          <w:bCs w:val="0"/>
          <w:color w:val="000000"/>
          <w:sz w:val="21"/>
          <w:szCs w:val="21"/>
        </w:rPr>
      </w:pPr>
      <w:r>
        <w:rPr>
          <w:rFonts w:hint="default" w:ascii="TimesNewRomanPSMT" w:hAnsi="TimesNewRomanPSMT" w:eastAsia="TimesNewRomanPSMT" w:cs="TimesNewRomanPSMT"/>
          <w:b w:val="0"/>
          <w:bCs w:val="0"/>
          <w:color w:val="000000"/>
          <w:sz w:val="21"/>
          <w:szCs w:val="21"/>
        </w:rPr>
        <w:t xml:space="preserve"> </w:t>
      </w:r>
      <w:r>
        <w:rPr>
          <w:rFonts w:ascii="宋体" w:hAnsi="宋体" w:eastAsia="宋体" w:cs="宋体"/>
          <w:b w:val="0"/>
          <w:bCs w:val="0"/>
          <w:color w:val="000000"/>
          <w:sz w:val="21"/>
          <w:szCs w:val="21"/>
        </w:rPr>
        <w:t>承包人不得以任何发包人的责任（如未按时支付工程款）为理由延期支付农民工劳动报酬。若因承包人未按时支付农民工劳动报酬导致农民工有可能停工、闹事、投诉、曝光、上访等不利影响的，发包人有权代承包人直接支付农民工劳动报酬，并以代付款金额的 20%扣罚承包人违约金，代付的劳动报酬及违约金从承包人工程计量支付款中扣除。本合同签订后，视为发包人已获承包人授权代其直接支付农民工劳动报酬。</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hint="default" w:ascii="TimesNewRomanPSMT" w:hAnsi="TimesNewRomanPSMT" w:eastAsia="TimesNewRomanPSMT" w:cs="TimesNewRomanPSMT"/>
          <w:b w:val="0"/>
          <w:bCs w:val="0"/>
          <w:color w:val="000000"/>
          <w:sz w:val="21"/>
          <w:szCs w:val="21"/>
        </w:rPr>
        <w:t xml:space="preserve"> </w:t>
      </w:r>
      <w:r>
        <w:rPr>
          <w:rFonts w:hint="eastAsia" w:ascii="TimesNewRomanPSMT" w:hAnsi="TimesNewRomanPSMT" w:eastAsia="宋体" w:cs="TimesNewRomanPSMT"/>
          <w:b w:val="0"/>
          <w:bCs w:val="0"/>
          <w:color w:val="000000"/>
          <w:sz w:val="21"/>
          <w:szCs w:val="21"/>
          <w:lang w:val="en-US" w:eastAsia="zh-CN"/>
        </w:rPr>
        <w:t xml:space="preserve"> </w:t>
      </w:r>
      <w:r>
        <w:rPr>
          <w:rFonts w:ascii="宋体" w:hAnsi="宋体" w:eastAsia="宋体" w:cs="宋体"/>
          <w:b w:val="0"/>
          <w:bCs w:val="0"/>
          <w:color w:val="000000"/>
          <w:sz w:val="21"/>
          <w:szCs w:val="21"/>
        </w:rPr>
        <w:t>承包人因拖欠农民工工资而引发的事件或影响工程施工或造成发包人经济、声誉受到损失的，按第 22.1 款约定由承包人承担违约责任。同时，发包人将承包人及项目经理的拖欠行为报交通行政主管部门按照有关规定（包括《关于进一步严肃查处投标资料造假、转包和违法分包等行为 IDE 通知》（豫交文（2012） 251 号）等以及实时调整、补充的其他规定）对其信用进行降级或列入河南省公路建设市场从业单位“黑名单”和从业人员“黑名单”。</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18"/>
        </w:numPr>
        <w:suppressLineNumbers w:val="0"/>
        <w:kinsoku/>
        <w:overflowPunct/>
        <w:autoSpaceDE w:val="0"/>
        <w:autoSpaceDN w:val="0"/>
        <w:bidi w:val="0"/>
        <w:spacing w:before="0" w:beforeLines="0" w:beforeAutospacing="0" w:after="0" w:afterLines="0" w:afterAutospacing="0" w:line="360" w:lineRule="auto"/>
        <w:ind w:left="525" w:leftChars="0" w:right="0" w:rightChars="0" w:firstLine="0" w:firstLineChars="0"/>
        <w:jc w:val="left"/>
        <w:rPr>
          <w:rFonts w:hint="eastAsia" w:ascii="宋体" w:hAnsi="宋体" w:eastAsia="宋体" w:cs="宋体"/>
          <w:b w:val="0"/>
          <w:bCs w:val="0"/>
          <w:color w:val="000000"/>
          <w:sz w:val="21"/>
          <w:szCs w:val="21"/>
          <w:lang w:eastAsia="zh-CN"/>
        </w:rPr>
      </w:pPr>
      <w:r>
        <w:rPr>
          <w:rFonts w:ascii="宋体" w:hAnsi="宋体" w:eastAsia="宋体" w:cs="宋体"/>
          <w:b w:val="0"/>
          <w:bCs w:val="0"/>
          <w:color w:val="000000"/>
          <w:sz w:val="21"/>
          <w:szCs w:val="21"/>
        </w:rPr>
        <w:t>承包人应充分了解工程现场的实际情况，本项目与已有的公路、田间道路、河道等相交时</w:t>
      </w:r>
      <w:r>
        <w:rPr>
          <w:rFonts w:hint="eastAsia" w:ascii="宋体" w:hAnsi="宋体" w:eastAsia="宋体" w:cs="宋体"/>
          <w:b w:val="0"/>
          <w:bCs w:val="0"/>
          <w:color w:val="000000"/>
          <w:sz w:val="21"/>
          <w:szCs w:val="21"/>
          <w:lang w:eastAsia="zh-CN"/>
        </w:rPr>
        <w:t>，</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施工过程必须采取必要的安全保通措施，并报相关主管部门审查批准。</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525" w:leftChars="0" w:right="0" w:right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（10）承包人为实施和完成本合同工程及缺陷修复工程中的一切施工作业，承包人应采取有效的预</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防措施。不影响邻近建筑物、构筑物的安全与正常使用、构筑物里面人的安全与正常生活，避免对其产生震动和干扰，也不影响群众的正常通行。否则由此导致的索赔、诉讼及其它费用。应由承包人承担。</w:t>
      </w:r>
      <w:r>
        <w:rPr>
          <w:rFonts w:hint="default" w:ascii="TimesNewRomanPSMT" w:hAnsi="TimesNewRomanPSMT" w:eastAsia="TimesNewRomanPSMT" w:cs="TimesNewRomanPSMT"/>
          <w:b w:val="0"/>
          <w:bCs w:val="0"/>
          <w:color w:val="000000"/>
          <w:sz w:val="21"/>
          <w:szCs w:val="21"/>
        </w:rPr>
        <w:t xml:space="preserve"> </w:t>
      </w:r>
      <w:r>
        <w:rPr>
          <w:rFonts w:ascii="宋体" w:hAnsi="宋体" w:eastAsia="宋体" w:cs="宋体"/>
          <w:b w:val="0"/>
          <w:bCs w:val="0"/>
          <w:color w:val="000000"/>
          <w:sz w:val="21"/>
          <w:szCs w:val="21"/>
        </w:rPr>
        <w:t>因为其他施工原因对临近的群众和企业的生产、生活造成影响而引起的索赔、诉讼及其他费用，由承包人承担。</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17"/>
        </w:numPr>
        <w:suppressLineNumbers w:val="0"/>
        <w:kinsoku/>
        <w:overflowPunct/>
        <w:autoSpaceDE w:val="0"/>
        <w:autoSpaceDN w:val="0"/>
        <w:bidi w:val="0"/>
        <w:spacing w:before="0" w:beforeLines="0" w:beforeAutospacing="0" w:after="0" w:afterLines="0" w:afterAutospacing="0" w:line="360" w:lineRule="auto"/>
        <w:ind w:left="0" w:leftChars="0" w:right="0" w:rightChars="0" w:firstLine="420" w:firstLineChars="20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承包人驻地建设：为保证本项目的顺利实施。承包人的驻地建设应满足《河南省普通干线公路 建设管理标准化管理指南》。</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Chars="200" w:right="0" w:rightChars="0"/>
        <w:jc w:val="left"/>
        <w:rPr>
          <w:rFonts w:hint="default" w:ascii="TimesNewRomanPS-BoldMT" w:hAnsi="TimesNewRomanPS-BoldMT" w:eastAsia="TimesNewRomanPS-BoldMT" w:cs="TimesNewRomanPS-BoldMT"/>
          <w:b w:val="0"/>
          <w:bCs w:val="0"/>
          <w:color w:val="000000"/>
          <w:sz w:val="21"/>
          <w:szCs w:val="21"/>
        </w:rPr>
      </w:pPr>
      <w:r>
        <w:rPr>
          <w:rFonts w:hint="default" w:ascii="TimesNewRomanPSMT" w:hAnsi="TimesNewRomanPSMT" w:eastAsia="TimesNewRomanPSMT" w:cs="TimesNewRomanPSMT"/>
          <w:b w:val="0"/>
          <w:bCs w:val="0"/>
          <w:color w:val="000000"/>
          <w:sz w:val="21"/>
          <w:szCs w:val="21"/>
        </w:rPr>
        <w:t xml:space="preserve"> </w:t>
      </w:r>
      <w:r>
        <w:rPr>
          <w:rFonts w:ascii="宋体" w:hAnsi="宋体" w:eastAsia="宋体" w:cs="宋体"/>
          <w:b/>
          <w:bCs/>
          <w:color w:val="000000"/>
          <w:sz w:val="21"/>
          <w:szCs w:val="21"/>
        </w:rPr>
        <w:t>4.6 承包人的人员管理</w:t>
      </w:r>
      <w:r>
        <w:rPr>
          <w:rFonts w:hint="default" w:ascii="TimesNewRomanPS-BoldMT" w:hAnsi="TimesNewRomanPS-BoldMT" w:eastAsia="TimesNewRomanPS-BoldMT" w:cs="TimesNewRomanPS-Bold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Chars="200" w:right="0" w:right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第 4.6.5 项补充：</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Chars="200" w:right="0" w:right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施工现场所有管理人员都必须佩戴胸卡（上岗证：证上应附照片、姓名、职务、岗位等），必须统</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一 着装且均应佩戴规定颜色安全帽。</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承包人须按照交通行政主管部门的有关规定（包括《关于进一步严肃查处投标资料造假、转包和违法分包等行为的通知》（豫交文（2012）251 号文）等以及实时调整、补充的其他规定），在签订施工合同前，将主要人员（项目经理、技术负责人程师、项目副经理、试验室主任、质检工程师等）有关证件原件交由发包人存放保管，同时建立个人档案，其工作经历、毕业证、职称证、身份证、资格证及笔迹的原件和电子版扫描件由发包人保存。至合同段主体工程完工后予以退还。凡不能提交上述证件原件和提交假证件的，发包人不授予合同。同时将承包人及相关人员上报交通行政主管部门按照有关规定进行处理。</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hint="default" w:ascii="TimesNewRomanPSMT" w:hAnsi="TimesNewRomanPSMT" w:eastAsia="TimesNewRomanPSMT" w:cs="TimesNewRomanPSMT"/>
          <w:b w:val="0"/>
          <w:bCs w:val="0"/>
          <w:color w:val="000000"/>
          <w:sz w:val="21"/>
          <w:szCs w:val="21"/>
        </w:rPr>
        <w:t xml:space="preserve"> </w:t>
      </w:r>
      <w:r>
        <w:rPr>
          <w:rFonts w:ascii="宋体" w:hAnsi="宋体" w:eastAsia="宋体" w:cs="宋体"/>
          <w:b w:val="0"/>
          <w:bCs w:val="0"/>
          <w:color w:val="000000"/>
          <w:sz w:val="21"/>
          <w:szCs w:val="21"/>
        </w:rPr>
        <w:t>4.7 撤换承包人项目经理和其他人员</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本款细化为：</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ascii="宋体" w:hAnsi="宋体" w:eastAsia="宋体" w:cs="宋体"/>
          <w:b w:val="0"/>
          <w:bCs w:val="0"/>
          <w:color w:val="000000"/>
          <w:sz w:val="21"/>
          <w:szCs w:val="21"/>
        </w:rPr>
      </w:pPr>
      <w:r>
        <w:rPr>
          <w:rFonts w:hint="default" w:ascii="TimesNewRomanPSMT" w:hAnsi="TimesNewRomanPSMT" w:eastAsia="TimesNewRomanPSMT" w:cs="TimesNewRomanPSMT"/>
          <w:b w:val="0"/>
          <w:bCs w:val="0"/>
          <w:color w:val="000000"/>
          <w:sz w:val="21"/>
          <w:szCs w:val="21"/>
        </w:rPr>
        <w:t xml:space="preserve"> </w:t>
      </w:r>
      <w:r>
        <w:rPr>
          <w:rFonts w:ascii="宋体" w:hAnsi="宋体" w:eastAsia="宋体" w:cs="宋体"/>
          <w:b w:val="0"/>
          <w:bCs w:val="0"/>
          <w:color w:val="000000"/>
          <w:sz w:val="21"/>
          <w:szCs w:val="21"/>
        </w:rPr>
        <w:t>4.7.1 承包人对项目经理的授权范围如下：全权处理与本项目有关的一切事务。</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hint="default" w:ascii="TimesNewRomanPSMT" w:hAnsi="TimesNewRomanPSMT" w:eastAsia="TimesNewRomanPSMT" w:cs="TimesNewRomanPSMT"/>
          <w:b w:val="0"/>
          <w:bCs w:val="0"/>
          <w:color w:val="000000"/>
          <w:sz w:val="21"/>
          <w:szCs w:val="21"/>
        </w:rPr>
        <w:t xml:space="preserve"> </w:t>
      </w:r>
      <w:r>
        <w:rPr>
          <w:rFonts w:ascii="宋体" w:hAnsi="宋体" w:eastAsia="宋体" w:cs="宋体"/>
          <w:b w:val="0"/>
          <w:bCs w:val="0"/>
          <w:color w:val="000000"/>
          <w:sz w:val="21"/>
          <w:szCs w:val="21"/>
        </w:rPr>
        <w:t>关于项目经理每月在施工现场的时间要求：开工之日起到竣工结束，项目经理每月至少 25 天，每天必须不少于 8 小时在现场组织施工。项目经理带班应严格遵守《建筑企业负责人及项目负责人施工现场带班暂行办法》的规定。</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 xml:space="preserve">项目经理未经批准，擅自离开施工现场的违约责任：发包人有权处以每天 </w:t>
      </w:r>
      <w:r>
        <w:rPr>
          <w:rFonts w:hint="default" w:ascii="TimesNewRomanPSMT" w:hAnsi="TimesNewRomanPSMT" w:eastAsia="TimesNewRomanPSMT" w:cs="TimesNewRomanPSMT"/>
          <w:b w:val="0"/>
          <w:bCs w:val="0"/>
          <w:color w:val="000000"/>
          <w:sz w:val="21"/>
          <w:szCs w:val="21"/>
        </w:rPr>
        <w:t xml:space="preserve">5000 </w:t>
      </w:r>
      <w:r>
        <w:rPr>
          <w:rFonts w:ascii="宋体" w:hAnsi="宋体" w:eastAsia="宋体" w:cs="宋体"/>
          <w:b w:val="0"/>
          <w:bCs w:val="0"/>
          <w:color w:val="000000"/>
          <w:sz w:val="21"/>
          <w:szCs w:val="21"/>
        </w:rPr>
        <w:t>元的违约金；单月擅自两次以上或累计达五次或者单次擅自离开现场超过三天时，发包人有权要求更换该项目经理，由此产生的其他损失和责任由承包人承担。</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承包人擅自更换项目经理的违约责任：</w:t>
      </w:r>
      <w:r>
        <w:rPr>
          <w:rFonts w:hint="default" w:ascii="TimesNewRomanPSMT" w:hAnsi="TimesNewRomanPSMT" w:eastAsia="TimesNewRomanPSMT" w:cs="TimesNewRomanPSMT"/>
          <w:b w:val="0"/>
          <w:bCs w:val="0"/>
          <w:color w:val="000000"/>
          <w:sz w:val="21"/>
          <w:szCs w:val="21"/>
        </w:rPr>
        <w:t xml:space="preserve">10 </w:t>
      </w:r>
      <w:r>
        <w:rPr>
          <w:rFonts w:ascii="宋体" w:hAnsi="宋体" w:eastAsia="宋体" w:cs="宋体"/>
          <w:b w:val="0"/>
          <w:bCs w:val="0"/>
          <w:color w:val="000000"/>
          <w:sz w:val="21"/>
          <w:szCs w:val="21"/>
        </w:rPr>
        <w:t>万元人民币的违约金，由此产生的其他损失和责任也由承包人承担。</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29"/>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承包人项目经理必须与承包人投标时所承诺的人员一致，未经发包人书面同意不得更换。</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29"/>
        </w:numPr>
        <w:suppressLineNumbers w:val="0"/>
        <w:kinsoku/>
        <w:overflowPunct/>
        <w:autoSpaceDE w:val="0"/>
        <w:autoSpaceDN w:val="0"/>
        <w:bidi w:val="0"/>
        <w:spacing w:before="0" w:beforeLines="0" w:beforeAutospacing="0" w:after="0" w:afterLines="0" w:afterAutospacing="0" w:line="360" w:lineRule="auto"/>
        <w:ind w:left="0" w:leftChars="0"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承包人如确需更换项目经理，承包人需提前 30 天提出书面申请，如经发包人书面同意承包人更换项目经理，新任命的项目经理必须在智资历和能力等方面符合合同要求。并经发包人考察合格。否则视为承包人擅自更换项目经理。承包人应承担相应的违约责任。</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29"/>
        </w:numPr>
        <w:suppressLineNumbers w:val="0"/>
        <w:kinsoku/>
        <w:overflowPunct/>
        <w:autoSpaceDE w:val="0"/>
        <w:autoSpaceDN w:val="0"/>
        <w:bidi w:val="0"/>
        <w:spacing w:before="0" w:beforeLines="0" w:beforeAutospacing="0" w:after="0" w:afterLines="0" w:afterAutospacing="0" w:line="360" w:lineRule="auto"/>
        <w:ind w:left="0" w:leftChars="0" w:right="0" w:rightChars="0" w:firstLine="420" w:firstLineChars="20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承包人未按照承诺和约定委派项目经理，发包人有权暂停施工以至解除合同，由此造成的损失</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 xml:space="preserve"> 和责任全部由承包人承担。</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上述违约金在当期支付时扣除，或在履约担保金中直接扣除。</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4.7.2 承包人人员</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承包人提交项目管理机构及施工现场管理人员安排报告的期限：按照监理人和发包人的要求，但不得晚于开工前七天。</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 xml:space="preserve">承包人无正当理由拒绝撤换主要施工管理人员的违约责任：发包人有权扣除如下金额违约金：技术负 责人工程师每人次 </w:t>
      </w:r>
      <w:r>
        <w:rPr>
          <w:rFonts w:hint="default" w:ascii="TimesNewRomanPSMT" w:hAnsi="TimesNewRomanPSMT" w:eastAsia="TimesNewRomanPSMT" w:cs="TimesNewRomanPSMT"/>
          <w:b w:val="0"/>
          <w:bCs w:val="0"/>
          <w:color w:val="000000"/>
          <w:sz w:val="21"/>
          <w:szCs w:val="21"/>
        </w:rPr>
        <w:t xml:space="preserve">10 </w:t>
      </w:r>
      <w:r>
        <w:rPr>
          <w:rFonts w:ascii="宋体" w:hAnsi="宋体" w:eastAsia="宋体" w:cs="宋体"/>
          <w:b w:val="0"/>
          <w:bCs w:val="0"/>
          <w:color w:val="000000"/>
          <w:sz w:val="21"/>
          <w:szCs w:val="21"/>
        </w:rPr>
        <w:t xml:space="preserve">万元，其他管理人员每人次 </w:t>
      </w:r>
      <w:r>
        <w:rPr>
          <w:rFonts w:hint="default" w:ascii="TimesNewRomanPSMT" w:hAnsi="TimesNewRomanPSMT" w:eastAsia="TimesNewRomanPSMT" w:cs="TimesNewRomanPSMT"/>
          <w:b w:val="0"/>
          <w:bCs w:val="0"/>
          <w:color w:val="000000"/>
          <w:sz w:val="21"/>
          <w:szCs w:val="21"/>
        </w:rPr>
        <w:t xml:space="preserve">5 </w:t>
      </w:r>
      <w:r>
        <w:rPr>
          <w:rFonts w:ascii="宋体" w:hAnsi="宋体" w:eastAsia="宋体" w:cs="宋体"/>
          <w:b w:val="0"/>
          <w:bCs w:val="0"/>
          <w:color w:val="000000"/>
          <w:sz w:val="21"/>
          <w:szCs w:val="21"/>
        </w:rPr>
        <w:t>万元；若承包人在第二次接到撤换通知 3 天内仍未更 换，监理人应书面通知该施工管理人员停止工作，并可以指示暂时停止施工以至解除合同，由此而产生的 损失和责任由承包人承担。</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主要施工管理人员离开施工现场的批准要求：需经监理人书面同意。并报发包人备查。单月超过 3 天 的，应征得发包人书面同意。</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 xml:space="preserve">承包人擅自更换主要施工管理人员的违约责任：技术负责人每人次 </w:t>
      </w:r>
      <w:r>
        <w:rPr>
          <w:rFonts w:hint="default" w:ascii="TimesNewRomanPSMT" w:hAnsi="TimesNewRomanPSMT" w:eastAsia="TimesNewRomanPSMT" w:cs="TimesNewRomanPSMT"/>
          <w:b w:val="0"/>
          <w:bCs w:val="0"/>
          <w:color w:val="000000"/>
          <w:sz w:val="21"/>
          <w:szCs w:val="21"/>
        </w:rPr>
        <w:t xml:space="preserve">10 </w:t>
      </w:r>
      <w:r>
        <w:rPr>
          <w:rFonts w:ascii="宋体" w:hAnsi="宋体" w:eastAsia="宋体" w:cs="宋体"/>
          <w:b w:val="0"/>
          <w:bCs w:val="0"/>
          <w:color w:val="000000"/>
          <w:sz w:val="21"/>
          <w:szCs w:val="21"/>
        </w:rPr>
        <w:t xml:space="preserve">万元，其他管理人员每人次 </w:t>
      </w:r>
      <w:r>
        <w:rPr>
          <w:rFonts w:hint="default" w:ascii="TimesNewRomanPSMT" w:hAnsi="TimesNewRomanPSMT" w:eastAsia="TimesNewRomanPSMT" w:cs="TimesNewRomanPSMT"/>
          <w:b w:val="0"/>
          <w:bCs w:val="0"/>
          <w:color w:val="000000"/>
          <w:sz w:val="21"/>
          <w:szCs w:val="21"/>
        </w:rPr>
        <w:t xml:space="preserve">1 </w:t>
      </w:r>
      <w:r>
        <w:rPr>
          <w:rFonts w:ascii="宋体" w:hAnsi="宋体" w:eastAsia="宋体" w:cs="宋体"/>
          <w:b w:val="0"/>
          <w:bCs w:val="0"/>
          <w:color w:val="000000"/>
          <w:sz w:val="21"/>
          <w:szCs w:val="21"/>
        </w:rPr>
        <w:t xml:space="preserve">万元；承包人主要施工管理人员擅自离开施工现场的违约责任：项目经理、技术负责人等每天 </w:t>
      </w:r>
      <w:r>
        <w:rPr>
          <w:rFonts w:hint="default" w:ascii="TimesNewRomanPSMT" w:hAnsi="TimesNewRomanPSMT" w:eastAsia="TimesNewRomanPSMT" w:cs="TimesNewRomanPSMT"/>
          <w:b w:val="0"/>
          <w:bCs w:val="0"/>
          <w:color w:val="000000"/>
          <w:sz w:val="21"/>
          <w:szCs w:val="21"/>
        </w:rPr>
        <w:t xml:space="preserve">1 </w:t>
      </w:r>
      <w:r>
        <w:rPr>
          <w:rFonts w:ascii="宋体" w:hAnsi="宋体" w:eastAsia="宋体" w:cs="宋体"/>
          <w:b w:val="0"/>
          <w:bCs w:val="0"/>
          <w:color w:val="000000"/>
          <w:sz w:val="21"/>
          <w:szCs w:val="21"/>
        </w:rPr>
        <w:t xml:space="preserve">万元，其他管理人员每人次每天 </w:t>
      </w:r>
      <w:r>
        <w:rPr>
          <w:rFonts w:hint="default" w:ascii="TimesNewRomanPSMT" w:hAnsi="TimesNewRomanPSMT" w:eastAsia="TimesNewRomanPSMT" w:cs="TimesNewRomanPSMT"/>
          <w:b w:val="0"/>
          <w:bCs w:val="0"/>
          <w:color w:val="000000"/>
          <w:sz w:val="21"/>
          <w:szCs w:val="21"/>
        </w:rPr>
        <w:t xml:space="preserve">5000 </w:t>
      </w:r>
      <w:r>
        <w:rPr>
          <w:rFonts w:ascii="宋体" w:hAnsi="宋体" w:eastAsia="宋体" w:cs="宋体"/>
          <w:b w:val="0"/>
          <w:bCs w:val="0"/>
          <w:color w:val="000000"/>
          <w:sz w:val="21"/>
          <w:szCs w:val="21"/>
        </w:rPr>
        <w:t>元；单月擅自两次以上或者累计达五次或者单次超过 3 天时，视为承包人擅自更换主要施工管理人员，承包人应承担违约责任，由此而产生的其他损失和责任也由承包人承担。</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3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承包人人员必须与承包人投标时的投标承诺，只能增加不能减少，并保证常驻现场，项目经理 和技术负责人不得同时离开现场。</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30"/>
        </w:numPr>
        <w:suppressLineNumbers w:val="0"/>
        <w:kinsoku/>
        <w:overflowPunct/>
        <w:autoSpaceDE w:val="0"/>
        <w:autoSpaceDN w:val="0"/>
        <w:bidi w:val="0"/>
        <w:spacing w:before="0" w:beforeLines="0" w:beforeAutospacing="0" w:after="0" w:afterLines="0" w:afterAutospacing="0" w:line="360" w:lineRule="auto"/>
        <w:ind w:left="0" w:leftChars="0"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进驻施工现场后，承包人所有管理人员持证件原件接受发包人审核，审核通过后方可进场，证 件原件由发包人留存。</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30"/>
        </w:numPr>
        <w:suppressLineNumbers w:val="0"/>
        <w:kinsoku/>
        <w:overflowPunct/>
        <w:autoSpaceDE w:val="0"/>
        <w:autoSpaceDN w:val="0"/>
        <w:bidi w:val="0"/>
        <w:spacing w:before="0" w:beforeLines="0" w:beforeAutospacing="0" w:after="0" w:afterLines="0" w:afterAutospacing="0" w:line="360" w:lineRule="auto"/>
        <w:ind w:left="0" w:leftChars="0" w:right="0" w:rightChars="0" w:firstLine="420" w:firstLineChars="20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承包人应根据投标承诺按建质（2008）91 号文件的要求，组建安全生产领导小组，设置专职</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安全生产管理人员，其中专职安全人员不少于相关规定的人数。</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30"/>
        </w:numPr>
        <w:suppressLineNumbers w:val="0"/>
        <w:kinsoku/>
        <w:overflowPunct/>
        <w:autoSpaceDE w:val="0"/>
        <w:autoSpaceDN w:val="0"/>
        <w:bidi w:val="0"/>
        <w:spacing w:before="0" w:beforeLines="0" w:beforeAutospacing="0" w:after="0" w:afterLines="0" w:afterAutospacing="0" w:line="360" w:lineRule="auto"/>
        <w:ind w:left="0" w:leftChars="0"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未经发包人和监理人的事先同意，投入人员不得随意调换。如确属需要，承包人应选派在资历 和能力等方面高于其前任的人员报请监理人审核，并经发包人审批后方可替换。</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30"/>
        </w:numPr>
        <w:suppressLineNumbers w:val="0"/>
        <w:kinsoku/>
        <w:overflowPunct/>
        <w:autoSpaceDE w:val="0"/>
        <w:autoSpaceDN w:val="0"/>
        <w:bidi w:val="0"/>
        <w:spacing w:before="0" w:beforeLines="0" w:beforeAutospacing="0" w:after="0" w:afterLines="0" w:afterAutospacing="0" w:line="360" w:lineRule="auto"/>
        <w:ind w:left="0" w:leftChars="0" w:right="0" w:rightChars="0" w:firstLine="420" w:firstLineChars="20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承包人项目经理和其他人员如有下列行为之一，发包人和监理人要求撤换，应在 14 天内选派</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在资历和能力等方面不低于其前任的替代人员，并经发包人和监理人审批后予以更换。</w:t>
      </w:r>
    </w:p>
    <w:p>
      <w:pPr>
        <w:pStyle w:val="17"/>
        <w:keepNext w:val="0"/>
        <w:keepLines w:val="0"/>
        <w:pageBreakBefore w:val="0"/>
        <w:widowControl/>
        <w:numPr>
          <w:ilvl w:val="0"/>
          <w:numId w:val="31"/>
        </w:numPr>
        <w:suppressLineNumbers w:val="0"/>
        <w:kinsoku/>
        <w:overflowPunct/>
        <w:autoSpaceDE w:val="0"/>
        <w:autoSpaceDN w:val="0"/>
        <w:bidi w:val="0"/>
        <w:spacing w:before="0" w:beforeLines="0" w:beforeAutospacing="0" w:after="0" w:afterLines="0" w:afterAutospacing="0" w:line="360" w:lineRule="auto"/>
        <w:ind w:left="525" w:leftChars="0" w:right="0" w:rightChars="0" w:firstLine="0" w:firstLine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代履行其职责时，不能胜任或玩忽职守；</w:t>
      </w:r>
    </w:p>
    <w:p>
      <w:pPr>
        <w:pStyle w:val="17"/>
        <w:keepNext w:val="0"/>
        <w:keepLines w:val="0"/>
        <w:pageBreakBefore w:val="0"/>
        <w:widowControl/>
        <w:numPr>
          <w:ilvl w:val="0"/>
          <w:numId w:val="31"/>
        </w:numPr>
        <w:suppressLineNumbers w:val="0"/>
        <w:kinsoku/>
        <w:overflowPunct/>
        <w:autoSpaceDE w:val="0"/>
        <w:autoSpaceDN w:val="0"/>
        <w:bidi w:val="0"/>
        <w:spacing w:before="0" w:beforeLines="0" w:beforeAutospacing="0" w:after="0" w:afterLines="0" w:afterAutospacing="0" w:line="360" w:lineRule="auto"/>
        <w:ind w:left="525" w:leftChars="0" w:right="0" w:rightChars="0" w:firstLine="0" w:firstLine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经常出现有损健康与安全，或有损环境保护的行为；</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31"/>
        </w:numPr>
        <w:suppressLineNumbers w:val="0"/>
        <w:kinsoku/>
        <w:overflowPunct/>
        <w:autoSpaceDE w:val="0"/>
        <w:autoSpaceDN w:val="0"/>
        <w:bidi w:val="0"/>
        <w:spacing w:before="0" w:beforeLines="0" w:beforeAutospacing="0" w:after="0" w:afterLines="0" w:afterAutospacing="0" w:line="360" w:lineRule="auto"/>
        <w:ind w:left="525" w:leftChars="0" w:right="0" w:rightChars="0" w:firstLine="0" w:firstLine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不遵守合同文件的约定和要求；</w:t>
      </w:r>
      <w:r>
        <w:rPr>
          <w:rFonts w:hint="default" w:ascii="TimesNewRomanPSMT" w:hAnsi="TimesNewRomanPSMT" w:eastAsia="TimesNewRomanPSMT" w:cs="TimesNewRomanPSMT"/>
          <w:b w:val="0"/>
          <w:bCs w:val="0"/>
          <w:color w:val="000000"/>
          <w:sz w:val="21"/>
          <w:szCs w:val="21"/>
        </w:rPr>
        <w:t xml:space="preserve"> </w:t>
      </w:r>
      <w:r>
        <w:rPr>
          <w:rFonts w:ascii="宋体" w:hAnsi="宋体" w:eastAsia="宋体" w:cs="宋体"/>
          <w:b w:val="0"/>
          <w:bCs w:val="0"/>
          <w:color w:val="000000"/>
          <w:sz w:val="21"/>
          <w:szCs w:val="21"/>
        </w:rPr>
        <w:t>上述违约金在当期支付时扣除，或在履约担保金中直接扣除。</w:t>
      </w:r>
      <w:r>
        <w:rPr>
          <w:rFonts w:hint="default" w:ascii="TimesNewRomanPSMT" w:hAnsi="TimesNewRomanPSMT" w:eastAsia="TimesNewRomanPSMT" w:cs="TimesNewRomanPSMT"/>
          <w:b w:val="0"/>
          <w:bCs w:val="0"/>
          <w:color w:val="000000"/>
          <w:sz w:val="21"/>
          <w:szCs w:val="21"/>
        </w:rPr>
        <w:t xml:space="preserve"> </w:t>
      </w:r>
      <w:r>
        <w:rPr>
          <w:rFonts w:ascii="宋体" w:hAnsi="宋体" w:eastAsia="宋体" w:cs="宋体"/>
          <w:b w:val="0"/>
          <w:bCs w:val="0"/>
          <w:color w:val="000000"/>
          <w:sz w:val="21"/>
          <w:szCs w:val="21"/>
        </w:rPr>
        <w:t>4.8 保障承包人人员的合法权益。</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31"/>
        </w:numPr>
        <w:suppressLineNumbers w:val="0"/>
        <w:kinsoku/>
        <w:overflowPunct/>
        <w:autoSpaceDE w:val="0"/>
        <w:autoSpaceDN w:val="0"/>
        <w:bidi w:val="0"/>
        <w:spacing w:before="0" w:beforeLines="0" w:beforeAutospacing="0" w:after="0" w:afterLines="0" w:afterAutospacing="0" w:line="360" w:lineRule="auto"/>
        <w:ind w:left="525" w:leftChars="0" w:right="0" w:rightChars="0" w:firstLine="0" w:firstLineChars="0"/>
        <w:jc w:val="left"/>
        <w:rPr>
          <w:rFonts w:hint="eastAsia" w:ascii="宋体" w:hAnsi="宋体" w:eastAsia="宋体" w:cs="宋体"/>
          <w:kern w:val="0"/>
          <w:sz w:val="24"/>
          <w:szCs w:val="24"/>
        </w:rPr>
      </w:pPr>
      <w:r>
        <w:rPr>
          <w:rFonts w:ascii="宋体" w:hAnsi="宋体" w:eastAsia="宋体" w:cs="宋体"/>
          <w:b w:val="0"/>
          <w:bCs w:val="0"/>
          <w:color w:val="000000"/>
          <w:sz w:val="21"/>
          <w:szCs w:val="21"/>
        </w:rPr>
        <w:t>本项补充第 4.8.7 项：</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4.8.7 参与信用评价。</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根据交通行政主管部门的有关规定（包括《河南省公路建设施工企业信用评价办法（试行）》（豫交工（2007）32 号）当以及实时调整、补充的其他规定），承包人应参加由发包人对本项目参建施工企业进行的排序等信用评价工作。</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2"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bCs/>
          <w:color w:val="000000"/>
          <w:sz w:val="21"/>
          <w:szCs w:val="21"/>
        </w:rPr>
        <w:t>4.11 不利物质条件</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4.11.1 不利物质条件的范围：外部环境协调。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2"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bCs/>
          <w:color w:val="000000"/>
          <w:sz w:val="21"/>
          <w:szCs w:val="21"/>
        </w:rPr>
        <w:t>10.1 合同进度计划</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承包人编制施工方案的内容：</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32"/>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总体施工组织布置及规划；</w:t>
      </w:r>
    </w:p>
    <w:p>
      <w:pPr>
        <w:pStyle w:val="17"/>
        <w:keepNext w:val="0"/>
        <w:keepLines w:val="0"/>
        <w:pageBreakBefore w:val="0"/>
        <w:widowControl/>
        <w:numPr>
          <w:ilvl w:val="0"/>
          <w:numId w:val="32"/>
        </w:numPr>
        <w:suppressLineNumbers w:val="0"/>
        <w:kinsoku/>
        <w:overflowPunct/>
        <w:autoSpaceDE w:val="0"/>
        <w:autoSpaceDN w:val="0"/>
        <w:bidi w:val="0"/>
        <w:spacing w:before="0" w:beforeLines="0" w:beforeAutospacing="0" w:after="0" w:afterLines="0" w:afterAutospacing="0" w:line="360" w:lineRule="auto"/>
        <w:ind w:left="0" w:leftChars="0"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主要工程项目施工方案、方法与技术措施；</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32"/>
        </w:numPr>
        <w:suppressLineNumbers w:val="0"/>
        <w:kinsoku/>
        <w:overflowPunct/>
        <w:autoSpaceDE w:val="0"/>
        <w:autoSpaceDN w:val="0"/>
        <w:bidi w:val="0"/>
        <w:spacing w:before="0" w:beforeLines="0" w:beforeAutospacing="0" w:after="0" w:afterLines="0" w:afterAutospacing="0" w:line="360" w:lineRule="auto"/>
        <w:ind w:left="0" w:leftChars="0"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施工过程的难点、重点分析；</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32"/>
        </w:numPr>
        <w:suppressLineNumbers w:val="0"/>
        <w:kinsoku/>
        <w:overflowPunct/>
        <w:autoSpaceDE w:val="0"/>
        <w:autoSpaceDN w:val="0"/>
        <w:bidi w:val="0"/>
        <w:spacing w:before="0" w:beforeLines="0" w:beforeAutospacing="0" w:after="0" w:afterLines="0" w:afterAutospacing="0" w:line="360" w:lineRule="auto"/>
        <w:ind w:left="0" w:leftChars="0"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工程质量管理体系及保证措施；</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32"/>
        </w:numPr>
        <w:suppressLineNumbers w:val="0"/>
        <w:kinsoku/>
        <w:overflowPunct/>
        <w:autoSpaceDE w:val="0"/>
        <w:autoSpaceDN w:val="0"/>
        <w:bidi w:val="0"/>
        <w:spacing w:before="0" w:beforeLines="0" w:beforeAutospacing="0" w:after="0" w:afterLines="0" w:afterAutospacing="0" w:line="360" w:lineRule="auto"/>
        <w:ind w:left="0" w:leftChars="0"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安全生产管理体系及保证措施；</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32"/>
        </w:numPr>
        <w:suppressLineNumbers w:val="0"/>
        <w:kinsoku/>
        <w:overflowPunct/>
        <w:autoSpaceDE w:val="0"/>
        <w:autoSpaceDN w:val="0"/>
        <w:bidi w:val="0"/>
        <w:spacing w:before="0" w:beforeLines="0" w:beforeAutospacing="0" w:after="0" w:afterLines="0" w:afterAutospacing="0" w:line="360" w:lineRule="auto"/>
        <w:ind w:left="0" w:leftChars="0" w:right="0" w:rightChars="0" w:firstLine="420" w:firstLineChars="20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工期保证体系及保证措施；</w:t>
      </w:r>
    </w:p>
    <w:p>
      <w:pPr>
        <w:pStyle w:val="17"/>
        <w:keepNext w:val="0"/>
        <w:keepLines w:val="0"/>
        <w:pageBreakBefore w:val="0"/>
        <w:widowControl/>
        <w:numPr>
          <w:ilvl w:val="0"/>
          <w:numId w:val="32"/>
        </w:numPr>
        <w:suppressLineNumbers w:val="0"/>
        <w:kinsoku/>
        <w:overflowPunct/>
        <w:autoSpaceDE w:val="0"/>
        <w:autoSpaceDN w:val="0"/>
        <w:bidi w:val="0"/>
        <w:spacing w:before="0" w:beforeLines="0" w:beforeAutospacing="0" w:after="0" w:afterLines="0" w:afterAutospacing="0" w:line="360" w:lineRule="auto"/>
        <w:ind w:left="0" w:leftChars="0"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环境保护、文明施工及保证措施；</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32"/>
        </w:numPr>
        <w:suppressLineNumbers w:val="0"/>
        <w:kinsoku/>
        <w:overflowPunct/>
        <w:autoSpaceDE w:val="0"/>
        <w:autoSpaceDN w:val="0"/>
        <w:bidi w:val="0"/>
        <w:spacing w:before="0" w:beforeLines="0" w:beforeAutospacing="0" w:after="0" w:afterLines="0" w:afterAutospacing="0" w:line="360" w:lineRule="auto"/>
        <w:ind w:left="0" w:leftChars="0" w:right="0" w:rightChars="0" w:firstLine="420" w:firstLineChars="20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信息化技术应用；</w:t>
      </w:r>
    </w:p>
    <w:p>
      <w:pPr>
        <w:pStyle w:val="17"/>
        <w:keepNext w:val="0"/>
        <w:keepLines w:val="0"/>
        <w:pageBreakBefore w:val="0"/>
        <w:widowControl/>
        <w:numPr>
          <w:ilvl w:val="0"/>
          <w:numId w:val="32"/>
        </w:numPr>
        <w:suppressLineNumbers w:val="0"/>
        <w:kinsoku/>
        <w:overflowPunct/>
        <w:autoSpaceDE w:val="0"/>
        <w:autoSpaceDN w:val="0"/>
        <w:bidi w:val="0"/>
        <w:spacing w:before="0" w:beforeLines="0" w:beforeAutospacing="0" w:after="0" w:afterLines="0" w:afterAutospacing="0" w:line="360" w:lineRule="auto"/>
        <w:ind w:left="0" w:leftChars="0"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项目风险预测与防范，事故应急预案；</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lang w:val="en-US" w:eastAsia="zh-CN"/>
        </w:rPr>
        <w:t>10</w:t>
      </w:r>
      <w:r>
        <w:rPr>
          <w:rFonts w:hint="eastAsia" w:ascii="宋体" w:hAnsi="宋体" w:eastAsia="宋体" w:cs="宋体"/>
          <w:b w:val="0"/>
          <w:bCs w:val="0"/>
          <w:color w:val="000000"/>
          <w:sz w:val="21"/>
          <w:szCs w:val="21"/>
          <w:lang w:eastAsia="zh-CN"/>
        </w:rPr>
        <w:t>）</w:t>
      </w:r>
      <w:r>
        <w:rPr>
          <w:rFonts w:ascii="宋体" w:hAnsi="宋体" w:eastAsia="宋体" w:cs="宋体"/>
          <w:b w:val="0"/>
          <w:bCs w:val="0"/>
          <w:color w:val="000000"/>
          <w:sz w:val="21"/>
          <w:szCs w:val="21"/>
        </w:rPr>
        <w:t>其他应说明的事项。</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bCs/>
          <w:color w:val="000000"/>
          <w:sz w:val="21"/>
          <w:szCs w:val="21"/>
        </w:rPr>
        <w:t>11.4 异常恶劣的气候条件</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异常恶劣的气候条件的范围：本合同工程指发货所能烈度为七度以上地震、龙卷风、超过百年一遇洪 水位等引起的延误情况。</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hint="default" w:ascii="TimesNewRomanPS-BoldMT" w:hAnsi="TimesNewRomanPS-BoldMT" w:eastAsia="TimesNewRomanPS-BoldMT" w:cs="TimesNewRomanPS-BoldMT"/>
          <w:b w:val="0"/>
          <w:bCs w:val="0"/>
          <w:color w:val="000000"/>
          <w:sz w:val="21"/>
          <w:szCs w:val="21"/>
        </w:rPr>
      </w:pPr>
      <w:r>
        <w:rPr>
          <w:rFonts w:hint="default" w:ascii="TimesNewRomanPSMT" w:hAnsi="TimesNewRomanPSMT" w:eastAsia="TimesNewRomanPSMT" w:cs="TimesNewRomanPSMT"/>
          <w:b w:val="0"/>
          <w:bCs w:val="0"/>
          <w:color w:val="000000"/>
          <w:sz w:val="21"/>
          <w:szCs w:val="21"/>
        </w:rPr>
        <w:t xml:space="preserve"> </w:t>
      </w:r>
      <w:r>
        <w:rPr>
          <w:rFonts w:ascii="宋体" w:hAnsi="宋体" w:eastAsia="宋体" w:cs="宋体"/>
          <w:b/>
          <w:bCs/>
          <w:color w:val="000000"/>
          <w:sz w:val="21"/>
          <w:szCs w:val="21"/>
        </w:rPr>
        <w:t>12.1 承包人暂停施工的责任</w:t>
      </w:r>
      <w:r>
        <w:rPr>
          <w:rFonts w:hint="default" w:ascii="TimesNewRomanPS-BoldMT" w:hAnsi="TimesNewRomanPS-BoldMT" w:eastAsia="TimesNewRomanPS-BoldMT" w:cs="TimesNewRomanPS-Bold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12.1 （6）由承包人承担的其他暂停施工：</w:t>
      </w:r>
      <w:r>
        <w:rPr>
          <w:rFonts w:ascii="宋体" w:hAnsi="宋体" w:eastAsia="宋体" w:cs="宋体"/>
          <w:b w:val="0"/>
          <w:bCs w:val="0"/>
          <w:color w:val="000000"/>
          <w:sz w:val="21"/>
          <w:szCs w:val="21"/>
          <w:u w:val="single"/>
        </w:rPr>
        <w:t xml:space="preserve"> /</w:t>
      </w:r>
      <w:r>
        <w:rPr>
          <w:rFonts w:ascii="宋体" w:hAnsi="宋体" w:eastAsia="宋体" w:cs="宋体"/>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2" w:firstLineChars="200"/>
        <w:jc w:val="left"/>
        <w:rPr>
          <w:rFonts w:hint="default" w:ascii="TimesNewRomanPS-BoldMT" w:hAnsi="TimesNewRomanPS-BoldMT" w:eastAsia="TimesNewRomanPS-BoldMT" w:cs="TimesNewRomanPS-BoldMT"/>
          <w:b w:val="0"/>
          <w:bCs w:val="0"/>
          <w:color w:val="000000"/>
          <w:sz w:val="21"/>
          <w:szCs w:val="21"/>
        </w:rPr>
      </w:pPr>
      <w:r>
        <w:rPr>
          <w:rFonts w:ascii="宋体" w:hAnsi="宋体" w:eastAsia="宋体" w:cs="宋体"/>
          <w:b/>
          <w:bCs/>
          <w:color w:val="000000"/>
          <w:sz w:val="21"/>
          <w:szCs w:val="21"/>
        </w:rPr>
        <w:t>13. 工程质量</w:t>
      </w:r>
      <w:r>
        <w:rPr>
          <w:rFonts w:hint="default" w:ascii="TimesNewRomanPS-BoldMT" w:hAnsi="TimesNewRomanPS-BoldMT" w:eastAsia="TimesNewRomanPS-BoldMT" w:cs="TimesNewRomanPS-Bold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第 13.1.1 项补充为：</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630" w:firstLineChars="30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在工程实施全过程中，所引用的标准和规范如果有修改或新颁，需按照执行，承包人应在监理工程师 的监督下按发包人的决定执行。采用新标准或新规范所增加的费用应作为承包人的风险，由承包人在投标 报价中充分考虑由此增加的施工费用，由此发生的一切费用视为已计入合同价格中，不得就此要求发包人 给予额外费用补贴。</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hint="default" w:ascii="TimesNewRomanPS-BoldMT" w:hAnsi="TimesNewRomanPS-BoldMT" w:eastAsia="TimesNewRomanPS-BoldMT" w:cs="TimesNewRomanPS-BoldMT"/>
          <w:b w:val="0"/>
          <w:bCs w:val="0"/>
          <w:color w:val="000000"/>
          <w:sz w:val="21"/>
          <w:szCs w:val="21"/>
        </w:rPr>
      </w:pPr>
      <w:r>
        <w:rPr>
          <w:rFonts w:hint="default" w:ascii="TimesNewRomanPSMT" w:hAnsi="TimesNewRomanPSMT" w:eastAsia="TimesNewRomanPSMT" w:cs="TimesNewRomanPSMT"/>
          <w:b w:val="0"/>
          <w:bCs w:val="0"/>
          <w:color w:val="000000"/>
          <w:sz w:val="21"/>
          <w:szCs w:val="21"/>
        </w:rPr>
        <w:t xml:space="preserve"> </w:t>
      </w:r>
      <w:r>
        <w:rPr>
          <w:rFonts w:ascii="宋体" w:hAnsi="宋体" w:eastAsia="宋体" w:cs="宋体"/>
          <w:b/>
          <w:bCs/>
          <w:color w:val="000000"/>
          <w:sz w:val="21"/>
          <w:szCs w:val="21"/>
        </w:rPr>
        <w:t>15.4 变更的估价原则</w:t>
      </w:r>
      <w:r>
        <w:rPr>
          <w:rFonts w:hint="default" w:ascii="TimesNewRomanPS-BoldMT" w:hAnsi="TimesNewRomanPS-BoldMT" w:eastAsia="TimesNewRomanPS-BoldMT" w:cs="TimesNewRomanPS-Bold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本款补充：</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设计变更程序应执行交通部《公路工程设计变更管理办法》、河南省交通运输厅及洛阳市的相关规定。</w:t>
      </w:r>
      <w:r>
        <w:rPr>
          <w:rFonts w:hint="default" w:ascii="TimesNewRomanPSMT" w:hAnsi="TimesNewRomanPSMT" w:eastAsia="TimesNewRomanPSMT" w:cs="TimesNewRomanPSMT"/>
          <w:b w:val="0"/>
          <w:bCs w:val="0"/>
          <w:color w:val="000000"/>
          <w:sz w:val="21"/>
          <w:szCs w:val="21"/>
        </w:rPr>
        <w:t xml:space="preserve"> </w:t>
      </w:r>
      <w:r>
        <w:rPr>
          <w:rFonts w:ascii="宋体" w:hAnsi="宋体" w:eastAsia="宋体" w:cs="宋体"/>
          <w:b w:val="0"/>
          <w:bCs w:val="0"/>
          <w:color w:val="000000"/>
          <w:sz w:val="21"/>
          <w:szCs w:val="21"/>
        </w:rPr>
        <w:t>变更工程数量审批后，乙方可以申请变更工程作价，变更作价原则如下：</w:t>
      </w:r>
    </w:p>
    <w:p>
      <w:pPr>
        <w:pStyle w:val="17"/>
        <w:keepNext w:val="0"/>
        <w:keepLines w:val="0"/>
        <w:pageBreakBefore w:val="0"/>
        <w:widowControl/>
        <w:numPr>
          <w:ilvl w:val="0"/>
          <w:numId w:val="33"/>
        </w:numPr>
        <w:suppressLineNumbers w:val="0"/>
        <w:kinsoku/>
        <w:overflowPunct/>
        <w:autoSpaceDE w:val="0"/>
        <w:autoSpaceDN w:val="0"/>
        <w:bidi w:val="0"/>
        <w:spacing w:before="0" w:beforeLines="0" w:beforeAutospacing="0" w:after="0" w:afterLines="0" w:afterAutospacing="0" w:line="360" w:lineRule="auto"/>
        <w:ind w:left="525" w:leftChars="0" w:right="0" w:rightChars="0" w:firstLine="0" w:firstLine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已标价工程量清单中有适用于变更工程项目的，应采用该项目的单价；</w:t>
      </w:r>
    </w:p>
    <w:p>
      <w:pPr>
        <w:pStyle w:val="17"/>
        <w:keepNext w:val="0"/>
        <w:keepLines w:val="0"/>
        <w:pageBreakBefore w:val="0"/>
        <w:widowControl/>
        <w:numPr>
          <w:ilvl w:val="0"/>
          <w:numId w:val="33"/>
        </w:numPr>
        <w:suppressLineNumbers w:val="0"/>
        <w:kinsoku/>
        <w:overflowPunct/>
        <w:autoSpaceDE w:val="0"/>
        <w:autoSpaceDN w:val="0"/>
        <w:bidi w:val="0"/>
        <w:spacing w:before="0" w:beforeLines="0" w:beforeAutospacing="0" w:after="0" w:afterLines="0" w:afterAutospacing="0" w:line="360" w:lineRule="auto"/>
        <w:ind w:left="525" w:leftChars="0" w:right="0" w:rightChars="0" w:firstLine="0" w:firstLine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已标价工程量清单中没有适用但有类似于变更工程项目的，可在合理范围内参照类似项目的</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单价；</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33"/>
        </w:numPr>
        <w:suppressLineNumbers w:val="0"/>
        <w:kinsoku/>
        <w:overflowPunct/>
        <w:autoSpaceDE w:val="0"/>
        <w:autoSpaceDN w:val="0"/>
        <w:bidi w:val="0"/>
        <w:spacing w:before="0" w:beforeLines="0" w:beforeAutospacing="0" w:after="0" w:afterLines="0" w:afterAutospacing="0" w:line="360" w:lineRule="auto"/>
        <w:ind w:left="525" w:leftChars="0" w:right="0" w:rightChars="0" w:firstLine="0" w:firstLine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已标价工程量清单中没有适用也没有类似于变更工程项目的，由乙方根据变更工程资料、计</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量规则和计价办法、工程造价管理机构发布的信息价格和乙方报价浮动率提出变更工程项目的价，并应报甲方确认后调整。乙方报价浮动率可按下列公式计算：</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乙方报价浮动率 L＝（1-中标价/招标控制价）×100%</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33"/>
        </w:numPr>
        <w:suppressLineNumbers w:val="0"/>
        <w:kinsoku/>
        <w:overflowPunct/>
        <w:autoSpaceDE w:val="0"/>
        <w:autoSpaceDN w:val="0"/>
        <w:bidi w:val="0"/>
        <w:spacing w:before="0" w:beforeLines="0" w:beforeAutospacing="0" w:after="0" w:afterLines="0" w:afterAutospacing="0" w:line="360" w:lineRule="auto"/>
        <w:ind w:left="525" w:leftChars="0" w:right="0" w:rightChars="0" w:firstLine="0" w:firstLine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已标价工程量清单中没有适用，也没有类似于变更工程项目，且工程造价管理机构发布的信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息价格缺价的，应由乙方根据变更工程资料、计量规则、计价办法和通过市场调查等取得有合法依据的 市场价格提出变更工程项目的单价，并应报甲方确认后调整。</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525" w:leftChars="0" w:right="0" w:rightChars="0"/>
        <w:jc w:val="left"/>
        <w:rPr>
          <w:rFonts w:ascii="宋体" w:hAnsi="宋体" w:eastAsia="宋体" w:cs="宋体"/>
          <w:b w:val="0"/>
          <w:bCs w:val="0"/>
          <w:color w:val="000000"/>
          <w:sz w:val="21"/>
          <w:szCs w:val="21"/>
        </w:rPr>
      </w:pPr>
      <w:r>
        <w:rPr>
          <w:rFonts w:ascii="宋体" w:hAnsi="宋体" w:eastAsia="宋体" w:cs="宋体"/>
          <w:b/>
          <w:bCs/>
          <w:color w:val="000000"/>
          <w:sz w:val="21"/>
          <w:szCs w:val="21"/>
        </w:rPr>
        <w:t>16 价格调整</w:t>
      </w:r>
      <w:r>
        <w:rPr>
          <w:rFonts w:ascii="宋体" w:hAnsi="宋体" w:eastAsia="宋体" w:cs="宋体"/>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525" w:leftChars="0" w:right="0" w:right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增加 16.1.2 款：</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525" w:leftChars="0" w:right="0" w:right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物价波动引起的价格调整：按照河南交通建设项目工程施工主要材料价差调整的指导意见(豫交建</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管函 〔2021〕15 号)文件执行，遵守以下原则： </w:t>
      </w:r>
    </w:p>
    <w:p>
      <w:pPr>
        <w:pStyle w:val="17"/>
        <w:keepNext w:val="0"/>
        <w:keepLines w:val="0"/>
        <w:pageBreakBefore w:val="0"/>
        <w:widowControl/>
        <w:numPr>
          <w:ilvl w:val="0"/>
          <w:numId w:val="34"/>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对主要材料价格波动进行合同价格调整，非主要材料价格波动则不调整合同价格；主要材料包括钢</w:t>
      </w:r>
      <w:r>
        <w:rPr>
          <w:rFonts w:hint="default" w:ascii="TimesNewRomanPSMT" w:hAnsi="TimesNewRomanPSMT" w:eastAsia="TimesNewRomanPSMT" w:cs="TimesNewRomanPSMT"/>
          <w:b w:val="0"/>
          <w:bCs w:val="0"/>
          <w:color w:val="000000"/>
          <w:sz w:val="18"/>
          <w:szCs w:val="18"/>
        </w:rPr>
        <w:t xml:space="preserve"> 98 </w:t>
      </w:r>
      <w:r>
        <w:rPr>
          <w:rFonts w:ascii="宋体" w:hAnsi="宋体" w:eastAsia="宋体" w:cs="宋体"/>
          <w:b w:val="0"/>
          <w:bCs w:val="0"/>
          <w:color w:val="000000"/>
          <w:sz w:val="21"/>
          <w:szCs w:val="21"/>
        </w:rPr>
        <w:t xml:space="preserve">材、水泥、沥青、燃油以及地材中的中粗砂、碎石、生石灰等，具体主要材料详见豫交建管函〔2021〕15 号文件规定； </w:t>
      </w:r>
    </w:p>
    <w:p>
      <w:pPr>
        <w:pStyle w:val="17"/>
        <w:keepNext w:val="0"/>
        <w:keepLines w:val="0"/>
        <w:pageBreakBefore w:val="0"/>
        <w:widowControl/>
        <w:numPr>
          <w:ilvl w:val="0"/>
          <w:numId w:val="34"/>
        </w:numPr>
        <w:suppressLineNumbers w:val="0"/>
        <w:kinsoku/>
        <w:overflowPunct/>
        <w:autoSpaceDE w:val="0"/>
        <w:autoSpaceDN w:val="0"/>
        <w:bidi w:val="0"/>
        <w:spacing w:before="0" w:beforeLines="0" w:beforeAutospacing="0" w:after="0" w:afterLines="0" w:afterAutospacing="0" w:line="360" w:lineRule="auto"/>
        <w:ind w:left="0" w:leftChars="0" w:right="0" w:rightChars="0" w:firstLine="420" w:firstLineChars="20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调整周期：自项目建设形成工程实体起，按月计算、按季度为周期进行调价计量。</w:t>
      </w:r>
    </w:p>
    <w:p>
      <w:pPr>
        <w:pStyle w:val="17"/>
        <w:keepNext w:val="0"/>
        <w:keepLines w:val="0"/>
        <w:pageBreakBefore w:val="0"/>
        <w:widowControl/>
        <w:numPr>
          <w:ilvl w:val="0"/>
          <w:numId w:val="34"/>
        </w:numPr>
        <w:suppressLineNumbers w:val="0"/>
        <w:kinsoku/>
        <w:overflowPunct/>
        <w:autoSpaceDE w:val="0"/>
        <w:autoSpaceDN w:val="0"/>
        <w:bidi w:val="0"/>
        <w:spacing w:before="0" w:beforeLines="0" w:beforeAutospacing="0" w:after="0" w:afterLines="0" w:afterAutospacing="0" w:line="360" w:lineRule="auto"/>
        <w:ind w:left="0" w:leftChars="0" w:right="0" w:rightChars="0" w:firstLine="420" w:firstLineChars="20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计算材料价差调整费用的相关资料应收集完整，并整理成册作为竣工资料存档。 </w:t>
      </w:r>
    </w:p>
    <w:p>
      <w:pPr>
        <w:pStyle w:val="17"/>
        <w:keepNext w:val="0"/>
        <w:keepLines w:val="0"/>
        <w:pageBreakBefore w:val="0"/>
        <w:widowControl/>
        <w:numPr>
          <w:ilvl w:val="0"/>
          <w:numId w:val="34"/>
        </w:numPr>
        <w:suppressLineNumbers w:val="0"/>
        <w:kinsoku/>
        <w:overflowPunct/>
        <w:autoSpaceDE w:val="0"/>
        <w:autoSpaceDN w:val="0"/>
        <w:bidi w:val="0"/>
        <w:spacing w:before="0" w:beforeLines="0" w:beforeAutospacing="0" w:after="0" w:afterLines="0" w:afterAutospacing="0" w:line="360" w:lineRule="auto"/>
        <w:ind w:left="0" w:leftChars="0" w:right="0" w:rightChars="0" w:firstLine="420" w:firstLineChars="20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价差调整计算公式如下：</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Chars="200" w:right="0" w:right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价差调整费用（△Ct）</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Chars="200" w:right="0" w:right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△Ct＝（｜△C｜－Co×｜r％｜）×V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Chars="200" w:right="0" w:right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式中：△Ct：价差调整费用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Chars="200" w:right="0" w:right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△C：材料价差△C＝Ca－Co</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Chars="200" w:right="0" w:right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r％：材料价格涨降风险幅度</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Chars="200" w:right="0" w:right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Co：基准价</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Chars="200" w:right="0" w:right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Ca：调整价</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Chars="200" w:right="0" w:right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V：材料数量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Chars="200" w:right="0" w:right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基准价（Co）和调整价（Ca）</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Chars="200" w:right="0" w:right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基准价（Co）：依法实行施工招标的项目，发包人确定招标标底或者最高投标限价时河南省交通工</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程定额站或当地地市级以上造价专业机构发布的信息价格；依法不实行施工招标的项目，发包人与承包人约定的合同价编制时河南省交通工程定额站或当地地市级以上造价专业机构发布的信息价格。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调整价（Ca）：工程实体形成计量日期（监理工程师签认中间计量证书日期）前两个月，与基准价（Co） 同口径同来源的当期信息价格。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发布信息价格中无相同或相近的材料，基准价采用招标标底或者最高投标限价、合同价编制时的材料价格；调整价采用发包人、监理人、承包人三方调查核实的同口径市场价格。</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风险幅度(r%）</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在基准价（Co）取定的风险幅度内的价差作为发包人、承包人风险，不予调差。当材料价格上涨幅度 超过取定的｜r％｜值时，发包人应向承包人支付按条款计算的材料价差调整费用；下降幅度超过取定的｜ r％｜值时，发包人应从计量支付款中扣回按条款计算的材料价差调整费用。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应结合工程特点按基准价（Co）一定幅度范围确定风险系数（r％），并在招标文件和合同专用条款中 予以明确，但一般不宜超出下述幅度系数范围，涨降幅度系数应取一致：</w:t>
      </w:r>
    </w:p>
    <w:p>
      <w:pPr>
        <w:pStyle w:val="17"/>
        <w:keepNext w:val="0"/>
        <w:keepLines w:val="0"/>
        <w:pageBreakBefore w:val="0"/>
        <w:widowControl/>
        <w:numPr>
          <w:ilvl w:val="0"/>
          <w:numId w:val="35"/>
        </w:numPr>
        <w:suppressLineNumbers w:val="0"/>
        <w:kinsoku/>
        <w:overflowPunct/>
        <w:autoSpaceDE w:val="0"/>
        <w:autoSpaceDN w:val="0"/>
        <w:bidi w:val="0"/>
        <w:spacing w:before="0" w:beforeLines="0" w:beforeAutospacing="0" w:after="0" w:afterLines="0" w:afterAutospacing="0" w:line="360" w:lineRule="auto"/>
        <w:ind w:left="525" w:leftChars="0" w:right="0" w:rightChars="0" w:firstLine="0" w:firstLine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金属类、沥青类、橡胶护舷，风险幅度系数范围 r 取－5～＋5；</w:t>
      </w:r>
    </w:p>
    <w:p>
      <w:pPr>
        <w:pStyle w:val="17"/>
        <w:keepNext w:val="0"/>
        <w:keepLines w:val="0"/>
        <w:pageBreakBefore w:val="0"/>
        <w:widowControl/>
        <w:numPr>
          <w:ilvl w:val="0"/>
          <w:numId w:val="35"/>
        </w:numPr>
        <w:suppressLineNumbers w:val="0"/>
        <w:kinsoku/>
        <w:overflowPunct/>
        <w:autoSpaceDE w:val="0"/>
        <w:autoSpaceDN w:val="0"/>
        <w:bidi w:val="0"/>
        <w:spacing w:before="0" w:beforeLines="0" w:beforeAutospacing="0" w:after="0" w:afterLines="0" w:afterAutospacing="0" w:line="360" w:lineRule="auto"/>
        <w:ind w:left="525" w:leftChars="0" w:right="0" w:rightChars="0" w:firstLine="0" w:firstLine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水泥、水泥制品半成品（成品）、商品水泥砼、燃油，风险幅度系数范围 r 取－8～＋8；</w:t>
      </w:r>
    </w:p>
    <w:p>
      <w:pPr>
        <w:pStyle w:val="17"/>
        <w:keepNext w:val="0"/>
        <w:keepLines w:val="0"/>
        <w:pageBreakBefore w:val="0"/>
        <w:widowControl/>
        <w:numPr>
          <w:ilvl w:val="0"/>
          <w:numId w:val="35"/>
        </w:numPr>
        <w:suppressLineNumbers w:val="0"/>
        <w:kinsoku/>
        <w:overflowPunct/>
        <w:autoSpaceDE w:val="0"/>
        <w:autoSpaceDN w:val="0"/>
        <w:bidi w:val="0"/>
        <w:spacing w:before="0" w:beforeLines="0" w:beforeAutospacing="0" w:after="0" w:afterLines="0" w:afterAutospacing="0" w:line="360" w:lineRule="auto"/>
        <w:ind w:left="525" w:leftChars="0" w:right="0" w:rightChars="0" w:firstLine="0" w:firstLine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地材及其他，风险幅度系数范围 r 取－10～＋10。 材料数量（V） 指工程实际使用的可调差</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的材料数量，具体可调差材料数量的计算方法应在招标文件和合同专用条款 中细化明确，单类材料的调差总量原则上不应超过其预算定额消耗量。并同时按财政部门相关规定执行。</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bCs/>
          <w:color w:val="000000"/>
          <w:sz w:val="21"/>
          <w:szCs w:val="21"/>
        </w:rPr>
        <w:t xml:space="preserve"> 17.1 计量</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360" w:firstLineChars="200"/>
        <w:jc w:val="left"/>
        <w:rPr>
          <w:rFonts w:hint="default" w:ascii="TimesNewRomanPSMT" w:hAnsi="TimesNewRomanPSMT" w:eastAsia="TimesNewRomanPSMT" w:cs="TimesNewRomanPSMT"/>
          <w:b w:val="0"/>
          <w:bCs w:val="0"/>
          <w:color w:val="000000"/>
          <w:sz w:val="21"/>
          <w:szCs w:val="21"/>
        </w:rPr>
      </w:pPr>
      <w:r>
        <w:rPr>
          <w:rFonts w:hint="default" w:ascii="TimesNewRomanPSMT" w:hAnsi="TimesNewRomanPSMT" w:eastAsia="TimesNewRomanPSMT" w:cs="TimesNewRomanPSMT"/>
          <w:b w:val="0"/>
          <w:bCs w:val="0"/>
          <w:color w:val="000000"/>
          <w:sz w:val="18"/>
          <w:szCs w:val="18"/>
        </w:rPr>
        <w:t xml:space="preserve"> </w:t>
      </w:r>
      <w:r>
        <w:rPr>
          <w:rFonts w:ascii="宋体" w:hAnsi="宋体" w:eastAsia="宋体" w:cs="宋体"/>
          <w:b w:val="0"/>
          <w:bCs w:val="0"/>
          <w:color w:val="000000"/>
          <w:sz w:val="21"/>
          <w:szCs w:val="21"/>
        </w:rPr>
        <w:t>17.1.5 本项目工程量清单中总价子目的支付原则和支付进度：</w:t>
      </w:r>
      <w:r>
        <w:rPr>
          <w:rFonts w:ascii="宋体" w:hAnsi="宋体" w:eastAsia="宋体" w:cs="宋体"/>
          <w:b w:val="0"/>
          <w:bCs w:val="0"/>
          <w:color w:val="000000"/>
          <w:sz w:val="21"/>
          <w:szCs w:val="21"/>
          <w:u w:val="single"/>
        </w:rPr>
        <w:t>安全生产费等按投标报价说明中有关条款执行</w:t>
      </w:r>
      <w:r>
        <w:rPr>
          <w:rFonts w:ascii="宋体" w:hAnsi="宋体" w:eastAsia="宋体" w:cs="宋体"/>
          <w:b w:val="0"/>
          <w:bCs w:val="0"/>
          <w:color w:val="000000"/>
          <w:sz w:val="21"/>
          <w:szCs w:val="21"/>
        </w:rPr>
        <w:t>。</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本款补充第 17.1.6 项～17.1.8 项：</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hint="default" w:ascii="TimesNewRomanPSMT" w:hAnsi="TimesNewRomanPSMT" w:eastAsia="TimesNewRomanPSMT" w:cs="TimesNewRomanPSMT"/>
          <w:b w:val="0"/>
          <w:bCs w:val="0"/>
          <w:color w:val="000000"/>
          <w:sz w:val="21"/>
          <w:szCs w:val="21"/>
        </w:rPr>
        <w:t xml:space="preserve"> </w:t>
      </w:r>
      <w:r>
        <w:rPr>
          <w:rFonts w:ascii="宋体" w:hAnsi="宋体" w:eastAsia="宋体" w:cs="宋体"/>
          <w:b w:val="0"/>
          <w:bCs w:val="0"/>
          <w:color w:val="000000"/>
          <w:sz w:val="21"/>
          <w:szCs w:val="21"/>
        </w:rPr>
        <w:t>17.1.6 隐蔽工程、合同外工程的计量</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对于隐蔽工程合同外工程的计量，承包人和监理工程师要事先通知发包人。发包人届时将委托委派 合同管理人员协助计量。</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hint="default" w:ascii="TimesNewRomanPSMT" w:hAnsi="TimesNewRomanPSMT" w:eastAsia="TimesNewRomanPSMT" w:cs="TimesNewRomanPSMT"/>
          <w:b w:val="0"/>
          <w:bCs w:val="0"/>
          <w:color w:val="000000"/>
          <w:sz w:val="21"/>
          <w:szCs w:val="21"/>
        </w:rPr>
        <w:t xml:space="preserve"> </w:t>
      </w:r>
      <w:r>
        <w:rPr>
          <w:rFonts w:ascii="宋体" w:hAnsi="宋体" w:eastAsia="宋体" w:cs="宋体"/>
          <w:b w:val="0"/>
          <w:bCs w:val="0"/>
          <w:color w:val="000000"/>
          <w:sz w:val="21"/>
          <w:szCs w:val="21"/>
        </w:rPr>
        <w:t>17.1.7 已完工程的计量</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对于承包人已完工程的计量，必须做到签字齐全、记录完整、依据合理、计算准确。发包人认为有必要时，可随时委派人员进行复核。需要承包人配合（如开挖隐蔽工程等）的工作，其费用由承包人承担。 对于有弄虚作假行为的，将严肃处理有关责任人，直至勒令退出本工程，同时发包人有权对承包人进行经济处罚。</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ascii="宋体" w:hAnsi="宋体" w:eastAsia="宋体" w:cs="宋体"/>
          <w:b w:val="0"/>
          <w:bCs w:val="0"/>
          <w:color w:val="000000"/>
          <w:sz w:val="21"/>
          <w:szCs w:val="21"/>
        </w:rPr>
      </w:pPr>
      <w:r>
        <w:rPr>
          <w:rFonts w:hint="default" w:ascii="TimesNewRomanPSMT" w:hAnsi="TimesNewRomanPSMT" w:eastAsia="TimesNewRomanPSMT" w:cs="TimesNewRomanPSMT"/>
          <w:b w:val="0"/>
          <w:bCs w:val="0"/>
          <w:color w:val="000000"/>
          <w:sz w:val="21"/>
          <w:szCs w:val="21"/>
        </w:rPr>
        <w:t xml:space="preserve"> </w:t>
      </w:r>
      <w:r>
        <w:rPr>
          <w:rFonts w:ascii="宋体" w:hAnsi="宋体" w:eastAsia="宋体" w:cs="宋体"/>
          <w:b w:val="0"/>
          <w:bCs w:val="0"/>
          <w:color w:val="000000"/>
          <w:sz w:val="21"/>
          <w:szCs w:val="21"/>
        </w:rPr>
        <w:t>17.1.8 单价合同的计量</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ascii="宋体" w:hAnsi="宋体" w:eastAsia="宋体" w:cs="宋体"/>
          <w:b w:val="0"/>
          <w:bCs w:val="0"/>
          <w:color w:val="000000"/>
          <w:sz w:val="21"/>
          <w:szCs w:val="21"/>
        </w:rPr>
      </w:pPr>
      <w:r>
        <w:rPr>
          <w:rFonts w:hint="default" w:ascii="TimesNewRomanPSMT" w:hAnsi="TimesNewRomanPSMT" w:eastAsia="TimesNewRomanPSMT" w:cs="TimesNewRomanPSMT"/>
          <w:b w:val="0"/>
          <w:bCs w:val="0"/>
          <w:color w:val="000000"/>
          <w:sz w:val="21"/>
          <w:szCs w:val="21"/>
        </w:rPr>
        <w:t xml:space="preserve"> </w:t>
      </w:r>
      <w:r>
        <w:rPr>
          <w:rFonts w:ascii="宋体" w:hAnsi="宋体" w:eastAsia="宋体" w:cs="宋体"/>
          <w:b w:val="0"/>
          <w:bCs w:val="0"/>
          <w:color w:val="000000"/>
          <w:sz w:val="21"/>
          <w:szCs w:val="21"/>
        </w:rPr>
        <w:t>关于单价合同计量的约定：</w:t>
      </w:r>
    </w:p>
    <w:p>
      <w:pPr>
        <w:pStyle w:val="17"/>
        <w:keepNext w:val="0"/>
        <w:keepLines w:val="0"/>
        <w:pageBreakBefore w:val="0"/>
        <w:widowControl/>
        <w:numPr>
          <w:ilvl w:val="0"/>
          <w:numId w:val="36"/>
        </w:numPr>
        <w:suppressLineNumbers w:val="0"/>
        <w:kinsoku/>
        <w:overflowPunct/>
        <w:autoSpaceDE w:val="0"/>
        <w:autoSpaceDN w:val="0"/>
        <w:bidi w:val="0"/>
        <w:spacing w:before="0" w:beforeLines="0" w:beforeAutospacing="0" w:after="0" w:afterLines="0" w:afterAutospacing="0" w:line="360" w:lineRule="auto"/>
        <w:ind w:left="525" w:leftChars="0" w:right="0" w:rightChars="0" w:firstLine="0" w:firstLine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承包人应于每月 25 日向监理人报送上月 20 日至当月 19 日已完成的工程量报告，并附具</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进度付款申请单、已完成工程量报表和有关资料。</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36"/>
        </w:numPr>
        <w:suppressLineNumbers w:val="0"/>
        <w:kinsoku/>
        <w:overflowPunct/>
        <w:autoSpaceDE w:val="0"/>
        <w:autoSpaceDN w:val="0"/>
        <w:bidi w:val="0"/>
        <w:spacing w:before="0" w:beforeLines="0" w:beforeAutospacing="0" w:after="0" w:afterLines="0" w:afterAutospacing="0" w:line="360" w:lineRule="auto"/>
        <w:ind w:left="525" w:leftChars="0" w:right="0" w:rightChars="0" w:firstLine="0" w:firstLine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监理人应在收到承包人提交的工程量报告后 14 天内完成对承包人提交的工程量报表的审核</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并报送造价咨询单位、发包人，以确定当月实际完成的工程量。监理人对工程量有异议的，有权要求承包人进行共同复核或抽样复测。承包人应协助监理人进行复核和抽样复测，并按监理人要求提供补充计量资料。 承包人未按监理人要求参加复核或抽样复测的，监理人复核或修正的工程量视为承包人实际完成的工程量。</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36"/>
        </w:numPr>
        <w:suppressLineNumbers w:val="0"/>
        <w:kinsoku/>
        <w:overflowPunct/>
        <w:autoSpaceDE w:val="0"/>
        <w:autoSpaceDN w:val="0"/>
        <w:bidi w:val="0"/>
        <w:spacing w:before="0" w:beforeLines="0" w:beforeAutospacing="0" w:after="0" w:afterLines="0" w:afterAutospacing="0" w:line="360" w:lineRule="auto"/>
        <w:ind w:left="525" w:leftChars="0" w:right="0" w:rightChars="0" w:firstLine="0" w:firstLine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监理人未在收到承包人提交的工程量报表后的 14 天内完成审核的，承包人报送的工程量报</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表中的工程量视为承包人实际完成的工程量，据此计算工程价款。</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525" w:leftChars="0" w:right="0" w:rightChars="0"/>
        <w:jc w:val="left"/>
        <w:rPr>
          <w:rFonts w:hint="default" w:ascii="TimesNewRomanPS-BoldMT" w:hAnsi="TimesNewRomanPS-BoldMT" w:eastAsia="TimesNewRomanPS-BoldMT" w:cs="TimesNewRomanPS-BoldMT"/>
          <w:b w:val="0"/>
          <w:bCs w:val="0"/>
          <w:color w:val="000000"/>
          <w:sz w:val="21"/>
          <w:szCs w:val="21"/>
        </w:rPr>
      </w:pPr>
      <w:r>
        <w:rPr>
          <w:rFonts w:ascii="宋体" w:hAnsi="宋体" w:eastAsia="宋体" w:cs="宋体"/>
          <w:b/>
          <w:bCs/>
          <w:color w:val="000000"/>
          <w:sz w:val="21"/>
          <w:szCs w:val="21"/>
        </w:rPr>
        <w:t>17.2.2.预付款保函</w:t>
      </w:r>
      <w:r>
        <w:rPr>
          <w:rFonts w:hint="default" w:ascii="TimesNewRomanPS-BoldMT" w:hAnsi="TimesNewRomanPS-BoldMT" w:eastAsia="TimesNewRomanPS-BoldMT" w:cs="TimesNewRomanPS-Bold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525" w:leftChars="0" w:right="0" w:right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本款约定为：按照豫公路工[2016]407 号文要求，本工程取消开工预付款保函。</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525" w:leftChars="0" w:right="0" w:rightChars="0"/>
        <w:jc w:val="left"/>
        <w:rPr>
          <w:rFonts w:hint="default" w:ascii="TimesNewRomanPS-BoldMT" w:hAnsi="TimesNewRomanPS-BoldMT" w:eastAsia="TimesNewRomanPS-BoldMT" w:cs="TimesNewRomanPS-BoldMT"/>
          <w:b w:val="0"/>
          <w:bCs w:val="0"/>
          <w:color w:val="000000"/>
          <w:sz w:val="21"/>
          <w:szCs w:val="21"/>
        </w:rPr>
      </w:pPr>
      <w:r>
        <w:rPr>
          <w:rFonts w:ascii="宋体" w:hAnsi="宋体" w:eastAsia="宋体" w:cs="宋体"/>
          <w:b/>
          <w:bCs/>
          <w:color w:val="000000"/>
          <w:sz w:val="21"/>
          <w:szCs w:val="21"/>
        </w:rPr>
        <w:t>17.3 工程进度付款</w:t>
      </w:r>
      <w:r>
        <w:rPr>
          <w:rFonts w:hint="default" w:ascii="TimesNewRomanPS-BoldMT" w:hAnsi="TimesNewRomanPS-BoldMT" w:eastAsia="TimesNewRomanPS-BoldMT" w:cs="TimesNewRomanPS-Bold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525" w:leftChars="0" w:right="0" w:right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17.3.5 农民工工资保证金的缴存时间：</w:t>
      </w:r>
      <w:r>
        <w:rPr>
          <w:rFonts w:hint="default" w:ascii="TimesNewRomanPSMT" w:hAnsi="TimesNewRomanPSMT" w:eastAsia="TimesNewRomanPSMT" w:cs="TimesNewRomanPSMT"/>
          <w:b w:val="0"/>
          <w:bCs w:val="0"/>
          <w:color w:val="000000"/>
          <w:sz w:val="21"/>
          <w:szCs w:val="21"/>
        </w:rPr>
        <w:t xml:space="preserve"> </w:t>
      </w:r>
      <w:r>
        <w:rPr>
          <w:rFonts w:hint="default" w:ascii="TimesNewRomanPSMT" w:hAnsi="TimesNewRomanPSMT" w:eastAsia="TimesNewRomanPSMT" w:cs="TimesNewRomanPSMT"/>
          <w:b w:val="0"/>
          <w:bCs w:val="0"/>
          <w:color w:val="000000"/>
          <w:sz w:val="21"/>
          <w:szCs w:val="21"/>
          <w:u w:val="single"/>
        </w:rPr>
        <w:t xml:space="preserve">/ </w:t>
      </w:r>
      <w:r>
        <w:rPr>
          <w:rFonts w:ascii="宋体" w:hAnsi="宋体" w:eastAsia="宋体" w:cs="宋体"/>
          <w:b w:val="0"/>
          <w:bCs w:val="0"/>
          <w:color w:val="000000"/>
          <w:sz w:val="21"/>
          <w:szCs w:val="21"/>
        </w:rPr>
        <w:t>。</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525" w:leftChars="0" w:right="0" w:right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农民工工资保证金的缴存金额：</w:t>
      </w:r>
      <w:r>
        <w:rPr>
          <w:rFonts w:hint="default" w:ascii="TimesNewRomanPSMT" w:hAnsi="TimesNewRomanPSMT" w:eastAsia="TimesNewRomanPSMT" w:cs="TimesNewRomanPSMT"/>
          <w:b w:val="0"/>
          <w:bCs w:val="0"/>
          <w:color w:val="000000"/>
          <w:sz w:val="21"/>
          <w:szCs w:val="21"/>
          <w:u w:val="single"/>
        </w:rPr>
        <w:t xml:space="preserve"> /</w:t>
      </w:r>
      <w:r>
        <w:rPr>
          <w:rFonts w:hint="default" w:ascii="TimesNewRomanPSMT" w:hAnsi="TimesNewRomanPSMT" w:eastAsia="TimesNewRomanPSMT" w:cs="TimesNewRomanPSMT"/>
          <w:b w:val="0"/>
          <w:bCs w:val="0"/>
          <w:color w:val="000000"/>
          <w:sz w:val="21"/>
          <w:szCs w:val="21"/>
        </w:rPr>
        <w:t xml:space="preserve"> </w:t>
      </w:r>
      <w:r>
        <w:rPr>
          <w:rFonts w:ascii="宋体" w:hAnsi="宋体" w:eastAsia="宋体" w:cs="宋体"/>
          <w:b w:val="0"/>
          <w:bCs w:val="0"/>
          <w:color w:val="000000"/>
          <w:sz w:val="21"/>
          <w:szCs w:val="21"/>
        </w:rPr>
        <w:t>。</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525" w:leftChars="0" w:right="0" w:rightChars="0"/>
        <w:jc w:val="left"/>
        <w:rPr>
          <w:rFonts w:hint="default" w:ascii="TimesNewRomanPSMT" w:hAnsi="TimesNewRomanPSMT" w:eastAsia="TimesNewRomanPSMT" w:cs="TimesNewRomanPSMT"/>
          <w:b w:val="0"/>
          <w:bCs w:val="0"/>
          <w:color w:val="000000"/>
          <w:sz w:val="21"/>
          <w:szCs w:val="21"/>
        </w:rPr>
      </w:pPr>
      <w:r>
        <w:rPr>
          <w:rFonts w:hint="default" w:ascii="TimesNewRomanPSMT" w:hAnsi="TimesNewRomanPSMT" w:eastAsia="TimesNewRomanPSMT" w:cs="TimesNewRomanPSMT"/>
          <w:b w:val="0"/>
          <w:bCs w:val="0"/>
          <w:color w:val="000000"/>
          <w:sz w:val="21"/>
          <w:szCs w:val="21"/>
        </w:rPr>
        <w:t xml:space="preserve"> </w:t>
      </w:r>
      <w:r>
        <w:rPr>
          <w:rFonts w:ascii="宋体" w:hAnsi="宋体" w:eastAsia="宋体" w:cs="宋体"/>
          <w:b w:val="0"/>
          <w:bCs w:val="0"/>
          <w:color w:val="000000"/>
          <w:sz w:val="21"/>
          <w:szCs w:val="21"/>
        </w:rPr>
        <w:t>农民工工资保证金的扣留条件：</w:t>
      </w:r>
      <w:r>
        <w:rPr>
          <w:rFonts w:hint="default" w:ascii="TimesNewRomanPSMT" w:hAnsi="TimesNewRomanPSMT" w:eastAsia="TimesNewRomanPSMT" w:cs="TimesNewRomanPSMT"/>
          <w:b w:val="0"/>
          <w:bCs w:val="0"/>
          <w:color w:val="000000"/>
          <w:sz w:val="21"/>
          <w:szCs w:val="21"/>
          <w:u w:val="single"/>
        </w:rPr>
        <w:t xml:space="preserve"> / </w:t>
      </w:r>
      <w:r>
        <w:rPr>
          <w:rFonts w:ascii="宋体" w:hAnsi="宋体" w:eastAsia="宋体" w:cs="宋体"/>
          <w:b w:val="0"/>
          <w:bCs w:val="0"/>
          <w:color w:val="000000"/>
          <w:sz w:val="21"/>
          <w:szCs w:val="21"/>
        </w:rPr>
        <w:t>。</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525" w:leftChars="0" w:right="0" w:right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农民工工资保证金的返还时间：</w:t>
      </w:r>
      <w:r>
        <w:rPr>
          <w:rFonts w:hint="default" w:ascii="TimesNewRomanPSMT" w:hAnsi="TimesNewRomanPSMT" w:eastAsia="TimesNewRomanPSMT" w:cs="TimesNewRomanPSMT"/>
          <w:b w:val="0"/>
          <w:bCs w:val="0"/>
          <w:color w:val="000000"/>
          <w:sz w:val="21"/>
          <w:szCs w:val="21"/>
          <w:u w:val="single"/>
        </w:rPr>
        <w:t xml:space="preserve"> /</w:t>
      </w:r>
      <w:r>
        <w:rPr>
          <w:rFonts w:hint="default" w:ascii="TimesNewRomanPSMT" w:hAnsi="TimesNewRomanPSMT" w:eastAsia="TimesNewRomanPSMT" w:cs="TimesNewRomanPSMT"/>
          <w:b w:val="0"/>
          <w:bCs w:val="0"/>
          <w:color w:val="000000"/>
          <w:sz w:val="21"/>
          <w:szCs w:val="21"/>
        </w:rPr>
        <w:t xml:space="preserve"> </w:t>
      </w:r>
      <w:r>
        <w:rPr>
          <w:rFonts w:ascii="宋体" w:hAnsi="宋体" w:eastAsia="宋体" w:cs="宋体"/>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ascii="宋体" w:hAnsi="宋体" w:eastAsia="宋体" w:cs="宋体"/>
          <w:b/>
          <w:bCs/>
          <w:color w:val="000000"/>
          <w:sz w:val="21"/>
          <w:szCs w:val="21"/>
        </w:rPr>
      </w:pPr>
      <w:r>
        <w:rPr>
          <w:rFonts w:hint="default" w:ascii="TimesNewRomanPSMT" w:hAnsi="TimesNewRomanPSMT" w:eastAsia="TimesNewRomanPSMT" w:cs="TimesNewRomanPSMT"/>
          <w:b w:val="0"/>
          <w:bCs w:val="0"/>
          <w:color w:val="000000"/>
          <w:sz w:val="18"/>
          <w:szCs w:val="18"/>
        </w:rPr>
        <w:t xml:space="preserve"> </w:t>
      </w:r>
      <w:r>
        <w:rPr>
          <w:rFonts w:ascii="宋体" w:hAnsi="宋体" w:eastAsia="宋体" w:cs="宋体"/>
          <w:b/>
          <w:bCs/>
          <w:color w:val="000000"/>
          <w:sz w:val="21"/>
          <w:szCs w:val="21"/>
        </w:rPr>
        <w:t>21.1 不可抗力的确认</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hint="default" w:ascii="TimesNewRomanPSMT" w:hAnsi="TimesNewRomanPSMT" w:eastAsia="TimesNewRomanPSMT" w:cs="TimesNewRomanPSMT"/>
          <w:b w:val="0"/>
          <w:bCs w:val="0"/>
          <w:color w:val="000000"/>
          <w:sz w:val="21"/>
          <w:szCs w:val="21"/>
        </w:rPr>
        <w:t xml:space="preserve"> </w:t>
      </w:r>
      <w:r>
        <w:rPr>
          <w:rFonts w:ascii="宋体" w:hAnsi="宋体" w:eastAsia="宋体" w:cs="宋体"/>
          <w:b w:val="0"/>
          <w:bCs w:val="0"/>
          <w:color w:val="000000"/>
          <w:sz w:val="21"/>
          <w:szCs w:val="21"/>
        </w:rPr>
        <w:t>21.1.1（6）不可抗力的其他情形：</w:t>
      </w:r>
      <w:r>
        <w:rPr>
          <w:rFonts w:ascii="宋体" w:hAnsi="宋体" w:eastAsia="宋体" w:cs="宋体"/>
          <w:b w:val="0"/>
          <w:bCs w:val="0"/>
          <w:color w:val="000000"/>
          <w:sz w:val="21"/>
          <w:szCs w:val="21"/>
          <w:u w:val="single"/>
        </w:rPr>
        <w:t>无</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bCs/>
          <w:color w:val="000000"/>
          <w:sz w:val="21"/>
          <w:szCs w:val="21"/>
        </w:rPr>
        <w:t>22.1</w:t>
      </w:r>
      <w:r>
        <w:rPr>
          <w:rFonts w:ascii="宋体" w:hAnsi="宋体" w:eastAsia="宋体" w:cs="宋体"/>
          <w:b w:val="0"/>
          <w:bCs w:val="0"/>
          <w:color w:val="000000"/>
          <w:sz w:val="21"/>
          <w:szCs w:val="21"/>
        </w:rPr>
        <w:t xml:space="preserve"> </w:t>
      </w:r>
      <w:r>
        <w:rPr>
          <w:rFonts w:ascii="宋体" w:hAnsi="宋体" w:eastAsia="宋体" w:cs="宋体"/>
          <w:b/>
          <w:bCs/>
          <w:color w:val="000000"/>
          <w:sz w:val="21"/>
          <w:szCs w:val="21"/>
        </w:rPr>
        <w:t>承包人违约</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第 22.1.1 补充</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hint="default" w:ascii="TimesNewRomanPSMT" w:hAnsi="TimesNewRomanPSMT" w:eastAsia="TimesNewRomanPSMT" w:cs="TimesNewRomanPSMT"/>
          <w:b w:val="0"/>
          <w:bCs w:val="0"/>
          <w:color w:val="000000"/>
          <w:sz w:val="21"/>
          <w:szCs w:val="21"/>
        </w:rPr>
      </w:pPr>
      <w:r>
        <w:rPr>
          <w:rFonts w:hint="default" w:ascii="TimesNewRomanPSMT" w:hAnsi="TimesNewRomanPSMT" w:eastAsia="TimesNewRomanPSMT" w:cs="TimesNewRomanPSMT"/>
          <w:b w:val="0"/>
          <w:bCs w:val="0"/>
          <w:color w:val="000000"/>
          <w:sz w:val="21"/>
          <w:szCs w:val="21"/>
        </w:rPr>
        <w:t xml:space="preserve"> </w:t>
      </w:r>
      <w:r>
        <w:rPr>
          <w:rFonts w:ascii="宋体" w:hAnsi="宋体" w:eastAsia="宋体" w:cs="宋体"/>
          <w:b w:val="0"/>
          <w:bCs w:val="0"/>
          <w:color w:val="000000"/>
          <w:sz w:val="21"/>
          <w:szCs w:val="21"/>
        </w:rPr>
        <w:t>承包人违约责任的承担方式和计算方法：</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（1）无瑕疵履行：承包人提供的服务、产品或者实施的工程数量、质量等不符合要求的，承包人应 承担改进、更换、返工等责任；</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（2）支付违约金、罚金、罚款：按照合同条款的约定执行；</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（3）赔偿损失：赔偿发包人的实际损失（含合同履行后发包人可以获得的利益）；</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（4）对于承包人实施总承包管理的安装等工程，承包人按本合同约定比例承担连带责任。</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其中：</w:t>
      </w:r>
    </w:p>
    <w:p>
      <w:pPr>
        <w:pStyle w:val="17"/>
        <w:keepNext w:val="0"/>
        <w:keepLines w:val="0"/>
        <w:pageBreakBefore w:val="0"/>
        <w:widowControl/>
        <w:numPr>
          <w:ilvl w:val="0"/>
          <w:numId w:val="37"/>
        </w:numPr>
        <w:suppressLineNumbers w:val="0"/>
        <w:kinsoku/>
        <w:overflowPunct/>
        <w:autoSpaceDE w:val="0"/>
        <w:autoSpaceDN w:val="0"/>
        <w:bidi w:val="0"/>
        <w:spacing w:before="0" w:beforeLines="0" w:beforeAutospacing="0" w:after="0" w:afterLines="0" w:afterAutospacing="0" w:line="360" w:lineRule="auto"/>
        <w:ind w:left="525" w:leftChars="0" w:right="0" w:rightChars="0" w:firstLine="0" w:firstLine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承包人转包或私自分包工程，承包人应向发包人支付所转包（分包）工程合同价款 30%的违</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约金， 该转包（分包）工程不与计量，且发包人有权单方解除合同，因此而误期、产生质量问题或发生纠纷的， 责任全部由承包人承担。</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37"/>
        </w:numPr>
        <w:suppressLineNumbers w:val="0"/>
        <w:kinsoku/>
        <w:overflowPunct/>
        <w:autoSpaceDE w:val="0"/>
        <w:autoSpaceDN w:val="0"/>
        <w:bidi w:val="0"/>
        <w:spacing w:before="0" w:beforeLines="0" w:beforeAutospacing="0" w:after="0" w:afterLines="0" w:afterAutospacing="0" w:line="360" w:lineRule="auto"/>
        <w:ind w:left="525" w:leftChars="0" w:right="0" w:rightChars="0" w:firstLine="0" w:firstLine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承包人违反约定采购和使用不合格材料和工程设备的，由承包人负责更换和返工，因此而误</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期或出现质量事故或隐患的，责任由承包人承担，承包人还应按照违约采购或使用材料和工程设备价值的 30% 向发包人支付违约金。</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37"/>
        </w:numPr>
        <w:suppressLineNumbers w:val="0"/>
        <w:kinsoku/>
        <w:overflowPunct/>
        <w:autoSpaceDE w:val="0"/>
        <w:autoSpaceDN w:val="0"/>
        <w:bidi w:val="0"/>
        <w:spacing w:before="0" w:beforeLines="0" w:beforeAutospacing="0" w:after="0" w:afterLines="0" w:afterAutospacing="0" w:line="360" w:lineRule="auto"/>
        <w:ind w:left="525" w:leftChars="0" w:right="0" w:rightChars="0" w:firstLine="0" w:firstLine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承包人在施工过程中由于质量意识差、管理不到位、技术水平低等原因造成工程施工质量低</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下， 发生重大质量事故，除接受行政主管部门的处罚外，由发包人视情况轻重进行违约处罚。发包人有权将承包人的部分工程剥离出来另行委托其他承包人实施，所产生的费用从承包人合同总价中扣除，承包人不得提出任何索赔。</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38"/>
        </w:numPr>
        <w:suppressLineNumbers w:val="0"/>
        <w:kinsoku/>
        <w:overflowPunct/>
        <w:autoSpaceDE w:val="0"/>
        <w:autoSpaceDN w:val="0"/>
        <w:bidi w:val="0"/>
        <w:spacing w:before="0" w:beforeLines="0" w:beforeAutospacing="0" w:after="0" w:afterLines="0" w:afterAutospacing="0" w:line="360" w:lineRule="auto"/>
        <w:ind w:left="525" w:leftChars="0" w:right="0" w:right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承包人未经批准私自将已经按照合同约定进入施工现场的材料和设备及临时设施等撤离施工</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现场的，承包人应按照监理人的要求立即改正，工期不予顺延，承包人还应按照所撤离材料和设备价值的 50% 向发包人支付违约金。</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38"/>
        </w:numPr>
        <w:suppressLineNumbers w:val="0"/>
        <w:kinsoku/>
        <w:overflowPunct/>
        <w:autoSpaceDE w:val="0"/>
        <w:autoSpaceDN w:val="0"/>
        <w:bidi w:val="0"/>
        <w:spacing w:before="0" w:beforeLines="0" w:beforeAutospacing="0" w:after="0" w:afterLines="0" w:afterAutospacing="0" w:line="360" w:lineRule="auto"/>
        <w:ind w:left="525" w:leftChars="0" w:right="0" w:rightChars="0" w:firstLine="0" w:firstLine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承包人延误工期的，按照约定向发包人承担违约责任，发包人有权分割承包人的合同工程直</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至解除合同，分割工程的单价以合同单价为准，且从被分割承包人合同价款中扣除，差额部分由被分割承包人承担。因此给发包人造成经济损失的，由被分割承包人承担。</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38"/>
        </w:numPr>
        <w:suppressLineNumbers w:val="0"/>
        <w:kinsoku/>
        <w:overflowPunct/>
        <w:autoSpaceDE w:val="0"/>
        <w:autoSpaceDN w:val="0"/>
        <w:bidi w:val="0"/>
        <w:spacing w:before="0" w:beforeLines="0" w:beforeAutospacing="0" w:after="0" w:afterLines="0" w:afterAutospacing="0" w:line="360" w:lineRule="auto"/>
        <w:ind w:left="525" w:leftChars="0" w:right="0" w:rightChars="0" w:firstLine="0" w:firstLine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承包人未恰当履行缺陷修复和保修责任的，由发包人自行或委托他人修复，费用由承包人承</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担， 因此而造成其他损失的责任全部由承包人承担，承包人还应每次向发包人支付修复费用 30%的违约金。</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38"/>
        </w:numPr>
        <w:suppressLineNumbers w:val="0"/>
        <w:kinsoku/>
        <w:overflowPunct/>
        <w:autoSpaceDE w:val="0"/>
        <w:autoSpaceDN w:val="0"/>
        <w:bidi w:val="0"/>
        <w:spacing w:before="0" w:beforeLines="0" w:beforeAutospacing="0" w:after="0" w:afterLines="0" w:afterAutospacing="0" w:line="360" w:lineRule="auto"/>
        <w:ind w:left="525" w:leftChars="0" w:right="0" w:rightChars="0" w:firstLine="0" w:firstLine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承包人不履行合同主要义务（无法继续履行、实质上已经停止履行或者明确表示不履行）的，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发包人有权解除合同，扣除承包人的全部履约担保金，并要求承包人赔偿由此而造成的全部损失。</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38"/>
        </w:numPr>
        <w:suppressLineNumbers w:val="0"/>
        <w:kinsoku/>
        <w:overflowPunct/>
        <w:autoSpaceDE w:val="0"/>
        <w:autoSpaceDN w:val="0"/>
        <w:bidi w:val="0"/>
        <w:spacing w:before="0" w:beforeLines="0" w:beforeAutospacing="0" w:after="0" w:afterLines="0" w:afterAutospacing="0" w:line="360" w:lineRule="auto"/>
        <w:ind w:left="525" w:leftChars="0" w:right="0" w:rightChars="0" w:firstLine="0" w:firstLineChars="0"/>
        <w:jc w:val="left"/>
        <w:rPr>
          <w:rFonts w:hint="eastAsia" w:ascii="宋体" w:hAnsi="宋体" w:eastAsia="宋体" w:cs="宋体"/>
          <w:kern w:val="0"/>
          <w:sz w:val="24"/>
          <w:szCs w:val="24"/>
        </w:rPr>
      </w:pPr>
      <w:r>
        <w:rPr>
          <w:rFonts w:ascii="宋体" w:hAnsi="宋体" w:eastAsia="宋体" w:cs="宋体"/>
          <w:b w:val="0"/>
          <w:bCs w:val="0"/>
          <w:color w:val="000000"/>
          <w:sz w:val="21"/>
          <w:szCs w:val="21"/>
        </w:rPr>
        <w:t>因承包人擅自变更设计所发生的费用及给发包人造成的损失由承包人承担，且工期不予顺延。</w:t>
      </w:r>
      <w:r>
        <w:rPr>
          <w:rFonts w:hint="default" w:ascii="TimesNewRomanPSMT" w:hAnsi="TimesNewRomanPSMT" w:eastAsia="TimesNewRomanPSMT" w:cs="TimesNewRomanPSMT"/>
          <w:b w:val="0"/>
          <w:bCs w:val="0"/>
          <w:color w:val="000000"/>
          <w:sz w:val="21"/>
          <w:szCs w:val="21"/>
        </w:rPr>
        <w:t xml:space="preserve"> </w:t>
      </w:r>
      <w:r>
        <w:rPr>
          <w:rFonts w:ascii="宋体" w:hAnsi="宋体" w:eastAsia="宋体" w:cs="宋体"/>
          <w:b w:val="0"/>
          <w:bCs w:val="0"/>
          <w:color w:val="000000"/>
          <w:sz w:val="21"/>
          <w:szCs w:val="21"/>
        </w:rPr>
        <w:t>（6）承包人违反工程款（包括预付款、各项措施费用等）专款专用约定的，或将本工程款私自挪</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用的，除支付因此而导致的误期等赔偿责任外，还应按挪用款金额的 10%向发包人支付违约金，且工期不予顺延，发包人应因此有权解除合同。</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525" w:leftChars="0" w:right="0" w:rightChars="0"/>
        <w:jc w:val="left"/>
        <w:rPr>
          <w:rFonts w:ascii="宋体" w:hAnsi="宋体" w:eastAsia="宋体" w:cs="宋体"/>
          <w:b w:val="0"/>
          <w:bCs w:val="0"/>
          <w:color w:val="000000"/>
          <w:sz w:val="21"/>
          <w:szCs w:val="21"/>
        </w:rPr>
      </w:pP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lang w:val="en-US" w:eastAsia="zh-CN"/>
        </w:rPr>
        <w:t>7</w:t>
      </w:r>
      <w:r>
        <w:rPr>
          <w:rFonts w:hint="eastAsia" w:ascii="宋体" w:hAnsi="宋体" w:eastAsia="宋体" w:cs="宋体"/>
          <w:b w:val="0"/>
          <w:bCs w:val="0"/>
          <w:color w:val="000000"/>
          <w:sz w:val="21"/>
          <w:szCs w:val="21"/>
          <w:lang w:eastAsia="zh-CN"/>
        </w:rPr>
        <w:t>）</w:t>
      </w:r>
      <w:r>
        <w:rPr>
          <w:rFonts w:ascii="宋体" w:hAnsi="宋体" w:eastAsia="宋体" w:cs="宋体"/>
          <w:b w:val="0"/>
          <w:bCs w:val="0"/>
          <w:color w:val="000000"/>
          <w:sz w:val="21"/>
          <w:szCs w:val="21"/>
        </w:rPr>
        <w:t>承包人原因造成的安全事故，由承包人负责处理善后工作并承担由此引起的全部费用。</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525" w:leftChars="0" w:right="0" w:rightChars="0"/>
        <w:jc w:val="left"/>
        <w:rPr>
          <w:rFonts w:ascii="宋体" w:hAnsi="宋体" w:eastAsia="宋体" w:cs="宋体"/>
          <w:b w:val="0"/>
          <w:bCs w:val="0"/>
          <w:color w:val="000000"/>
          <w:sz w:val="21"/>
          <w:szCs w:val="21"/>
        </w:rPr>
      </w:pPr>
      <w:r>
        <w:rPr>
          <w:rFonts w:hint="default" w:ascii="TimesNewRomanPSMT" w:hAnsi="TimesNewRomanPSMT" w:eastAsia="TimesNewRomanPSMT" w:cs="TimesNewRomanPSMT"/>
          <w:b w:val="0"/>
          <w:bCs w:val="0"/>
          <w:color w:val="000000"/>
          <w:sz w:val="21"/>
          <w:szCs w:val="21"/>
        </w:rPr>
        <w:t xml:space="preserve"> </w:t>
      </w:r>
      <w:r>
        <w:rPr>
          <w:rFonts w:ascii="宋体" w:hAnsi="宋体" w:eastAsia="宋体" w:cs="宋体"/>
          <w:b w:val="0"/>
          <w:bCs w:val="0"/>
          <w:color w:val="000000"/>
          <w:sz w:val="21"/>
          <w:szCs w:val="21"/>
        </w:rPr>
        <w:t>（8）无论何方原因导致暂停施工，在暂停期间，承包人均应负责保护、保管并保证相应部分工程</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或者全部工程不致产生任何变质、损失或损害，并对施工现场提供安全保障，否则承担赔偿责任；承包人因此发生的照管费用由责任方承担。</w:t>
      </w:r>
      <w:r>
        <w:rPr>
          <w:rFonts w:hint="default" w:ascii="TimesNewRomanPSMT" w:hAnsi="TimesNewRomanPSMT" w:eastAsia="TimesNewRomanPSMT" w:cs="TimesNewRomanPSMT"/>
          <w:b w:val="0"/>
          <w:bCs w:val="0"/>
          <w:color w:val="000000"/>
          <w:sz w:val="21"/>
          <w:szCs w:val="21"/>
        </w:rPr>
        <w:t xml:space="preserve"> </w:t>
      </w:r>
      <w:r>
        <w:rPr>
          <w:rFonts w:ascii="宋体" w:hAnsi="宋体" w:eastAsia="宋体" w:cs="宋体"/>
          <w:b w:val="0"/>
          <w:bCs w:val="0"/>
          <w:color w:val="000000"/>
          <w:sz w:val="21"/>
          <w:szCs w:val="21"/>
        </w:rPr>
        <w:t>承包人不得随意暂停施工，或者以暂停施工向发包人或监理人施加压力获取不当利益。承包人暂停施 工没有法律和合同依据的，应当承担因此而造成的损失，且工期不予延长，复工及赶工等费用由承包人承 担。若承包人的行为已经构成根本违约，发包人有权解除合同。</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Chars="200" w:right="0" w:rightChars="0"/>
        <w:jc w:val="left"/>
        <w:rPr>
          <w:rFonts w:hint="default" w:ascii="TimesNewRomanPSMT" w:hAnsi="TimesNewRomanPSMT" w:eastAsia="TimesNewRomanPSMT" w:cs="TimesNewRomanPSMT"/>
          <w:b w:val="0"/>
          <w:bCs w:val="0"/>
          <w:color w:val="000000"/>
          <w:sz w:val="21"/>
          <w:szCs w:val="21"/>
        </w:rPr>
      </w:pP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lang w:val="en-US" w:eastAsia="zh-CN"/>
        </w:rPr>
        <w:t>9</w:t>
      </w:r>
      <w:r>
        <w:rPr>
          <w:rFonts w:hint="eastAsia" w:ascii="宋体" w:hAnsi="宋体" w:eastAsia="宋体" w:cs="宋体"/>
          <w:b w:val="0"/>
          <w:bCs w:val="0"/>
          <w:color w:val="000000"/>
          <w:sz w:val="21"/>
          <w:szCs w:val="21"/>
          <w:lang w:eastAsia="zh-CN"/>
        </w:rPr>
        <w:t>）</w:t>
      </w:r>
      <w:r>
        <w:rPr>
          <w:rFonts w:ascii="宋体" w:hAnsi="宋体" w:eastAsia="宋体" w:cs="宋体"/>
          <w:b w:val="0"/>
          <w:bCs w:val="0"/>
          <w:color w:val="000000"/>
          <w:sz w:val="21"/>
          <w:szCs w:val="21"/>
        </w:rPr>
        <w:t>承包人在收到工程接收证书后十天内未能将影响发包人项目运营的工程设备、多余材料、垃圾、 临时设施拆除并清运完毕，则每逾期一天按合同签约总价的 0.5‰向发包人支付违约金。</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Chars="200" w:right="0" w:right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（10）承包人不得因与发包人的索赔问题、工程款结算问题，以及承包人与其他单位或个人的纠纷，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或者其他任何理由拒绝按照通用条款的规定退场，影响发包人对工程的接收和运营。</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32"/>
        </w:numPr>
        <w:suppressLineNumbers w:val="0"/>
        <w:kinsoku/>
        <w:overflowPunct/>
        <w:autoSpaceDE w:val="0"/>
        <w:autoSpaceDN w:val="0"/>
        <w:bidi w:val="0"/>
        <w:spacing w:before="0" w:beforeLines="0" w:beforeAutospacing="0" w:after="0" w:afterLines="0" w:afterAutospacing="0" w:line="360" w:lineRule="auto"/>
        <w:ind w:left="0" w:leftChars="0"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承包人因安全生产，文明施工、劳动保护、环境保护、廉政责任等而受到行政处罚的，责任和 损失由承包人承担，工期不予顺延，发包人有权按上述罚款、罚金等额对承包人课以违约金，性质及情节 严重时发包人有权解除合同。</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32"/>
        </w:numPr>
        <w:suppressLineNumbers w:val="0"/>
        <w:kinsoku/>
        <w:overflowPunct/>
        <w:autoSpaceDE w:val="0"/>
        <w:autoSpaceDN w:val="0"/>
        <w:bidi w:val="0"/>
        <w:spacing w:before="0" w:beforeLines="0" w:beforeAutospacing="0" w:after="0" w:afterLines="0" w:afterAutospacing="0" w:line="360" w:lineRule="auto"/>
        <w:ind w:left="0" w:leftChars="0" w:right="0" w:rightChars="0" w:firstLine="420" w:firstLineChars="20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承包人还应承担发包人为主张权利所支出的诉讼费、律师费等实现权益一切费用。</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hint="default" w:ascii="TimesNewRomanPSMT" w:hAnsi="TimesNewRomanPSMT" w:eastAsia="TimesNewRomanPSMT" w:cs="TimesNewRomanPSMT"/>
          <w:b w:val="0"/>
          <w:bCs w:val="0"/>
          <w:color w:val="000000"/>
          <w:sz w:val="21"/>
          <w:szCs w:val="21"/>
        </w:rPr>
      </w:pPr>
      <w:r>
        <w:rPr>
          <w:rFonts w:hint="default" w:ascii="TimesNewRomanPSMT" w:hAnsi="TimesNewRomanPSMT" w:eastAsia="TimesNewRomanPSMT" w:cs="TimesNewRomanPSMT"/>
          <w:b w:val="0"/>
          <w:bCs w:val="0"/>
          <w:color w:val="000000"/>
          <w:sz w:val="21"/>
          <w:szCs w:val="21"/>
        </w:rPr>
        <w:t xml:space="preserve"> </w:t>
      </w:r>
      <w:r>
        <w:rPr>
          <w:rFonts w:ascii="宋体" w:hAnsi="宋体" w:eastAsia="宋体" w:cs="宋体"/>
          <w:b w:val="0"/>
          <w:bCs w:val="0"/>
          <w:color w:val="000000"/>
          <w:sz w:val="21"/>
          <w:szCs w:val="21"/>
        </w:rPr>
        <w:t>22.1.2 当承包人发生第 22.1.1 项约定的违约情况时，发包人有权向承包人课以违约金，具体约定如下：</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（1）如因承包人不履行合同和承包人约违约造成发包人解除合同，则没收承包人的履约保证金作为 违约金，且不影响发包人依法追索因承包人违约造成的损失或承包人对发包人的债务。</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（2）赔偿损失。承包人的违约行为造成发包人损失的，承包人应当负损害赔偿的责任。发包人赔偿 的范围包括发包人所受的直接损失和间接损失。交纳的履约保证金抵作损害赔偿金的一部分。履约保证金 的数额超过因违约造成的损失的，承包人对于该损失就不再赔偿。相反，在履行保证金的数额低于因违约 而造成损失的情况下，承包人还应当赔偿不足部分。</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（3）承包人不按照与发包人订立的合同履行义务，情节严重的，发包人向市交通主管部门建议今后 三年内不得参与我市公路建设的投标资格并予以公告。</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ascii="宋体" w:hAnsi="宋体" w:eastAsia="宋体" w:cs="宋体"/>
          <w:b w:val="0"/>
          <w:bCs w:val="0"/>
          <w:color w:val="000000"/>
          <w:sz w:val="21"/>
          <w:szCs w:val="21"/>
        </w:rPr>
        <w:t>（4）承包人承诺的主要机械及试验、测量设备不能按时进场，每天每台罚 1 万元。</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（5）承包人的违约，发包人将视情况上报有关交通行政主管单位，建议对违约承包人采取降低信用评 价等级的行政处罚措施。</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ascii="宋体" w:hAnsi="宋体" w:eastAsia="宋体" w:cs="宋体"/>
          <w:b/>
          <w:bCs/>
          <w:color w:val="000000"/>
          <w:sz w:val="21"/>
          <w:szCs w:val="21"/>
        </w:rPr>
      </w:pPr>
      <w:r>
        <w:rPr>
          <w:rFonts w:hint="default" w:ascii="TimesNewRomanPSMT" w:hAnsi="TimesNewRomanPSMT" w:eastAsia="TimesNewRomanPSMT" w:cs="TimesNewRomanPSMT"/>
          <w:b w:val="0"/>
          <w:bCs w:val="0"/>
          <w:color w:val="000000"/>
          <w:sz w:val="21"/>
          <w:szCs w:val="21"/>
        </w:rPr>
        <w:t xml:space="preserve"> </w:t>
      </w:r>
      <w:r>
        <w:rPr>
          <w:rFonts w:ascii="宋体" w:hAnsi="宋体" w:eastAsia="宋体" w:cs="宋体"/>
          <w:b/>
          <w:bCs/>
          <w:color w:val="000000"/>
          <w:sz w:val="21"/>
          <w:szCs w:val="21"/>
        </w:rPr>
        <w:t>23. 防止和避免电力，电讯线路非正常中断</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20" w:firstLineChars="200"/>
        <w:jc w:val="left"/>
        <w:rPr>
          <w:rFonts w:hint="default" w:ascii="TimesNewRomanPSMT" w:hAnsi="TimesNewRomanPSMT" w:eastAsia="TimesNewRomanPSMT" w:cs="TimesNewRomanPSMT"/>
          <w:b w:val="0"/>
          <w:bCs w:val="0"/>
          <w:color w:val="000000"/>
          <w:sz w:val="21"/>
          <w:szCs w:val="21"/>
        </w:rPr>
      </w:pPr>
      <w:r>
        <w:rPr>
          <w:rFonts w:hint="default" w:ascii="TimesNewRomanPS-BoldMT" w:hAnsi="TimesNewRomanPS-BoldMT" w:eastAsia="TimesNewRomanPS-BoldMT" w:cs="TimesNewRomanPS-BoldMT"/>
          <w:b w:val="0"/>
          <w:bCs w:val="0"/>
          <w:color w:val="000000"/>
          <w:sz w:val="21"/>
          <w:szCs w:val="21"/>
        </w:rPr>
        <w:t xml:space="preserve"> </w:t>
      </w:r>
      <w:r>
        <w:rPr>
          <w:rFonts w:ascii="宋体" w:hAnsi="宋体" w:eastAsia="宋体" w:cs="宋体"/>
          <w:b w:val="0"/>
          <w:bCs w:val="0"/>
          <w:color w:val="000000"/>
          <w:sz w:val="21"/>
          <w:szCs w:val="21"/>
        </w:rPr>
        <w:t>根据《公路行业标准专用合同条款》第 2.3.2 项规定，承包人在为了临时出入和施工交通方便而修建的 临时道路的过程中，应征得有关电力，电讯等部门同意，防止和避免由于承包人或其任何分包人的疏忽不正 当的施工方法和手段而造成电力、电讯线路及地下电缆的非正常中断。否则。由于承包人或其任何分包人的 过失而造成的电力、电讯线路及地下电缆的非正常中断而引起的一切索赔、诉讼、损害赔偿、指控费及其他 开支，应由承包人自负。</w:t>
      </w:r>
      <w:r>
        <w:rPr>
          <w:rFonts w:hint="default" w:ascii="TimesNewRomanPSMT" w:hAnsi="TimesNewRomanPSMT" w:eastAsia="TimesNewRomanPSMT" w:cs="TimesNewRomanPS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Chars="300" w:right="0" w:rightChars="0"/>
        <w:jc w:val="left"/>
        <w:rPr>
          <w:rFonts w:hint="default" w:ascii="TimesNewRomanPS-BoldMT" w:hAnsi="TimesNewRomanPS-BoldMT" w:eastAsia="TimesNewRomanPS-BoldMT" w:cs="TimesNewRomanPS-BoldMT"/>
          <w:b w:val="0"/>
          <w:bCs w:val="0"/>
          <w:color w:val="000000"/>
          <w:sz w:val="21"/>
          <w:szCs w:val="21"/>
        </w:rPr>
      </w:pPr>
      <w:r>
        <w:rPr>
          <w:rFonts w:hint="eastAsia" w:ascii="宋体" w:hAnsi="宋体" w:eastAsia="宋体" w:cs="宋体"/>
          <w:b/>
          <w:bCs/>
          <w:color w:val="000000"/>
          <w:sz w:val="21"/>
          <w:szCs w:val="21"/>
          <w:lang w:val="en-US" w:eastAsia="zh-CN"/>
        </w:rPr>
        <w:t>24.</w:t>
      </w:r>
      <w:r>
        <w:rPr>
          <w:rFonts w:ascii="宋体" w:hAnsi="宋体" w:eastAsia="宋体" w:cs="宋体"/>
          <w:b/>
          <w:bCs/>
          <w:color w:val="000000"/>
          <w:sz w:val="21"/>
          <w:szCs w:val="21"/>
        </w:rPr>
        <w:t>地方公路的使用。</w:t>
      </w:r>
      <w:r>
        <w:rPr>
          <w:rFonts w:hint="default" w:ascii="TimesNewRomanPS-BoldMT" w:hAnsi="TimesNewRomanPS-BoldMT" w:eastAsia="TimesNewRomanPS-BoldMT" w:cs="TimesNewRomanPS-BoldMT"/>
          <w:b w:val="0"/>
          <w:bCs w:val="0"/>
          <w:color w:val="000000"/>
          <w:sz w:val="21"/>
          <w:szCs w:val="21"/>
        </w:rPr>
        <w:t xml:space="preserve"> </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Chars="300" w:right="0" w:right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道路使用和道路损坏修复费用或赔偿费用由承包人在报价中充分考虑，自行承担。“承包人不及</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时修复 或赔偿施工轧坏的地方道路时，发包人要在当地政府沟通核实后从承包人质量保证金中扣除，发包人将在下 一次工程计量支付时扣双倍金额补充入保障金账户”。</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left="525" w:leftChars="0" w:right="0" w:rightChars="0"/>
        <w:jc w:val="left"/>
        <w:rPr>
          <w:rFonts w:ascii="宋体" w:hAnsi="宋体" w:eastAsia="宋体" w:cs="宋体"/>
          <w:b/>
          <w:bCs/>
          <w:color w:val="000000"/>
          <w:sz w:val="21"/>
          <w:szCs w:val="21"/>
        </w:rPr>
      </w:pPr>
      <w:r>
        <w:rPr>
          <w:rFonts w:hint="eastAsia" w:ascii="宋体" w:hAnsi="宋体" w:eastAsia="宋体" w:cs="宋体"/>
          <w:b/>
          <w:bCs/>
          <w:color w:val="000000"/>
          <w:sz w:val="21"/>
          <w:szCs w:val="21"/>
          <w:lang w:val="en-US" w:eastAsia="zh-CN"/>
        </w:rPr>
        <w:t>25.</w:t>
      </w:r>
      <w:r>
        <w:rPr>
          <w:rFonts w:ascii="宋体" w:hAnsi="宋体" w:eastAsia="宋体" w:cs="宋体"/>
          <w:b/>
          <w:bCs/>
          <w:color w:val="000000"/>
          <w:sz w:val="21"/>
          <w:szCs w:val="21"/>
        </w:rPr>
        <w:t>在项目施工过程中，如遇工期紧迫，发包人有权要求承包人在已提供的设备基础上增加设</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ascii="宋体" w:hAnsi="宋体" w:eastAsia="宋体" w:cs="宋体"/>
          <w:b/>
          <w:bCs/>
          <w:color w:val="000000"/>
          <w:sz w:val="21"/>
          <w:szCs w:val="21"/>
        </w:rPr>
      </w:pPr>
      <w:r>
        <w:rPr>
          <w:rFonts w:ascii="宋体" w:hAnsi="宋体" w:eastAsia="宋体" w:cs="宋体"/>
          <w:b/>
          <w:bCs/>
          <w:color w:val="000000"/>
          <w:sz w:val="21"/>
          <w:szCs w:val="21"/>
        </w:rPr>
        <w:t>备数量。</w:t>
      </w:r>
    </w:p>
    <w:p>
      <w:pPr>
        <w:pStyle w:val="17"/>
        <w:keepNext w:val="0"/>
        <w:keepLines w:val="0"/>
        <w:pageBreakBefore w:val="0"/>
        <w:widowControl/>
        <w:numPr>
          <w:ilvl w:val="0"/>
          <w:numId w:val="39"/>
        </w:numPr>
        <w:suppressLineNumbers w:val="0"/>
        <w:kinsoku/>
        <w:overflowPunct/>
        <w:autoSpaceDE w:val="0"/>
        <w:autoSpaceDN w:val="0"/>
        <w:bidi w:val="0"/>
        <w:spacing w:before="0" w:beforeLines="0" w:beforeAutospacing="0" w:after="0" w:afterLines="0" w:afterAutospacing="0" w:line="360" w:lineRule="auto"/>
        <w:ind w:left="630" w:leftChars="0" w:right="0" w:rightChars="0" w:firstLine="0" w:firstLineChars="0"/>
        <w:jc w:val="left"/>
        <w:rPr>
          <w:rFonts w:ascii="宋体" w:hAnsi="宋体" w:eastAsia="宋体" w:cs="宋体"/>
          <w:b w:val="0"/>
          <w:bCs w:val="0"/>
          <w:color w:val="000000"/>
          <w:sz w:val="21"/>
          <w:szCs w:val="21"/>
        </w:rPr>
      </w:pPr>
      <w:r>
        <w:rPr>
          <w:rFonts w:ascii="宋体" w:hAnsi="宋体" w:eastAsia="宋体" w:cs="宋体"/>
          <w:b/>
          <w:bCs/>
          <w:color w:val="000000"/>
          <w:sz w:val="21"/>
          <w:szCs w:val="21"/>
        </w:rPr>
        <w:t>扬尘污染综合治理</w:t>
      </w:r>
      <w:r>
        <w:rPr>
          <w:rFonts w:hint="default" w:ascii="TimesNewRomanPSMT" w:hAnsi="TimesNewRomanPSMT" w:eastAsia="TimesNewRomanPSMT" w:cs="TimesNewRomanPSMT"/>
          <w:b w:val="0"/>
          <w:bCs w:val="0"/>
          <w:color w:val="000000"/>
          <w:sz w:val="21"/>
          <w:szCs w:val="21"/>
        </w:rPr>
        <w:t xml:space="preserve"> </w:t>
      </w:r>
      <w:r>
        <w:rPr>
          <w:rFonts w:ascii="宋体" w:hAnsi="宋体" w:eastAsia="宋体" w:cs="宋体"/>
          <w:b w:val="0"/>
          <w:bCs w:val="0"/>
          <w:color w:val="000000"/>
          <w:sz w:val="21"/>
          <w:szCs w:val="21"/>
        </w:rPr>
        <w:t>承包人应严格遵守《中华人民共和国环境保护法》、《中国人民共和国大</w:t>
      </w:r>
    </w:p>
    <w:p>
      <w:pPr>
        <w:pStyle w:val="17"/>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jc w:val="left"/>
        <w:rPr>
          <w:rFonts w:hint="eastAsia" w:ascii="宋体" w:hAnsi="宋体" w:eastAsia="宋体" w:cs="宋体"/>
          <w:kern w:val="2"/>
          <w:sz w:val="22"/>
          <w:szCs w:val="22"/>
        </w:rPr>
        <w:sectPr>
          <w:pgSz w:w="11910" w:h="16850"/>
          <w:pgMar w:top="1480" w:right="1200" w:bottom="1080" w:left="1220" w:header="883" w:footer="884" w:gutter="0"/>
          <w:pgNumType w:fmt="decimal"/>
          <w:cols w:space="720" w:num="1"/>
          <w:docGrid w:type="lines" w:linePitch="312" w:charSpace="0"/>
        </w:sectPr>
      </w:pPr>
      <w:r>
        <w:rPr>
          <w:rFonts w:ascii="宋体" w:hAnsi="宋体" w:eastAsia="宋体" w:cs="宋体"/>
          <w:b w:val="0"/>
          <w:bCs w:val="0"/>
          <w:color w:val="000000"/>
          <w:sz w:val="21"/>
          <w:szCs w:val="21"/>
        </w:rPr>
        <w:t>气污染防治法》、《河南省公 路水运工程施工扬尘污染防治标准》等法律法规和行业管理标准，切实制定扬尘治理、大气污染防治等环境 保护方案，要坚决做到施工工地扬尘防治实现“七个 100%，八个必须”目标。</w:t>
      </w:r>
      <w:r>
        <w:rPr>
          <w:rFonts w:hint="default" w:ascii="TimesNewRomanPSMT" w:hAnsi="TimesNewRomanPSMT" w:eastAsia="TimesNewRomanPSMT" w:cs="TimesNewRomanPSMT"/>
          <w:b w:val="0"/>
          <w:bCs w:val="0"/>
          <w:color w:val="000000"/>
          <w:sz w:val="21"/>
          <w:szCs w:val="21"/>
        </w:rPr>
        <w:t xml:space="preserve"> </w:t>
      </w:r>
    </w:p>
    <w:p>
      <w:pPr>
        <w:pStyle w:val="3"/>
        <w:keepNext w:val="0"/>
        <w:keepLines w:val="0"/>
        <w:pageBreakBefore w:val="0"/>
        <w:widowControl/>
        <w:numPr>
          <w:ilvl w:val="1"/>
          <w:numId w:val="0"/>
        </w:numPr>
        <w:suppressLineNumbers w:val="0"/>
        <w:kinsoku/>
        <w:overflowPunct/>
        <w:bidi w:val="0"/>
        <w:spacing w:beforeAutospacing="0" w:afterAutospacing="0" w:line="360" w:lineRule="auto"/>
        <w:ind w:left="0" w:leftChars="0" w:right="0"/>
        <w:jc w:val="center"/>
        <w:outlineLvl w:val="1"/>
        <w:rPr>
          <w:rFonts w:hint="eastAsia" w:ascii="宋体" w:hAnsi="宋体" w:eastAsia="宋体" w:cs="宋体"/>
          <w:kern w:val="0"/>
          <w:sz w:val="24"/>
          <w:szCs w:val="24"/>
        </w:rPr>
      </w:pPr>
      <w:bookmarkStart w:id="146" w:name="_bookmark269"/>
      <w:bookmarkEnd w:id="146"/>
      <w:bookmarkStart w:id="147" w:name="_Toc25620"/>
      <w:r>
        <w:rPr>
          <w:rFonts w:hint="eastAsia" w:ascii="宋体" w:hAnsi="宋体" w:eastAsia="宋体" w:cs="宋体"/>
          <w:b/>
          <w:color w:val="auto"/>
          <w:kern w:val="2"/>
          <w:sz w:val="28"/>
          <w:szCs w:val="28"/>
          <w:highlight w:val="none"/>
          <w:lang w:val="en-US" w:eastAsia="zh-CN" w:bidi="ar-SA"/>
        </w:rPr>
        <w:t>第三节</w:t>
      </w:r>
      <w:r>
        <w:rPr>
          <w:rFonts w:hint="eastAsia" w:ascii="宋体" w:hAnsi="宋体" w:eastAsia="宋体" w:cs="宋体"/>
          <w:b/>
          <w:color w:val="auto"/>
          <w:kern w:val="2"/>
          <w:sz w:val="28"/>
          <w:szCs w:val="28"/>
          <w:highlight w:val="none"/>
          <w:lang w:val="en-US" w:eastAsia="zh-CN" w:bidi="ar-SA"/>
        </w:rPr>
        <w:tab/>
      </w:r>
      <w:r>
        <w:rPr>
          <w:rFonts w:hint="eastAsia" w:ascii="宋体" w:hAnsi="宋体" w:eastAsia="宋体" w:cs="宋体"/>
          <w:b/>
          <w:color w:val="auto"/>
          <w:kern w:val="2"/>
          <w:sz w:val="28"/>
          <w:szCs w:val="28"/>
          <w:highlight w:val="none"/>
          <w:lang w:val="en-US" w:eastAsia="zh-CN" w:bidi="ar-SA"/>
        </w:rPr>
        <w:t>合同附件格式</w:t>
      </w:r>
      <w:bookmarkEnd w:id="147"/>
      <w:bookmarkStart w:id="148" w:name="_bookmark270"/>
      <w:bookmarkEnd w:id="148"/>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both"/>
        <w:rPr>
          <w:rFonts w:hint="eastAsia" w:ascii="宋体" w:hAnsi="宋体" w:eastAsia="宋体" w:cs="宋体"/>
          <w:kern w:val="0"/>
          <w:sz w:val="35"/>
          <w:szCs w:val="35"/>
        </w:rPr>
      </w:pPr>
      <w:r>
        <w:rPr>
          <w:rFonts w:hint="eastAsia" w:ascii="宋体" w:hAnsi="宋体" w:eastAsia="宋体" w:cs="宋体"/>
          <w:kern w:val="0"/>
          <w:sz w:val="24"/>
          <w:szCs w:val="24"/>
          <w:lang w:val="en-US" w:eastAsia="zh-CN" w:bidi="ar"/>
        </w:rPr>
        <w:t>附件一合同协议书</w:t>
      </w:r>
    </w:p>
    <w:p>
      <w:pPr>
        <w:pStyle w:val="8"/>
        <w:tabs>
          <w:tab w:val="left" w:pos="2104"/>
          <w:tab w:val="left" w:pos="3156"/>
          <w:tab w:val="left" w:pos="8619"/>
          <w:tab w:val="left" w:pos="8861"/>
        </w:tabs>
        <w:spacing w:before="74" w:beforeLines="0" w:afterLines="0" w:line="343" w:lineRule="auto"/>
        <w:ind w:right="382"/>
        <w:jc w:val="center"/>
        <w:rPr>
          <w:rFonts w:hint="eastAsia" w:ascii="Times New Roman" w:hAnsi="Times New Roman" w:eastAsia="宋体"/>
          <w:color w:val="auto"/>
          <w:sz w:val="24"/>
          <w:szCs w:val="24"/>
          <w:u w:val="single"/>
          <w:lang w:val="en-US" w:eastAsia="zh-CN"/>
        </w:rPr>
      </w:pPr>
      <w:r>
        <w:rPr>
          <w:rFonts w:hint="eastAsia" w:ascii="Times New Roman" w:hAnsi="Times New Roman" w:eastAsia="宋体"/>
          <w:b/>
          <w:bCs/>
          <w:color w:val="auto"/>
          <w:sz w:val="28"/>
          <w:szCs w:val="28"/>
          <w:u w:val="none"/>
          <w:lang w:val="en-US" w:eastAsia="zh-CN"/>
        </w:rPr>
        <w:t>合 同 协 议 书</w:t>
      </w:r>
    </w:p>
    <w:p>
      <w:pPr>
        <w:pStyle w:val="8"/>
        <w:tabs>
          <w:tab w:val="left" w:pos="2104"/>
          <w:tab w:val="left" w:pos="3156"/>
          <w:tab w:val="left" w:pos="8619"/>
          <w:tab w:val="left" w:pos="8861"/>
        </w:tabs>
        <w:spacing w:before="74" w:beforeLines="0" w:afterLines="0" w:line="343" w:lineRule="auto"/>
        <w:ind w:left="424" w:right="382" w:firstLine="479"/>
        <w:jc w:val="both"/>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（发包人名称</w:t>
      </w:r>
      <w:r>
        <w:rPr>
          <w:rFonts w:hint="eastAsia" w:ascii="宋体" w:hAnsi="宋体" w:eastAsia="宋体" w:cs="宋体"/>
          <w:color w:val="auto"/>
          <w:spacing w:val="-60"/>
          <w:sz w:val="24"/>
          <w:szCs w:val="24"/>
        </w:rPr>
        <w:t>，</w:t>
      </w:r>
      <w:r>
        <w:rPr>
          <w:rFonts w:hint="eastAsia" w:ascii="宋体" w:hAnsi="宋体" w:eastAsia="宋体" w:cs="宋体"/>
          <w:color w:val="auto"/>
          <w:sz w:val="24"/>
          <w:szCs w:val="24"/>
        </w:rPr>
        <w:t>以下简称“发包人</w:t>
      </w:r>
      <w:r>
        <w:rPr>
          <w:rFonts w:hint="eastAsia" w:ascii="宋体" w:hAnsi="宋体" w:eastAsia="宋体" w:cs="宋体"/>
          <w:color w:val="auto"/>
          <w:spacing w:val="-30"/>
          <w:sz w:val="24"/>
          <w:szCs w:val="24"/>
        </w:rPr>
        <w:t>”）</w:t>
      </w:r>
      <w:r>
        <w:rPr>
          <w:rFonts w:hint="eastAsia" w:ascii="宋体" w:hAnsi="宋体" w:eastAsia="宋体" w:cs="宋体"/>
          <w:color w:val="auto"/>
          <w:sz w:val="24"/>
          <w:szCs w:val="24"/>
        </w:rPr>
        <w:t>为实施</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项目名</w:t>
      </w:r>
      <w:r>
        <w:rPr>
          <w:rFonts w:hint="eastAsia" w:ascii="宋体" w:hAnsi="宋体" w:eastAsia="宋体" w:cs="宋体"/>
          <w:color w:val="auto"/>
          <w:spacing w:val="-1"/>
          <w:sz w:val="24"/>
          <w:szCs w:val="24"/>
        </w:rPr>
        <w:t>称</w:t>
      </w:r>
      <w:r>
        <w:rPr>
          <w:rFonts w:hint="eastAsia" w:ascii="宋体" w:hAnsi="宋体" w:eastAsia="宋体" w:cs="宋体"/>
          <w:color w:val="auto"/>
          <w:spacing w:val="-120"/>
          <w:sz w:val="24"/>
          <w:szCs w:val="24"/>
        </w:rPr>
        <w:t>）</w:t>
      </w:r>
      <w:r>
        <w:rPr>
          <w:rFonts w:hint="eastAsia" w:ascii="宋体" w:hAnsi="宋体" w:eastAsia="宋体" w:cs="宋体"/>
          <w:color w:val="auto"/>
          <w:spacing w:val="-15"/>
          <w:sz w:val="24"/>
          <w:szCs w:val="24"/>
        </w:rPr>
        <w:t>，</w:t>
      </w:r>
      <w:r>
        <w:rPr>
          <w:rFonts w:hint="eastAsia" w:ascii="宋体" w:hAnsi="宋体" w:eastAsia="宋体" w:cs="宋体"/>
          <w:color w:val="auto"/>
          <w:sz w:val="24"/>
          <w:szCs w:val="24"/>
        </w:rPr>
        <w:t>已接受</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（承包人名称</w:t>
      </w:r>
      <w:r>
        <w:rPr>
          <w:rFonts w:hint="eastAsia" w:ascii="宋体" w:hAnsi="宋体" w:eastAsia="宋体" w:cs="宋体"/>
          <w:color w:val="auto"/>
          <w:spacing w:val="-15"/>
          <w:sz w:val="24"/>
          <w:szCs w:val="24"/>
        </w:rPr>
        <w:t>，</w:t>
      </w:r>
      <w:r>
        <w:rPr>
          <w:rFonts w:hint="eastAsia" w:ascii="宋体" w:hAnsi="宋体" w:eastAsia="宋体" w:cs="宋体"/>
          <w:color w:val="auto"/>
          <w:sz w:val="24"/>
          <w:szCs w:val="24"/>
        </w:rPr>
        <w:t>以下简称</w:t>
      </w:r>
      <w:r>
        <w:rPr>
          <w:rFonts w:hint="eastAsia" w:ascii="宋体" w:hAnsi="宋体" w:eastAsia="宋体" w:cs="宋体"/>
          <w:color w:val="auto"/>
          <w:spacing w:val="-1"/>
          <w:sz w:val="24"/>
          <w:szCs w:val="24"/>
        </w:rPr>
        <w:t>“</w:t>
      </w:r>
      <w:r>
        <w:rPr>
          <w:rFonts w:hint="eastAsia" w:ascii="宋体" w:hAnsi="宋体" w:eastAsia="宋体" w:cs="宋体"/>
          <w:color w:val="auto"/>
          <w:sz w:val="24"/>
          <w:szCs w:val="24"/>
        </w:rPr>
        <w:t>承包人</w:t>
      </w:r>
      <w:r>
        <w:rPr>
          <w:rFonts w:hint="eastAsia" w:ascii="宋体" w:hAnsi="宋体" w:eastAsia="宋体" w:cs="宋体"/>
          <w:color w:val="auto"/>
          <w:spacing w:val="-1"/>
          <w:sz w:val="24"/>
          <w:szCs w:val="24"/>
        </w:rPr>
        <w:t>”</w:t>
      </w:r>
      <w:r>
        <w:rPr>
          <w:rFonts w:hint="eastAsia" w:ascii="宋体" w:hAnsi="宋体" w:eastAsia="宋体" w:cs="宋体"/>
          <w:color w:val="auto"/>
          <w:spacing w:val="-15"/>
          <w:sz w:val="24"/>
          <w:szCs w:val="24"/>
        </w:rPr>
        <w:t>）</w:t>
      </w:r>
      <w:r>
        <w:rPr>
          <w:rFonts w:hint="eastAsia" w:ascii="宋体" w:hAnsi="宋体" w:eastAsia="宋体" w:cs="宋体"/>
          <w:color w:val="auto"/>
          <w:sz w:val="24"/>
          <w:szCs w:val="24"/>
        </w:rPr>
        <w:t>对</w:t>
      </w:r>
      <w:r>
        <w:rPr>
          <w:rFonts w:hint="eastAsia" w:ascii="宋体" w:hAnsi="宋体" w:eastAsia="宋体" w:cs="宋体"/>
          <w:color w:val="auto"/>
          <w:spacing w:val="1"/>
          <w:sz w:val="24"/>
          <w:szCs w:val="24"/>
        </w:rPr>
        <w:t>该</w:t>
      </w:r>
      <w:r>
        <w:rPr>
          <w:rFonts w:hint="eastAsia" w:ascii="宋体" w:hAnsi="宋体" w:eastAsia="宋体" w:cs="宋体"/>
          <w:color w:val="auto"/>
          <w:sz w:val="24"/>
          <w:szCs w:val="24"/>
        </w:rPr>
        <w:t>项目</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标段施工的投标。发包人和承包人共同达成如下协议。</w:t>
      </w:r>
    </w:p>
    <w:p>
      <w:pPr>
        <w:pStyle w:val="69"/>
        <w:numPr>
          <w:ilvl w:val="3"/>
          <w:numId w:val="40"/>
        </w:numPr>
        <w:tabs>
          <w:tab w:val="left" w:pos="1342"/>
          <w:tab w:val="left" w:pos="2224"/>
        </w:tabs>
        <w:spacing w:before="1" w:beforeLines="0" w:afterLines="0" w:line="343" w:lineRule="auto"/>
        <w:ind w:right="384" w:firstLine="617"/>
        <w:jc w:val="both"/>
        <w:rPr>
          <w:rFonts w:hint="eastAsia" w:ascii="宋体" w:hAnsi="宋体" w:eastAsia="宋体" w:cs="宋体"/>
          <w:color w:val="auto"/>
          <w:sz w:val="24"/>
          <w:szCs w:val="22"/>
        </w:rPr>
      </w:pPr>
      <w:r>
        <w:rPr>
          <w:rFonts w:hint="eastAsia" w:ascii="宋体" w:hAnsi="宋体" w:eastAsia="宋体" w:cs="宋体"/>
          <w:color w:val="auto"/>
          <w:sz w:val="24"/>
          <w:szCs w:val="22"/>
        </w:rPr>
        <w:t>第</w:t>
      </w:r>
      <w:r>
        <w:rPr>
          <w:rFonts w:hint="eastAsia" w:ascii="宋体" w:hAnsi="宋体" w:eastAsia="宋体" w:cs="宋体"/>
          <w:color w:val="auto"/>
          <w:sz w:val="24"/>
          <w:szCs w:val="22"/>
          <w:u w:val="single"/>
        </w:rPr>
        <w:t xml:space="preserve"> </w:t>
      </w:r>
      <w:r>
        <w:rPr>
          <w:rFonts w:hint="eastAsia" w:ascii="宋体" w:hAnsi="宋体" w:eastAsia="宋体" w:cs="宋体"/>
          <w:color w:val="auto"/>
          <w:spacing w:val="118"/>
          <w:sz w:val="24"/>
          <w:szCs w:val="22"/>
        </w:rPr>
        <w:t xml:space="preserve"> </w:t>
      </w:r>
      <w:r>
        <w:rPr>
          <w:rFonts w:hint="eastAsia" w:ascii="宋体" w:hAnsi="宋体" w:eastAsia="宋体" w:cs="宋体"/>
          <w:color w:val="auto"/>
          <w:sz w:val="24"/>
          <w:szCs w:val="22"/>
        </w:rPr>
        <w:t>标段由</w:t>
      </w:r>
      <w:r>
        <w:rPr>
          <w:rFonts w:hint="eastAsia" w:ascii="宋体" w:hAnsi="宋体" w:eastAsia="宋体" w:cs="宋体"/>
          <w:color w:val="auto"/>
          <w:spacing w:val="-49"/>
          <w:sz w:val="24"/>
          <w:szCs w:val="22"/>
        </w:rPr>
        <w:t xml:space="preserve"> </w:t>
      </w:r>
      <w:r>
        <w:rPr>
          <w:rFonts w:hint="eastAsia" w:ascii="宋体" w:hAnsi="宋体" w:eastAsia="宋体" w:cs="宋体"/>
          <w:color w:val="auto"/>
          <w:sz w:val="24"/>
          <w:szCs w:val="22"/>
        </w:rPr>
        <w:t>K</w:t>
      </w:r>
      <w:r>
        <w:rPr>
          <w:rFonts w:hint="eastAsia" w:ascii="宋体" w:hAnsi="宋体" w:eastAsia="宋体" w:cs="宋体"/>
          <w:color w:val="auto"/>
          <w:sz w:val="24"/>
          <w:szCs w:val="22"/>
          <w:u w:val="single"/>
        </w:rPr>
        <w:t xml:space="preserve">  </w:t>
      </w:r>
      <w:r>
        <w:rPr>
          <w:rFonts w:hint="eastAsia" w:ascii="宋体" w:hAnsi="宋体" w:eastAsia="宋体" w:cs="宋体"/>
          <w:color w:val="auto"/>
          <w:spacing w:val="58"/>
          <w:sz w:val="24"/>
          <w:szCs w:val="22"/>
        </w:rPr>
        <w:t xml:space="preserve"> </w:t>
      </w:r>
      <w:r>
        <w:rPr>
          <w:rFonts w:hint="eastAsia" w:ascii="宋体" w:hAnsi="宋体" w:eastAsia="宋体" w:cs="宋体"/>
          <w:color w:val="auto"/>
          <w:sz w:val="24"/>
          <w:szCs w:val="22"/>
        </w:rPr>
        <w:t>＋</w:t>
      </w:r>
      <w:r>
        <w:rPr>
          <w:rFonts w:hint="eastAsia" w:ascii="宋体" w:hAnsi="宋体" w:eastAsia="宋体" w:cs="宋体"/>
          <w:color w:val="auto"/>
          <w:sz w:val="24"/>
          <w:szCs w:val="22"/>
          <w:u w:val="single"/>
        </w:rPr>
        <w:t xml:space="preserve"> </w:t>
      </w:r>
      <w:r>
        <w:rPr>
          <w:rFonts w:hint="eastAsia" w:ascii="宋体" w:hAnsi="宋体" w:eastAsia="宋体" w:cs="宋体"/>
          <w:color w:val="auto"/>
          <w:spacing w:val="118"/>
          <w:sz w:val="24"/>
          <w:szCs w:val="22"/>
        </w:rPr>
        <w:t xml:space="preserve"> </w:t>
      </w:r>
      <w:r>
        <w:rPr>
          <w:rFonts w:hint="eastAsia" w:ascii="宋体" w:hAnsi="宋体" w:eastAsia="宋体" w:cs="宋体"/>
          <w:color w:val="auto"/>
          <w:sz w:val="24"/>
          <w:szCs w:val="22"/>
        </w:rPr>
        <w:t>至</w:t>
      </w:r>
      <w:r>
        <w:rPr>
          <w:rFonts w:hint="eastAsia" w:ascii="宋体" w:hAnsi="宋体" w:eastAsia="宋体" w:cs="宋体"/>
          <w:color w:val="auto"/>
          <w:spacing w:val="-49"/>
          <w:sz w:val="24"/>
          <w:szCs w:val="22"/>
        </w:rPr>
        <w:t xml:space="preserve"> </w:t>
      </w:r>
      <w:r>
        <w:rPr>
          <w:rFonts w:hint="eastAsia" w:ascii="宋体" w:hAnsi="宋体" w:eastAsia="宋体" w:cs="宋体"/>
          <w:color w:val="auto"/>
          <w:sz w:val="24"/>
          <w:szCs w:val="22"/>
        </w:rPr>
        <w:t>K</w:t>
      </w:r>
      <w:r>
        <w:rPr>
          <w:rFonts w:hint="eastAsia" w:ascii="宋体" w:hAnsi="宋体" w:eastAsia="宋体" w:cs="宋体"/>
          <w:color w:val="auto"/>
          <w:sz w:val="24"/>
          <w:szCs w:val="22"/>
          <w:u w:val="single"/>
        </w:rPr>
        <w:t xml:space="preserve">   </w:t>
      </w:r>
      <w:r>
        <w:rPr>
          <w:rFonts w:hint="eastAsia" w:ascii="宋体" w:hAnsi="宋体" w:eastAsia="宋体" w:cs="宋体"/>
          <w:color w:val="auto"/>
          <w:spacing w:val="58"/>
          <w:sz w:val="24"/>
          <w:szCs w:val="22"/>
        </w:rPr>
        <w:t xml:space="preserve"> </w:t>
      </w:r>
      <w:r>
        <w:rPr>
          <w:rFonts w:hint="eastAsia" w:ascii="宋体" w:hAnsi="宋体" w:eastAsia="宋体" w:cs="宋体"/>
          <w:color w:val="auto"/>
          <w:sz w:val="24"/>
          <w:szCs w:val="22"/>
        </w:rPr>
        <w:t>＋</w:t>
      </w:r>
      <w:r>
        <w:rPr>
          <w:rFonts w:hint="eastAsia" w:ascii="宋体" w:hAnsi="宋体" w:eastAsia="宋体" w:cs="宋体"/>
          <w:color w:val="auto"/>
          <w:sz w:val="24"/>
          <w:szCs w:val="22"/>
          <w:u w:val="single"/>
        </w:rPr>
        <w:t xml:space="preserve"> </w:t>
      </w:r>
      <w:r>
        <w:rPr>
          <w:rFonts w:hint="eastAsia" w:ascii="宋体" w:hAnsi="宋体" w:eastAsia="宋体" w:cs="宋体"/>
          <w:color w:val="auto"/>
          <w:spacing w:val="118"/>
          <w:sz w:val="24"/>
          <w:szCs w:val="22"/>
          <w:u w:val="single"/>
        </w:rPr>
        <w:t xml:space="preserve"> </w:t>
      </w:r>
      <w:r>
        <w:rPr>
          <w:rFonts w:hint="eastAsia" w:ascii="宋体" w:hAnsi="宋体" w:eastAsia="宋体" w:cs="宋体"/>
          <w:color w:val="auto"/>
          <w:sz w:val="24"/>
          <w:szCs w:val="22"/>
        </w:rPr>
        <w:t>，长约</w:t>
      </w:r>
      <w:r>
        <w:rPr>
          <w:rFonts w:hint="eastAsia" w:ascii="宋体" w:hAnsi="宋体" w:eastAsia="宋体" w:cs="宋体"/>
          <w:color w:val="auto"/>
          <w:sz w:val="24"/>
          <w:szCs w:val="22"/>
          <w:u w:val="single"/>
        </w:rPr>
        <w:t xml:space="preserve"> </w:t>
      </w:r>
      <w:r>
        <w:rPr>
          <w:rFonts w:hint="eastAsia" w:ascii="宋体" w:hAnsi="宋体" w:eastAsia="宋体" w:cs="宋体"/>
          <w:color w:val="auto"/>
          <w:spacing w:val="118"/>
          <w:sz w:val="24"/>
          <w:szCs w:val="22"/>
          <w:u w:val="single"/>
        </w:rPr>
        <w:t xml:space="preserve"> </w:t>
      </w:r>
      <w:r>
        <w:rPr>
          <w:rFonts w:hint="eastAsia" w:ascii="宋体" w:hAnsi="宋体" w:eastAsia="宋体" w:cs="宋体"/>
          <w:color w:val="auto"/>
          <w:sz w:val="24"/>
          <w:szCs w:val="22"/>
        </w:rPr>
        <w:t>km，公路等级为</w:t>
      </w:r>
      <w:r>
        <w:rPr>
          <w:rFonts w:hint="eastAsia" w:ascii="宋体" w:hAnsi="宋体" w:eastAsia="宋体" w:cs="宋体"/>
          <w:color w:val="auto"/>
          <w:sz w:val="24"/>
          <w:szCs w:val="22"/>
          <w:u w:val="single"/>
        </w:rPr>
        <w:t xml:space="preserve">  </w:t>
      </w:r>
      <w:r>
        <w:rPr>
          <w:rFonts w:hint="eastAsia" w:ascii="宋体" w:hAnsi="宋体" w:eastAsia="宋体" w:cs="宋体"/>
          <w:color w:val="auto"/>
          <w:spacing w:val="118"/>
          <w:sz w:val="24"/>
          <w:szCs w:val="22"/>
          <w:u w:val="single"/>
        </w:rPr>
        <w:t xml:space="preserve"> </w:t>
      </w:r>
      <w:r>
        <w:rPr>
          <w:rFonts w:hint="eastAsia" w:ascii="宋体" w:hAnsi="宋体" w:eastAsia="宋体" w:cs="宋体"/>
          <w:color w:val="auto"/>
          <w:sz w:val="24"/>
          <w:szCs w:val="22"/>
        </w:rPr>
        <w:t>，设计速度为</w:t>
      </w:r>
      <w:r>
        <w:rPr>
          <w:rFonts w:hint="eastAsia" w:ascii="宋体" w:hAnsi="宋体" w:eastAsia="宋体" w:cs="宋体"/>
          <w:color w:val="auto"/>
          <w:sz w:val="24"/>
          <w:szCs w:val="22"/>
          <w:u w:val="single"/>
        </w:rPr>
        <w:t xml:space="preserve"> </w:t>
      </w:r>
      <w:r>
        <w:rPr>
          <w:rFonts w:hint="eastAsia" w:ascii="宋体" w:hAnsi="宋体" w:eastAsia="宋体" w:cs="宋体"/>
          <w:color w:val="auto"/>
          <w:sz w:val="24"/>
          <w:szCs w:val="22"/>
          <w:u w:val="single"/>
        </w:rPr>
        <w:tab/>
      </w:r>
      <w:r>
        <w:rPr>
          <w:rFonts w:hint="eastAsia" w:ascii="宋体" w:hAnsi="宋体" w:eastAsia="宋体" w:cs="宋体"/>
          <w:color w:val="auto"/>
          <w:spacing w:val="-8"/>
          <w:sz w:val="24"/>
          <w:szCs w:val="22"/>
        </w:rPr>
        <w:t>，</w:t>
      </w:r>
      <w:r>
        <w:rPr>
          <w:rFonts w:hint="eastAsia" w:ascii="宋体" w:hAnsi="宋体" w:eastAsia="宋体" w:cs="宋体"/>
          <w:color w:val="auto"/>
          <w:spacing w:val="-8"/>
          <w:sz w:val="24"/>
          <w:szCs w:val="22"/>
          <w:u w:val="single"/>
        </w:rPr>
        <w:t xml:space="preserve">  </w:t>
      </w:r>
      <w:r>
        <w:rPr>
          <w:rFonts w:hint="eastAsia" w:ascii="宋体" w:hAnsi="宋体" w:eastAsia="宋体" w:cs="宋体"/>
          <w:color w:val="auto"/>
          <w:spacing w:val="31"/>
          <w:sz w:val="24"/>
          <w:szCs w:val="22"/>
        </w:rPr>
        <w:t xml:space="preserve"> </w:t>
      </w:r>
      <w:r>
        <w:rPr>
          <w:rFonts w:hint="eastAsia" w:ascii="宋体" w:hAnsi="宋体" w:eastAsia="宋体" w:cs="宋体"/>
          <w:color w:val="auto"/>
          <w:sz w:val="24"/>
          <w:szCs w:val="22"/>
        </w:rPr>
        <w:t>路面</w:t>
      </w:r>
      <w:r>
        <w:rPr>
          <w:rFonts w:hint="eastAsia" w:ascii="宋体" w:hAnsi="宋体" w:eastAsia="宋体" w:cs="宋体"/>
          <w:color w:val="auto"/>
          <w:spacing w:val="-8"/>
          <w:sz w:val="24"/>
          <w:szCs w:val="22"/>
        </w:rPr>
        <w:t>，</w:t>
      </w:r>
      <w:r>
        <w:rPr>
          <w:rFonts w:hint="eastAsia" w:ascii="宋体" w:hAnsi="宋体" w:eastAsia="宋体" w:cs="宋体"/>
          <w:color w:val="auto"/>
          <w:sz w:val="24"/>
          <w:szCs w:val="22"/>
        </w:rPr>
        <w:t>有</w:t>
      </w:r>
      <w:r>
        <w:rPr>
          <w:rFonts w:hint="eastAsia" w:ascii="宋体" w:hAnsi="宋体" w:eastAsia="宋体" w:cs="宋体"/>
          <w:color w:val="auto"/>
          <w:sz w:val="24"/>
          <w:szCs w:val="22"/>
          <w:u w:val="single"/>
        </w:rPr>
        <w:t xml:space="preserve">  </w:t>
      </w:r>
      <w:r>
        <w:rPr>
          <w:rFonts w:hint="eastAsia" w:ascii="宋体" w:hAnsi="宋体" w:eastAsia="宋体" w:cs="宋体"/>
          <w:color w:val="auto"/>
          <w:sz w:val="24"/>
          <w:szCs w:val="22"/>
        </w:rPr>
        <w:t xml:space="preserve"> 立交</w:t>
      </w:r>
      <w:r>
        <w:rPr>
          <w:rFonts w:hint="eastAsia" w:ascii="宋体" w:hAnsi="宋体" w:eastAsia="宋体" w:cs="宋体"/>
          <w:color w:val="auto"/>
          <w:sz w:val="24"/>
          <w:szCs w:val="22"/>
          <w:u w:val="single"/>
        </w:rPr>
        <w:t xml:space="preserve">  </w:t>
      </w:r>
      <w:r>
        <w:rPr>
          <w:rFonts w:hint="eastAsia" w:ascii="宋体" w:hAnsi="宋体" w:eastAsia="宋体" w:cs="宋体"/>
          <w:color w:val="auto"/>
          <w:sz w:val="24"/>
          <w:szCs w:val="22"/>
        </w:rPr>
        <w:t xml:space="preserve"> 处</w:t>
      </w:r>
      <w:r>
        <w:rPr>
          <w:rFonts w:hint="eastAsia" w:ascii="宋体" w:hAnsi="宋体" w:eastAsia="宋体" w:cs="宋体"/>
          <w:color w:val="auto"/>
          <w:spacing w:val="-8"/>
          <w:sz w:val="24"/>
          <w:szCs w:val="22"/>
        </w:rPr>
        <w:t>；</w:t>
      </w:r>
      <w:r>
        <w:rPr>
          <w:rFonts w:hint="eastAsia" w:ascii="宋体" w:hAnsi="宋体" w:eastAsia="宋体" w:cs="宋体"/>
          <w:color w:val="auto"/>
          <w:sz w:val="24"/>
          <w:szCs w:val="22"/>
        </w:rPr>
        <w:t>特大桥</w:t>
      </w:r>
      <w:r>
        <w:rPr>
          <w:rFonts w:hint="eastAsia" w:ascii="宋体" w:hAnsi="宋体" w:eastAsia="宋体" w:cs="宋体"/>
          <w:color w:val="auto"/>
          <w:sz w:val="24"/>
          <w:szCs w:val="22"/>
          <w:u w:val="single"/>
        </w:rPr>
        <w:t xml:space="preserve">   </w:t>
      </w:r>
      <w:r>
        <w:rPr>
          <w:rFonts w:hint="eastAsia" w:ascii="宋体" w:hAnsi="宋体" w:eastAsia="宋体" w:cs="宋体"/>
          <w:color w:val="auto"/>
          <w:sz w:val="24"/>
          <w:szCs w:val="22"/>
        </w:rPr>
        <w:t xml:space="preserve"> 座</w:t>
      </w:r>
      <w:r>
        <w:rPr>
          <w:rFonts w:hint="eastAsia" w:ascii="宋体" w:hAnsi="宋体" w:eastAsia="宋体" w:cs="宋体"/>
          <w:color w:val="auto"/>
          <w:spacing w:val="-8"/>
          <w:sz w:val="24"/>
          <w:szCs w:val="22"/>
        </w:rPr>
        <w:t>，</w:t>
      </w:r>
      <w:r>
        <w:rPr>
          <w:rFonts w:hint="eastAsia" w:ascii="宋体" w:hAnsi="宋体" w:eastAsia="宋体" w:cs="宋体"/>
          <w:color w:val="auto"/>
          <w:sz w:val="24"/>
          <w:szCs w:val="22"/>
        </w:rPr>
        <w:t>计长</w:t>
      </w:r>
      <w:r>
        <w:rPr>
          <w:rFonts w:hint="eastAsia" w:ascii="宋体" w:hAnsi="宋体" w:eastAsia="宋体" w:cs="宋体"/>
          <w:color w:val="auto"/>
          <w:sz w:val="24"/>
          <w:szCs w:val="22"/>
          <w:u w:val="single"/>
        </w:rPr>
        <w:t xml:space="preserve">  </w:t>
      </w:r>
      <w:r>
        <w:rPr>
          <w:rFonts w:hint="eastAsia" w:ascii="宋体" w:hAnsi="宋体" w:eastAsia="宋体" w:cs="宋体"/>
          <w:color w:val="auto"/>
          <w:sz w:val="24"/>
          <w:szCs w:val="22"/>
        </w:rPr>
        <w:t xml:space="preserve"> </w:t>
      </w:r>
      <w:r>
        <w:rPr>
          <w:rFonts w:hint="eastAsia" w:ascii="宋体" w:hAnsi="宋体" w:eastAsia="宋体" w:cs="宋体"/>
          <w:color w:val="auto"/>
          <w:spacing w:val="-4"/>
          <w:sz w:val="24"/>
          <w:szCs w:val="22"/>
        </w:rPr>
        <w:t>m；</w:t>
      </w:r>
      <w:r>
        <w:rPr>
          <w:rFonts w:hint="eastAsia" w:ascii="宋体" w:hAnsi="宋体" w:eastAsia="宋体" w:cs="宋体"/>
          <w:color w:val="auto"/>
          <w:sz w:val="24"/>
          <w:szCs w:val="22"/>
        </w:rPr>
        <w:t>大中桥</w:t>
      </w:r>
      <w:r>
        <w:rPr>
          <w:rFonts w:hint="eastAsia" w:ascii="宋体" w:hAnsi="宋体" w:eastAsia="宋体" w:cs="宋体"/>
          <w:color w:val="auto"/>
          <w:spacing w:val="118"/>
          <w:sz w:val="24"/>
          <w:szCs w:val="22"/>
          <w:u w:val="single"/>
        </w:rPr>
        <w:t xml:space="preserve"> </w:t>
      </w:r>
      <w:r>
        <w:rPr>
          <w:rFonts w:hint="eastAsia" w:ascii="宋体" w:hAnsi="宋体" w:eastAsia="宋体" w:cs="宋体"/>
          <w:color w:val="auto"/>
          <w:sz w:val="24"/>
          <w:szCs w:val="22"/>
        </w:rPr>
        <w:t>座，计长</w:t>
      </w:r>
      <w:r>
        <w:rPr>
          <w:rFonts w:hint="eastAsia" w:ascii="宋体" w:hAnsi="宋体" w:cs="宋体"/>
          <w:color w:val="auto"/>
          <w:sz w:val="24"/>
          <w:szCs w:val="22"/>
          <w:u w:val="single"/>
          <w:lang w:val="en-US" w:eastAsia="zh-CN"/>
        </w:rPr>
        <w:t xml:space="preserve">    </w:t>
      </w:r>
      <w:r>
        <w:rPr>
          <w:rFonts w:hint="eastAsia" w:ascii="宋体" w:hAnsi="宋体" w:eastAsia="宋体" w:cs="宋体"/>
          <w:color w:val="auto"/>
          <w:sz w:val="24"/>
          <w:szCs w:val="22"/>
        </w:rPr>
        <w:t>m；隧道</w:t>
      </w:r>
      <w:r>
        <w:rPr>
          <w:rFonts w:hint="eastAsia" w:ascii="宋体" w:hAnsi="宋体" w:cs="宋体"/>
          <w:color w:val="auto"/>
          <w:sz w:val="24"/>
          <w:szCs w:val="22"/>
          <w:u w:val="single"/>
          <w:lang w:val="en-US" w:eastAsia="zh-CN"/>
        </w:rPr>
        <w:t xml:space="preserve">    </w:t>
      </w:r>
      <w:r>
        <w:rPr>
          <w:rFonts w:hint="eastAsia" w:ascii="宋体" w:hAnsi="宋体" w:eastAsia="宋体" w:cs="宋体"/>
          <w:color w:val="auto"/>
          <w:sz w:val="24"/>
          <w:szCs w:val="22"/>
        </w:rPr>
        <w:t>座，计长</w:t>
      </w:r>
      <w:r>
        <w:rPr>
          <w:rFonts w:hint="eastAsia" w:ascii="宋体" w:hAnsi="宋体" w:cs="宋体"/>
          <w:color w:val="auto"/>
          <w:sz w:val="24"/>
          <w:szCs w:val="22"/>
          <w:u w:val="single"/>
          <w:lang w:val="en-US" w:eastAsia="zh-CN"/>
        </w:rPr>
        <w:t xml:space="preserve">    </w:t>
      </w:r>
      <w:r>
        <w:rPr>
          <w:rFonts w:hint="eastAsia" w:ascii="宋体" w:hAnsi="宋体" w:eastAsia="宋体" w:cs="宋体"/>
          <w:color w:val="auto"/>
          <w:sz w:val="24"/>
          <w:szCs w:val="22"/>
        </w:rPr>
        <w:t>m 以及其他构造物工程等。</w:t>
      </w:r>
    </w:p>
    <w:p>
      <w:pPr>
        <w:pStyle w:val="69"/>
        <w:numPr>
          <w:ilvl w:val="3"/>
          <w:numId w:val="40"/>
        </w:numPr>
        <w:tabs>
          <w:tab w:val="left" w:pos="1342"/>
        </w:tabs>
        <w:spacing w:before="1" w:beforeLines="0" w:afterLines="0"/>
        <w:ind w:firstLine="617"/>
        <w:rPr>
          <w:rFonts w:hint="eastAsia" w:ascii="宋体" w:hAnsi="宋体" w:eastAsia="宋体" w:cs="宋体"/>
          <w:color w:val="auto"/>
          <w:sz w:val="24"/>
          <w:szCs w:val="22"/>
        </w:rPr>
      </w:pPr>
      <w:r>
        <w:rPr>
          <w:rFonts w:hint="eastAsia" w:ascii="宋体" w:hAnsi="宋体" w:eastAsia="宋体" w:cs="宋体"/>
          <w:color w:val="auto"/>
          <w:sz w:val="24"/>
          <w:szCs w:val="22"/>
        </w:rPr>
        <w:t>下列文件应视为构成合同文件的组成部分：</w:t>
      </w:r>
    </w:p>
    <w:p>
      <w:pPr>
        <w:pStyle w:val="8"/>
        <w:keepNext w:val="0"/>
        <w:keepLines w:val="0"/>
        <w:pageBreakBefore w:val="0"/>
        <w:widowControl w:val="0"/>
        <w:kinsoku/>
        <w:wordWrap/>
        <w:overflowPunct/>
        <w:topLinePunct w:val="0"/>
        <w:autoSpaceDE/>
        <w:autoSpaceDN/>
        <w:bidi w:val="0"/>
        <w:adjustRightInd/>
        <w:snapToGrid/>
        <w:spacing w:before="132" w:beforeLines="0" w:afterLines="0" w:line="240" w:lineRule="auto"/>
        <w:ind w:left="424" w:right="418" w:firstLine="616"/>
        <w:textAlignment w:val="auto"/>
        <w:rPr>
          <w:rFonts w:hint="eastAsia" w:ascii="宋体" w:hAnsi="宋体" w:eastAsia="宋体" w:cs="宋体"/>
          <w:color w:val="auto"/>
          <w:sz w:val="24"/>
          <w:szCs w:val="24"/>
        </w:rPr>
      </w:pPr>
      <w:r>
        <w:rPr>
          <w:rFonts w:hint="eastAsia" w:ascii="宋体" w:hAnsi="宋体" w:eastAsia="宋体" w:cs="宋体"/>
          <w:color w:val="auto"/>
          <w:spacing w:val="-3"/>
          <w:sz w:val="24"/>
          <w:szCs w:val="24"/>
        </w:rPr>
        <w:t>（1）</w:t>
      </w:r>
      <w:r>
        <w:rPr>
          <w:rFonts w:hint="eastAsia" w:ascii="宋体" w:hAnsi="宋体" w:eastAsia="宋体" w:cs="宋体"/>
          <w:color w:val="auto"/>
          <w:spacing w:val="-1"/>
          <w:sz w:val="24"/>
          <w:szCs w:val="24"/>
        </w:rPr>
        <w:t>本协议书及各种合同附件</w:t>
      </w:r>
      <w:r>
        <w:rPr>
          <w:rFonts w:hint="eastAsia" w:ascii="宋体" w:hAnsi="宋体" w:eastAsia="宋体" w:cs="宋体"/>
          <w:color w:val="auto"/>
          <w:sz w:val="24"/>
          <w:szCs w:val="24"/>
        </w:rPr>
        <w:t>（含评标期间和合同谈判过程中的澄清文件和</w:t>
      </w:r>
      <w:r>
        <w:rPr>
          <w:rFonts w:hint="eastAsia" w:ascii="宋体" w:hAnsi="宋体" w:eastAsia="宋体" w:cs="宋体"/>
          <w:color w:val="auto"/>
          <w:spacing w:val="-1"/>
          <w:sz w:val="24"/>
          <w:szCs w:val="24"/>
        </w:rPr>
        <w:t>补充资料</w:t>
      </w:r>
      <w:r>
        <w:rPr>
          <w:rFonts w:hint="eastAsia" w:ascii="宋体" w:hAnsi="宋体" w:eastAsia="宋体" w:cs="宋体"/>
          <w:color w:val="auto"/>
          <w:spacing w:val="-120"/>
          <w:sz w:val="24"/>
          <w:szCs w:val="24"/>
        </w:rPr>
        <w:t>）</w:t>
      </w:r>
      <w:r>
        <w:rPr>
          <w:rFonts w:hint="eastAsia" w:ascii="宋体" w:hAnsi="宋体" w:eastAsia="宋体" w:cs="宋体"/>
          <w:color w:val="auto"/>
          <w:sz w:val="24"/>
          <w:szCs w:val="24"/>
        </w:rPr>
        <w:t>；</w:t>
      </w:r>
    </w:p>
    <w:p>
      <w:pPr>
        <w:pStyle w:val="8"/>
        <w:keepNext w:val="0"/>
        <w:keepLines w:val="0"/>
        <w:pageBreakBefore w:val="0"/>
        <w:widowControl w:val="0"/>
        <w:kinsoku/>
        <w:wordWrap/>
        <w:overflowPunct/>
        <w:topLinePunct w:val="0"/>
        <w:autoSpaceDE/>
        <w:autoSpaceDN/>
        <w:bidi w:val="0"/>
        <w:adjustRightInd/>
        <w:snapToGrid/>
        <w:spacing w:before="2" w:beforeLines="0" w:afterLines="0" w:line="240" w:lineRule="auto"/>
        <w:ind w:left="1041"/>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（2）中标通知书；</w:t>
      </w:r>
    </w:p>
    <w:p>
      <w:pPr>
        <w:pStyle w:val="8"/>
        <w:keepNext w:val="0"/>
        <w:keepLines w:val="0"/>
        <w:pageBreakBefore w:val="0"/>
        <w:widowControl w:val="0"/>
        <w:kinsoku/>
        <w:wordWrap/>
        <w:overflowPunct/>
        <w:topLinePunct w:val="0"/>
        <w:autoSpaceDE/>
        <w:autoSpaceDN/>
        <w:bidi w:val="0"/>
        <w:adjustRightInd/>
        <w:snapToGrid/>
        <w:spacing w:before="131" w:beforeLines="0" w:afterLines="0" w:line="240" w:lineRule="auto"/>
        <w:ind w:left="1041"/>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（3）投标函及投标函附录；</w:t>
      </w:r>
    </w:p>
    <w:p>
      <w:pPr>
        <w:pStyle w:val="8"/>
        <w:keepNext w:val="0"/>
        <w:keepLines w:val="0"/>
        <w:pageBreakBefore w:val="0"/>
        <w:widowControl w:val="0"/>
        <w:kinsoku/>
        <w:wordWrap/>
        <w:overflowPunct/>
        <w:topLinePunct w:val="0"/>
        <w:autoSpaceDE/>
        <w:autoSpaceDN/>
        <w:bidi w:val="0"/>
        <w:adjustRightInd/>
        <w:snapToGrid/>
        <w:spacing w:before="132" w:beforeLines="0" w:afterLines="0" w:line="240" w:lineRule="auto"/>
        <w:ind w:left="1041"/>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（4）项目专用合同条款；</w:t>
      </w:r>
    </w:p>
    <w:p>
      <w:pPr>
        <w:pStyle w:val="8"/>
        <w:keepNext w:val="0"/>
        <w:keepLines w:val="0"/>
        <w:pageBreakBefore w:val="0"/>
        <w:widowControl w:val="0"/>
        <w:kinsoku/>
        <w:wordWrap/>
        <w:overflowPunct/>
        <w:topLinePunct w:val="0"/>
        <w:autoSpaceDE/>
        <w:autoSpaceDN/>
        <w:bidi w:val="0"/>
        <w:adjustRightInd/>
        <w:snapToGrid/>
        <w:spacing w:before="134" w:beforeLines="0" w:afterLines="0" w:line="240" w:lineRule="auto"/>
        <w:ind w:left="1041"/>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（5）公路工程专用合同条款；</w:t>
      </w:r>
    </w:p>
    <w:p>
      <w:pPr>
        <w:pStyle w:val="8"/>
        <w:keepNext w:val="0"/>
        <w:keepLines w:val="0"/>
        <w:pageBreakBefore w:val="0"/>
        <w:widowControl w:val="0"/>
        <w:kinsoku/>
        <w:wordWrap/>
        <w:overflowPunct/>
        <w:topLinePunct w:val="0"/>
        <w:autoSpaceDE/>
        <w:autoSpaceDN/>
        <w:bidi w:val="0"/>
        <w:adjustRightInd/>
        <w:snapToGrid/>
        <w:spacing w:before="132" w:beforeLines="0" w:afterLines="0" w:line="240" w:lineRule="auto"/>
        <w:ind w:left="1041"/>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（6）通用合同条款；</w:t>
      </w:r>
    </w:p>
    <w:p>
      <w:pPr>
        <w:pStyle w:val="8"/>
        <w:keepNext w:val="0"/>
        <w:keepLines w:val="0"/>
        <w:pageBreakBefore w:val="0"/>
        <w:widowControl w:val="0"/>
        <w:kinsoku/>
        <w:wordWrap/>
        <w:overflowPunct/>
        <w:topLinePunct w:val="0"/>
        <w:autoSpaceDE/>
        <w:autoSpaceDN/>
        <w:bidi w:val="0"/>
        <w:adjustRightInd/>
        <w:snapToGrid/>
        <w:spacing w:before="132" w:beforeLines="0" w:afterLines="0" w:line="240" w:lineRule="auto"/>
        <w:ind w:left="1041"/>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（7）工程量清单计量规则；</w:t>
      </w:r>
    </w:p>
    <w:p>
      <w:pPr>
        <w:pStyle w:val="8"/>
        <w:keepNext w:val="0"/>
        <w:keepLines w:val="0"/>
        <w:pageBreakBefore w:val="0"/>
        <w:widowControl w:val="0"/>
        <w:kinsoku/>
        <w:wordWrap/>
        <w:overflowPunct/>
        <w:topLinePunct w:val="0"/>
        <w:autoSpaceDE/>
        <w:autoSpaceDN/>
        <w:bidi w:val="0"/>
        <w:adjustRightInd/>
        <w:snapToGrid/>
        <w:spacing w:before="134" w:beforeLines="0" w:afterLines="0" w:line="240" w:lineRule="auto"/>
        <w:ind w:left="1041"/>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（8）技术规范；</w:t>
      </w:r>
    </w:p>
    <w:p>
      <w:pPr>
        <w:pStyle w:val="8"/>
        <w:keepNext w:val="0"/>
        <w:keepLines w:val="0"/>
        <w:pageBreakBefore w:val="0"/>
        <w:widowControl w:val="0"/>
        <w:kinsoku/>
        <w:wordWrap/>
        <w:overflowPunct/>
        <w:topLinePunct w:val="0"/>
        <w:autoSpaceDE/>
        <w:autoSpaceDN/>
        <w:bidi w:val="0"/>
        <w:adjustRightInd/>
        <w:snapToGrid/>
        <w:spacing w:before="132" w:beforeLines="0" w:afterLines="0" w:line="240" w:lineRule="auto"/>
        <w:ind w:left="1041"/>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（9）图纸；</w:t>
      </w:r>
    </w:p>
    <w:p>
      <w:pPr>
        <w:pStyle w:val="8"/>
        <w:keepNext w:val="0"/>
        <w:keepLines w:val="0"/>
        <w:pageBreakBefore w:val="0"/>
        <w:widowControl w:val="0"/>
        <w:kinsoku/>
        <w:wordWrap/>
        <w:overflowPunct/>
        <w:topLinePunct w:val="0"/>
        <w:autoSpaceDE/>
        <w:autoSpaceDN/>
        <w:bidi w:val="0"/>
        <w:adjustRightInd/>
        <w:snapToGrid/>
        <w:spacing w:before="131" w:beforeLines="0" w:afterLines="0" w:line="240" w:lineRule="auto"/>
        <w:ind w:left="1041"/>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（10）已标价工程量清单；</w:t>
      </w:r>
    </w:p>
    <w:p>
      <w:pPr>
        <w:pStyle w:val="8"/>
        <w:keepNext w:val="0"/>
        <w:keepLines w:val="0"/>
        <w:pageBreakBefore w:val="0"/>
        <w:widowControl w:val="0"/>
        <w:kinsoku/>
        <w:wordWrap/>
        <w:overflowPunct/>
        <w:topLinePunct w:val="0"/>
        <w:autoSpaceDE/>
        <w:autoSpaceDN/>
        <w:bidi w:val="0"/>
        <w:adjustRightInd/>
        <w:snapToGrid/>
        <w:spacing w:before="135" w:beforeLines="0" w:afterLines="0" w:line="240" w:lineRule="auto"/>
        <w:ind w:left="1041"/>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（11）承包人有关人员、设备投入的承诺及投标文件中的施工组织设计；</w:t>
      </w:r>
    </w:p>
    <w:p>
      <w:pPr>
        <w:pStyle w:val="8"/>
        <w:keepNext w:val="0"/>
        <w:keepLines w:val="0"/>
        <w:pageBreakBefore w:val="0"/>
        <w:widowControl w:val="0"/>
        <w:kinsoku/>
        <w:wordWrap/>
        <w:overflowPunct/>
        <w:topLinePunct w:val="0"/>
        <w:autoSpaceDE/>
        <w:autoSpaceDN/>
        <w:bidi w:val="0"/>
        <w:adjustRightInd/>
        <w:snapToGrid/>
        <w:spacing w:before="132" w:beforeLines="0" w:afterLines="0" w:line="240" w:lineRule="auto"/>
        <w:ind w:left="1041"/>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（12）其他合同文件。</w:t>
      </w:r>
    </w:p>
    <w:p>
      <w:pPr>
        <w:pStyle w:val="8"/>
        <w:spacing w:before="131" w:beforeLines="0" w:afterLines="0" w:line="345" w:lineRule="auto"/>
        <w:ind w:left="424" w:right="427" w:firstLine="616"/>
        <w:rPr>
          <w:rFonts w:hint="eastAsia" w:ascii="宋体" w:hAnsi="宋体" w:eastAsia="宋体" w:cs="宋体"/>
          <w:color w:val="auto"/>
          <w:sz w:val="24"/>
          <w:szCs w:val="24"/>
        </w:rPr>
      </w:pPr>
      <w:r>
        <w:rPr>
          <w:rFonts w:hint="eastAsia" w:ascii="宋体" w:hAnsi="宋体" w:eastAsia="宋体" w:cs="宋体"/>
          <w:color w:val="auto"/>
          <w:sz w:val="24"/>
          <w:szCs w:val="24"/>
        </w:rPr>
        <w:t>上述合同文件互相补充和解释。如果合同文件之间存在矛盾或不一致之处， 以上述文件的排列顺序在先者为准。</w:t>
      </w:r>
    </w:p>
    <w:p>
      <w:pPr>
        <w:pStyle w:val="69"/>
        <w:numPr>
          <w:ilvl w:val="3"/>
          <w:numId w:val="40"/>
        </w:numPr>
        <w:tabs>
          <w:tab w:val="left" w:pos="1344"/>
          <w:tab w:val="left" w:pos="2584"/>
          <w:tab w:val="left" w:pos="4144"/>
        </w:tabs>
        <w:spacing w:beforeLines="0" w:afterLines="0" w:line="343" w:lineRule="auto"/>
        <w:ind w:right="415" w:firstLine="617"/>
        <w:rPr>
          <w:rFonts w:hint="eastAsia" w:ascii="宋体" w:hAnsi="宋体" w:eastAsia="宋体" w:cs="宋体"/>
          <w:color w:val="auto"/>
          <w:sz w:val="24"/>
          <w:szCs w:val="22"/>
        </w:rPr>
      </w:pPr>
      <w:r>
        <w:rPr>
          <w:rFonts w:hint="eastAsia" w:ascii="宋体" w:hAnsi="宋体" w:eastAsia="宋体" w:cs="宋体"/>
          <w:color w:val="auto"/>
          <w:sz w:val="24"/>
          <w:szCs w:val="22"/>
        </w:rPr>
        <w:t>根据工程量清单所列的预计数量和单价或总额价计算</w:t>
      </w:r>
      <w:r>
        <w:rPr>
          <w:rFonts w:hint="eastAsia" w:ascii="宋体" w:hAnsi="宋体" w:eastAsia="宋体" w:cs="宋体"/>
          <w:color w:val="auto"/>
          <w:spacing w:val="5"/>
          <w:sz w:val="24"/>
          <w:szCs w:val="22"/>
        </w:rPr>
        <w:t>的</w:t>
      </w:r>
      <w:r>
        <w:rPr>
          <w:rFonts w:hint="eastAsia" w:ascii="宋体" w:hAnsi="宋体" w:eastAsia="宋体" w:cs="宋体"/>
          <w:color w:val="auto"/>
          <w:sz w:val="24"/>
          <w:szCs w:val="22"/>
        </w:rPr>
        <w:t>签约合同价：人民币（大写）</w:t>
      </w:r>
      <w:r>
        <w:rPr>
          <w:rFonts w:hint="eastAsia" w:ascii="宋体" w:hAnsi="宋体" w:eastAsia="宋体" w:cs="宋体"/>
          <w:color w:val="auto"/>
          <w:sz w:val="24"/>
          <w:szCs w:val="22"/>
          <w:u w:val="single"/>
        </w:rPr>
        <w:t xml:space="preserve"> </w:t>
      </w:r>
      <w:r>
        <w:rPr>
          <w:rFonts w:hint="eastAsia" w:ascii="宋体" w:hAnsi="宋体" w:eastAsia="宋体" w:cs="宋体"/>
          <w:color w:val="auto"/>
          <w:sz w:val="24"/>
          <w:szCs w:val="22"/>
          <w:u w:val="single"/>
        </w:rPr>
        <w:tab/>
      </w:r>
      <w:r>
        <w:rPr>
          <w:rFonts w:hint="eastAsia" w:ascii="宋体" w:hAnsi="宋体" w:eastAsia="宋体" w:cs="宋体"/>
          <w:color w:val="auto"/>
          <w:sz w:val="24"/>
          <w:szCs w:val="22"/>
        </w:rPr>
        <w:t>元（¥</w:t>
      </w:r>
      <w:r>
        <w:rPr>
          <w:rFonts w:hint="eastAsia" w:ascii="宋体" w:hAnsi="宋体" w:eastAsia="宋体" w:cs="宋体"/>
          <w:color w:val="auto"/>
          <w:sz w:val="24"/>
          <w:szCs w:val="22"/>
          <w:u w:val="single"/>
        </w:rPr>
        <w:t xml:space="preserve"> </w:t>
      </w:r>
      <w:r>
        <w:rPr>
          <w:rFonts w:hint="eastAsia" w:ascii="宋体" w:hAnsi="宋体" w:eastAsia="宋体" w:cs="宋体"/>
          <w:color w:val="auto"/>
          <w:sz w:val="24"/>
          <w:szCs w:val="22"/>
          <w:u w:val="single"/>
        </w:rPr>
        <w:tab/>
      </w:r>
      <w:r>
        <w:rPr>
          <w:rFonts w:hint="eastAsia" w:ascii="宋体" w:hAnsi="宋体" w:eastAsia="宋体" w:cs="宋体"/>
          <w:color w:val="auto"/>
          <w:spacing w:val="-120"/>
          <w:sz w:val="24"/>
          <w:szCs w:val="22"/>
        </w:rPr>
        <w:t>）</w:t>
      </w:r>
      <w:r>
        <w:rPr>
          <w:rFonts w:hint="eastAsia" w:ascii="宋体" w:hAnsi="宋体" w:eastAsia="宋体" w:cs="宋体"/>
          <w:color w:val="auto"/>
          <w:sz w:val="24"/>
          <w:szCs w:val="22"/>
        </w:rPr>
        <w:t>。</w:t>
      </w:r>
    </w:p>
    <w:p>
      <w:pPr>
        <w:pStyle w:val="69"/>
        <w:numPr>
          <w:ilvl w:val="3"/>
          <w:numId w:val="40"/>
        </w:numPr>
        <w:tabs>
          <w:tab w:val="left" w:pos="1342"/>
          <w:tab w:val="left" w:pos="4701"/>
          <w:tab w:val="left" w:pos="8782"/>
        </w:tabs>
        <w:spacing w:beforeLines="0" w:afterLines="0"/>
        <w:ind w:firstLine="617"/>
        <w:rPr>
          <w:rFonts w:hint="eastAsia" w:ascii="宋体" w:hAnsi="宋体" w:eastAsia="宋体" w:cs="宋体"/>
          <w:color w:val="auto"/>
          <w:sz w:val="24"/>
          <w:szCs w:val="22"/>
        </w:rPr>
      </w:pPr>
      <w:r>
        <w:rPr>
          <w:rFonts w:hint="eastAsia" w:ascii="宋体" w:hAnsi="宋体" w:eastAsia="宋体" w:cs="宋体"/>
          <w:color w:val="auto"/>
          <w:sz w:val="24"/>
          <w:szCs w:val="22"/>
        </w:rPr>
        <w:t>承包人项目经理：</w:t>
      </w:r>
      <w:r>
        <w:rPr>
          <w:rFonts w:hint="eastAsia" w:ascii="宋体" w:hAnsi="宋体" w:eastAsia="宋体" w:cs="宋体"/>
          <w:color w:val="auto"/>
          <w:sz w:val="24"/>
          <w:szCs w:val="22"/>
          <w:u w:val="single"/>
        </w:rPr>
        <w:t xml:space="preserve"> </w:t>
      </w:r>
      <w:r>
        <w:rPr>
          <w:rFonts w:hint="eastAsia" w:ascii="宋体" w:hAnsi="宋体" w:eastAsia="宋体" w:cs="宋体"/>
          <w:color w:val="auto"/>
          <w:sz w:val="24"/>
          <w:szCs w:val="22"/>
          <w:u w:val="single"/>
        </w:rPr>
        <w:tab/>
      </w:r>
      <w:r>
        <w:rPr>
          <w:rFonts w:hint="eastAsia" w:ascii="宋体" w:hAnsi="宋体" w:eastAsia="宋体" w:cs="宋体"/>
          <w:color w:val="auto"/>
          <w:sz w:val="24"/>
          <w:szCs w:val="22"/>
        </w:rPr>
        <w:t>。承包人项目总工：</w:t>
      </w:r>
      <w:r>
        <w:rPr>
          <w:rFonts w:hint="eastAsia" w:ascii="宋体" w:hAnsi="宋体" w:eastAsia="宋体" w:cs="宋体"/>
          <w:color w:val="auto"/>
          <w:sz w:val="24"/>
          <w:szCs w:val="22"/>
          <w:u w:val="single"/>
        </w:rPr>
        <w:t xml:space="preserve"> </w:t>
      </w:r>
      <w:r>
        <w:rPr>
          <w:rFonts w:hint="eastAsia" w:ascii="宋体" w:hAnsi="宋体" w:eastAsia="宋体" w:cs="宋体"/>
          <w:color w:val="auto"/>
          <w:sz w:val="24"/>
          <w:szCs w:val="22"/>
          <w:u w:val="single"/>
        </w:rPr>
        <w:tab/>
      </w:r>
      <w:r>
        <w:rPr>
          <w:rFonts w:hint="eastAsia" w:ascii="宋体" w:hAnsi="宋体" w:eastAsia="宋体" w:cs="宋体"/>
          <w:color w:val="auto"/>
          <w:sz w:val="24"/>
          <w:szCs w:val="22"/>
        </w:rPr>
        <w:t>。</w:t>
      </w:r>
    </w:p>
    <w:p>
      <w:pPr>
        <w:pStyle w:val="69"/>
        <w:numPr>
          <w:ilvl w:val="3"/>
          <w:numId w:val="40"/>
        </w:numPr>
        <w:tabs>
          <w:tab w:val="left" w:pos="1342"/>
          <w:tab w:val="left" w:pos="4341"/>
          <w:tab w:val="left" w:pos="8662"/>
        </w:tabs>
        <w:spacing w:before="129" w:beforeLines="0" w:afterLines="0"/>
        <w:ind w:firstLine="617"/>
        <w:rPr>
          <w:rFonts w:hint="eastAsia" w:ascii="宋体" w:hAnsi="宋体" w:eastAsia="宋体" w:cs="宋体"/>
          <w:color w:val="auto"/>
          <w:sz w:val="24"/>
          <w:szCs w:val="22"/>
        </w:rPr>
      </w:pPr>
      <w:r>
        <w:rPr>
          <w:rFonts w:hint="eastAsia" w:ascii="宋体" w:hAnsi="宋体" w:eastAsia="宋体" w:cs="宋体"/>
          <w:color w:val="auto"/>
          <w:sz w:val="24"/>
          <w:szCs w:val="22"/>
        </w:rPr>
        <w:t>工程质量符合</w:t>
      </w:r>
      <w:r>
        <w:rPr>
          <w:rFonts w:hint="eastAsia" w:ascii="宋体" w:hAnsi="宋体" w:eastAsia="宋体" w:cs="宋体"/>
          <w:color w:val="auto"/>
          <w:sz w:val="24"/>
          <w:szCs w:val="22"/>
          <w:u w:val="single"/>
        </w:rPr>
        <w:t xml:space="preserve"> </w:t>
      </w:r>
      <w:r>
        <w:rPr>
          <w:rFonts w:hint="eastAsia" w:ascii="宋体" w:hAnsi="宋体" w:eastAsia="宋体" w:cs="宋体"/>
          <w:color w:val="auto"/>
          <w:sz w:val="24"/>
          <w:szCs w:val="22"/>
          <w:u w:val="single"/>
        </w:rPr>
        <w:tab/>
      </w:r>
      <w:r>
        <w:rPr>
          <w:rFonts w:hint="eastAsia" w:ascii="宋体" w:hAnsi="宋体" w:eastAsia="宋体" w:cs="宋体"/>
          <w:color w:val="auto"/>
          <w:sz w:val="24"/>
          <w:szCs w:val="22"/>
        </w:rPr>
        <w:t>标准。工程安全目标：</w:t>
      </w:r>
      <w:r>
        <w:rPr>
          <w:rFonts w:hint="eastAsia" w:ascii="宋体" w:hAnsi="宋体" w:eastAsia="宋体" w:cs="宋体"/>
          <w:color w:val="auto"/>
          <w:sz w:val="24"/>
          <w:szCs w:val="22"/>
          <w:u w:val="single"/>
        </w:rPr>
        <w:t xml:space="preserve"> </w:t>
      </w:r>
      <w:r>
        <w:rPr>
          <w:rFonts w:hint="eastAsia" w:ascii="宋体" w:hAnsi="宋体" w:eastAsia="宋体" w:cs="宋体"/>
          <w:color w:val="auto"/>
          <w:sz w:val="24"/>
          <w:szCs w:val="22"/>
          <w:u w:val="single"/>
        </w:rPr>
        <w:tab/>
      </w:r>
      <w:r>
        <w:rPr>
          <w:rFonts w:hint="eastAsia" w:ascii="宋体" w:hAnsi="宋体" w:eastAsia="宋体" w:cs="宋体"/>
          <w:color w:val="auto"/>
          <w:sz w:val="24"/>
          <w:szCs w:val="22"/>
        </w:rPr>
        <w:t>。</w:t>
      </w:r>
    </w:p>
    <w:p>
      <w:pPr>
        <w:pStyle w:val="69"/>
        <w:numPr>
          <w:ilvl w:val="3"/>
          <w:numId w:val="40"/>
        </w:numPr>
        <w:tabs>
          <w:tab w:val="left" w:pos="1342"/>
        </w:tabs>
        <w:spacing w:before="132" w:beforeLines="0" w:afterLines="0"/>
        <w:ind w:firstLine="617"/>
        <w:rPr>
          <w:rFonts w:hint="eastAsia" w:ascii="宋体" w:hAnsi="宋体" w:eastAsia="宋体" w:cs="宋体"/>
          <w:color w:val="auto"/>
          <w:sz w:val="24"/>
          <w:szCs w:val="22"/>
        </w:rPr>
      </w:pPr>
      <w:r>
        <w:rPr>
          <w:rFonts w:hint="eastAsia" w:ascii="宋体" w:hAnsi="宋体" w:eastAsia="宋体" w:cs="宋体"/>
          <w:color w:val="auto"/>
          <w:sz w:val="24"/>
          <w:szCs w:val="22"/>
        </w:rPr>
        <w:t>承包人承诺按合同约定承担工程的实施、完成及缺陷修复。</w:t>
      </w:r>
    </w:p>
    <w:p>
      <w:pPr>
        <w:pStyle w:val="69"/>
        <w:numPr>
          <w:ilvl w:val="3"/>
          <w:numId w:val="40"/>
        </w:numPr>
        <w:tabs>
          <w:tab w:val="left" w:pos="1342"/>
        </w:tabs>
        <w:spacing w:before="134" w:beforeLines="0" w:afterLines="0"/>
        <w:ind w:firstLine="617"/>
        <w:rPr>
          <w:rFonts w:hint="eastAsia" w:ascii="宋体" w:hAnsi="宋体" w:eastAsia="宋体" w:cs="宋体"/>
          <w:color w:val="auto"/>
          <w:sz w:val="11"/>
          <w:szCs w:val="24"/>
        </w:rPr>
      </w:pPr>
      <w:r>
        <w:rPr>
          <w:rFonts w:hint="eastAsia" w:ascii="宋体" w:hAnsi="宋体" w:eastAsia="宋体" w:cs="宋体"/>
          <w:color w:val="auto"/>
          <w:sz w:val="24"/>
          <w:szCs w:val="22"/>
        </w:rPr>
        <w:t>发包人承诺按合同约定的条件、时间和方式向承包人支付合同价款。</w:t>
      </w:r>
    </w:p>
    <w:p>
      <w:pPr>
        <w:pStyle w:val="69"/>
        <w:numPr>
          <w:ilvl w:val="3"/>
          <w:numId w:val="40"/>
        </w:numPr>
        <w:tabs>
          <w:tab w:val="left" w:pos="1342"/>
          <w:tab w:val="left" w:pos="5902"/>
        </w:tabs>
        <w:spacing w:before="74" w:beforeLines="0" w:afterLines="0"/>
        <w:ind w:firstLine="617"/>
        <w:rPr>
          <w:rFonts w:hint="eastAsia" w:ascii="宋体" w:hAnsi="宋体" w:eastAsia="宋体" w:cs="宋体"/>
          <w:color w:val="auto"/>
          <w:sz w:val="24"/>
          <w:szCs w:val="22"/>
        </w:rPr>
      </w:pPr>
      <w:r>
        <w:rPr>
          <w:rFonts w:hint="eastAsia" w:ascii="宋体" w:hAnsi="宋体" w:eastAsia="宋体" w:cs="宋体"/>
          <w:color w:val="auto"/>
          <w:sz w:val="24"/>
          <w:szCs w:val="22"/>
        </w:rPr>
        <w:t>承包人应按照监理人指示开工，工期为</w:t>
      </w:r>
      <w:r>
        <w:rPr>
          <w:rFonts w:hint="eastAsia" w:ascii="宋体" w:hAnsi="宋体" w:eastAsia="宋体" w:cs="宋体"/>
          <w:color w:val="auto"/>
          <w:sz w:val="24"/>
          <w:szCs w:val="22"/>
          <w:u w:val="single"/>
        </w:rPr>
        <w:t xml:space="preserve"> </w:t>
      </w:r>
      <w:r>
        <w:rPr>
          <w:rFonts w:hint="eastAsia" w:ascii="宋体" w:hAnsi="宋体" w:eastAsia="宋体" w:cs="宋体"/>
          <w:color w:val="auto"/>
          <w:sz w:val="24"/>
          <w:szCs w:val="22"/>
          <w:u w:val="single"/>
        </w:rPr>
        <w:tab/>
      </w:r>
      <w:r>
        <w:rPr>
          <w:rFonts w:hint="eastAsia" w:ascii="宋体" w:hAnsi="宋体" w:eastAsia="宋体" w:cs="宋体"/>
          <w:color w:val="auto"/>
          <w:sz w:val="24"/>
          <w:szCs w:val="22"/>
        </w:rPr>
        <w:t>日历天。</w:t>
      </w:r>
    </w:p>
    <w:p>
      <w:pPr>
        <w:pStyle w:val="69"/>
        <w:numPr>
          <w:ilvl w:val="3"/>
          <w:numId w:val="40"/>
        </w:numPr>
        <w:tabs>
          <w:tab w:val="left" w:pos="1344"/>
        </w:tabs>
        <w:spacing w:before="132" w:beforeLines="0" w:afterLines="0" w:line="343" w:lineRule="auto"/>
        <w:ind w:right="382" w:firstLine="617"/>
        <w:jc w:val="both"/>
        <w:rPr>
          <w:rFonts w:hint="eastAsia" w:ascii="宋体" w:hAnsi="宋体" w:eastAsia="宋体" w:cs="宋体"/>
          <w:color w:val="auto"/>
          <w:sz w:val="24"/>
          <w:szCs w:val="22"/>
        </w:rPr>
      </w:pPr>
      <w:r>
        <w:rPr>
          <w:rFonts w:hint="eastAsia" w:ascii="宋体" w:hAnsi="宋体" w:eastAsia="宋体" w:cs="宋体"/>
          <w:color w:val="auto"/>
          <w:sz w:val="24"/>
          <w:szCs w:val="22"/>
        </w:rPr>
        <w:t>本协议书在承包人提供履约保证金后，由双方法定代表人或其委托代理人签署并加盖单位章后生效。全部工程完工后经交工验收合格、缺陷责任期满签发缺陷责任终止证书后失效。</w:t>
      </w:r>
    </w:p>
    <w:p>
      <w:pPr>
        <w:pStyle w:val="69"/>
        <w:numPr>
          <w:ilvl w:val="3"/>
          <w:numId w:val="40"/>
        </w:numPr>
        <w:tabs>
          <w:tab w:val="left" w:pos="1462"/>
          <w:tab w:val="left" w:pos="4581"/>
          <w:tab w:val="left" w:pos="8662"/>
        </w:tabs>
        <w:spacing w:beforeLines="0" w:afterLines="0" w:line="343" w:lineRule="auto"/>
        <w:ind w:right="341" w:firstLine="617"/>
        <w:rPr>
          <w:rFonts w:hint="eastAsia" w:ascii="宋体" w:hAnsi="宋体" w:eastAsia="宋体" w:cs="宋体"/>
          <w:color w:val="auto"/>
          <w:sz w:val="24"/>
          <w:szCs w:val="22"/>
        </w:rPr>
      </w:pPr>
      <w:r>
        <w:rPr>
          <w:rFonts w:hint="eastAsia" w:ascii="宋体" w:hAnsi="宋体" w:eastAsia="宋体" w:cs="宋体"/>
          <w:color w:val="auto"/>
          <w:sz w:val="24"/>
          <w:szCs w:val="22"/>
        </w:rPr>
        <w:t>本协议书正本二份、副本</w:t>
      </w:r>
      <w:r>
        <w:rPr>
          <w:rFonts w:hint="eastAsia" w:ascii="宋体" w:hAnsi="宋体" w:eastAsia="宋体" w:cs="宋体"/>
          <w:color w:val="auto"/>
          <w:sz w:val="24"/>
          <w:szCs w:val="22"/>
          <w:u w:val="single"/>
        </w:rPr>
        <w:t xml:space="preserve"> </w:t>
      </w:r>
      <w:r>
        <w:rPr>
          <w:rFonts w:hint="eastAsia" w:ascii="宋体" w:hAnsi="宋体" w:eastAsia="宋体" w:cs="宋体"/>
          <w:color w:val="auto"/>
          <w:sz w:val="24"/>
          <w:szCs w:val="22"/>
          <w:u w:val="single"/>
        </w:rPr>
        <w:tab/>
      </w:r>
      <w:r>
        <w:rPr>
          <w:rFonts w:hint="eastAsia" w:ascii="宋体" w:hAnsi="宋体" w:eastAsia="宋体" w:cs="宋体"/>
          <w:color w:val="auto"/>
          <w:sz w:val="24"/>
          <w:szCs w:val="22"/>
        </w:rPr>
        <w:t>份，合同双方各执正本一份，副本</w:t>
      </w:r>
      <w:r>
        <w:rPr>
          <w:rFonts w:hint="eastAsia" w:ascii="宋体" w:hAnsi="宋体" w:eastAsia="宋体" w:cs="宋体"/>
          <w:color w:val="auto"/>
          <w:sz w:val="24"/>
          <w:szCs w:val="22"/>
          <w:u w:val="single"/>
        </w:rPr>
        <w:t xml:space="preserve"> </w:t>
      </w:r>
      <w:r>
        <w:rPr>
          <w:rFonts w:hint="eastAsia" w:ascii="宋体" w:hAnsi="宋体" w:eastAsia="宋体" w:cs="宋体"/>
          <w:color w:val="auto"/>
          <w:sz w:val="24"/>
          <w:szCs w:val="22"/>
          <w:u w:val="single"/>
        </w:rPr>
        <w:tab/>
      </w:r>
      <w:r>
        <w:rPr>
          <w:rFonts w:hint="eastAsia" w:ascii="宋体" w:hAnsi="宋体" w:eastAsia="宋体" w:cs="宋体"/>
          <w:color w:val="auto"/>
          <w:sz w:val="24"/>
          <w:szCs w:val="22"/>
        </w:rPr>
        <w:t>份， 当正本与副本的内容不一致时，以正本为准。</w:t>
      </w:r>
    </w:p>
    <w:p>
      <w:pPr>
        <w:pStyle w:val="69"/>
        <w:numPr>
          <w:ilvl w:val="3"/>
          <w:numId w:val="40"/>
        </w:numPr>
        <w:tabs>
          <w:tab w:val="left" w:pos="1452"/>
        </w:tabs>
        <w:spacing w:before="2" w:beforeLines="0" w:afterLines="0"/>
        <w:ind w:left="1451" w:hanging="410"/>
        <w:rPr>
          <w:rFonts w:hint="eastAsia" w:ascii="宋体" w:hAnsi="宋体" w:eastAsia="宋体" w:cs="宋体"/>
          <w:color w:val="auto"/>
          <w:sz w:val="24"/>
          <w:szCs w:val="22"/>
        </w:rPr>
      </w:pPr>
      <w:r>
        <w:rPr>
          <w:rFonts w:hint="eastAsia" w:ascii="宋体" w:hAnsi="宋体" w:eastAsia="宋体" w:cs="宋体"/>
          <w:color w:val="auto"/>
          <w:sz w:val="24"/>
          <w:szCs w:val="22"/>
        </w:rPr>
        <w:t>合同未尽事宜，双方另行签订补充协议。补充协议是合同的组成部分。</w:t>
      </w:r>
    </w:p>
    <w:p>
      <w:pPr>
        <w:pStyle w:val="8"/>
        <w:spacing w:beforeLines="0" w:afterLines="0"/>
        <w:rPr>
          <w:rFonts w:hint="eastAsia" w:ascii="宋体" w:hAnsi="宋体" w:eastAsia="宋体" w:cs="宋体"/>
          <w:color w:val="auto"/>
          <w:sz w:val="26"/>
          <w:szCs w:val="24"/>
        </w:rPr>
      </w:pPr>
    </w:p>
    <w:p>
      <w:pPr>
        <w:pStyle w:val="8"/>
        <w:spacing w:before="7" w:beforeLines="0" w:afterLines="0"/>
        <w:rPr>
          <w:rFonts w:hint="eastAsia" w:ascii="宋体" w:hAnsi="宋体" w:eastAsia="宋体" w:cs="宋体"/>
          <w:color w:val="auto"/>
          <w:sz w:val="18"/>
          <w:szCs w:val="24"/>
        </w:rPr>
      </w:pPr>
    </w:p>
    <w:p>
      <w:pPr>
        <w:pStyle w:val="8"/>
        <w:tabs>
          <w:tab w:val="left" w:pos="3151"/>
          <w:tab w:val="left" w:pos="4934"/>
          <w:tab w:val="left" w:pos="5174"/>
          <w:tab w:val="left" w:pos="7781"/>
        </w:tabs>
        <w:spacing w:beforeLines="0" w:afterLines="0" w:line="345" w:lineRule="auto"/>
        <w:ind w:left="424" w:right="262"/>
        <w:rPr>
          <w:rFonts w:hint="eastAsia" w:ascii="宋体" w:hAnsi="宋体" w:eastAsia="宋体" w:cs="宋体"/>
          <w:color w:val="auto"/>
          <w:sz w:val="24"/>
          <w:szCs w:val="24"/>
        </w:rPr>
      </w:pPr>
      <w:r>
        <w:rPr>
          <w:rFonts w:hint="eastAsia" w:ascii="宋体" w:hAnsi="宋体" w:eastAsia="宋体" w:cs="宋体"/>
          <w:color w:val="auto"/>
          <w:sz w:val="24"/>
          <w:szCs w:val="24"/>
        </w:rPr>
        <w:t>发包人</w:t>
      </w:r>
      <w:r>
        <w:rPr>
          <w:rFonts w:hint="eastAsia" w:ascii="宋体" w:hAnsi="宋体" w:eastAsia="宋体" w:cs="宋体"/>
          <w:color w:val="auto"/>
          <w:spacing w:val="-17"/>
          <w:sz w:val="24"/>
          <w:szCs w:val="24"/>
        </w:rPr>
        <w:t>：</w:t>
      </w:r>
      <w:r>
        <w:rPr>
          <w:rFonts w:hint="eastAsia" w:ascii="宋体" w:hAnsi="宋体" w:eastAsia="宋体" w:cs="宋体"/>
          <w:color w:val="auto"/>
          <w:spacing w:val="-17"/>
          <w:sz w:val="24"/>
          <w:szCs w:val="24"/>
          <w:u w:val="single"/>
        </w:rPr>
        <w:t xml:space="preserve"> </w:t>
      </w:r>
      <w:r>
        <w:rPr>
          <w:rFonts w:hint="eastAsia" w:ascii="宋体" w:hAnsi="宋体" w:eastAsia="宋体" w:cs="宋体"/>
          <w:color w:val="auto"/>
          <w:spacing w:val="-17"/>
          <w:sz w:val="24"/>
          <w:szCs w:val="24"/>
          <w:u w:val="single"/>
        </w:rPr>
        <w:tab/>
      </w:r>
      <w:r>
        <w:rPr>
          <w:rFonts w:hint="eastAsia" w:ascii="宋体" w:hAnsi="宋体" w:eastAsia="宋体" w:cs="宋体"/>
          <w:color w:val="auto"/>
          <w:sz w:val="24"/>
          <w:szCs w:val="24"/>
        </w:rPr>
        <w:t>（盖单位章）</w:t>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承包人</w:t>
      </w:r>
      <w:r>
        <w:rPr>
          <w:rFonts w:hint="eastAsia" w:ascii="宋体" w:hAnsi="宋体" w:eastAsia="宋体" w:cs="宋体"/>
          <w:color w:val="auto"/>
          <w:spacing w:val="-17"/>
          <w:sz w:val="24"/>
          <w:szCs w:val="24"/>
        </w:rPr>
        <w:t>：</w:t>
      </w:r>
      <w:r>
        <w:rPr>
          <w:rFonts w:hint="eastAsia" w:ascii="宋体" w:hAnsi="宋体" w:eastAsia="宋体" w:cs="宋体"/>
          <w:color w:val="auto"/>
          <w:spacing w:val="-17"/>
          <w:sz w:val="24"/>
          <w:szCs w:val="24"/>
          <w:u w:val="single"/>
        </w:rPr>
        <w:t xml:space="preserve"> </w:t>
      </w:r>
      <w:r>
        <w:rPr>
          <w:rFonts w:hint="eastAsia" w:ascii="宋体" w:hAnsi="宋体" w:eastAsia="宋体" w:cs="宋体"/>
          <w:color w:val="auto"/>
          <w:spacing w:val="-17"/>
          <w:sz w:val="24"/>
          <w:szCs w:val="24"/>
          <w:u w:val="single"/>
        </w:rPr>
        <w:tab/>
      </w:r>
      <w:r>
        <w:rPr>
          <w:rFonts w:hint="eastAsia" w:ascii="宋体" w:hAnsi="宋体" w:eastAsia="宋体" w:cs="宋体"/>
          <w:color w:val="auto"/>
          <w:sz w:val="24"/>
          <w:szCs w:val="24"/>
        </w:rPr>
        <w:t>（盖单位章） 法定代表人或其委托代理人</w:t>
      </w:r>
      <w:r>
        <w:rPr>
          <w:rFonts w:hint="eastAsia" w:ascii="宋体" w:hAnsi="宋体" w:eastAsia="宋体" w:cs="宋体"/>
          <w:color w:val="auto"/>
          <w:spacing w:val="-17"/>
          <w:sz w:val="24"/>
          <w:szCs w:val="24"/>
        </w:rPr>
        <w:t>：</w:t>
      </w:r>
      <w:r>
        <w:rPr>
          <w:rFonts w:hint="eastAsia" w:ascii="宋体" w:hAnsi="宋体" w:eastAsia="宋体" w:cs="宋体"/>
          <w:color w:val="auto"/>
          <w:spacing w:val="-17"/>
          <w:sz w:val="24"/>
          <w:szCs w:val="24"/>
          <w:u w:val="single"/>
        </w:rPr>
        <w:t xml:space="preserve"> </w:t>
      </w:r>
      <w:r>
        <w:rPr>
          <w:rFonts w:hint="eastAsia" w:ascii="宋体" w:eastAsia="宋体" w:cs="宋体"/>
          <w:color w:val="auto"/>
          <w:spacing w:val="-17"/>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（签字）</w:t>
      </w:r>
      <w:r>
        <w:rPr>
          <w:rFonts w:hint="eastAsia" w:ascii="宋体" w:hAnsi="宋体" w:eastAsia="宋体" w:cs="宋体"/>
          <w:color w:val="auto"/>
          <w:sz w:val="24"/>
          <w:szCs w:val="24"/>
        </w:rPr>
        <w:tab/>
      </w:r>
      <w:r>
        <w:rPr>
          <w:rFonts w:hint="eastAsia" w:ascii="宋体" w:hAnsi="宋体" w:eastAsia="宋体" w:cs="宋体"/>
          <w:color w:val="auto"/>
          <w:sz w:val="24"/>
          <w:szCs w:val="24"/>
        </w:rPr>
        <w:t>法定代表人或其委托代理人</w:t>
      </w:r>
      <w:r>
        <w:rPr>
          <w:rFonts w:hint="eastAsia" w:ascii="宋体" w:hAnsi="宋体" w:eastAsia="宋体" w:cs="宋体"/>
          <w:color w:val="auto"/>
          <w:spacing w:val="-16"/>
          <w:sz w:val="24"/>
          <w:szCs w:val="24"/>
        </w:rPr>
        <w:t>：</w:t>
      </w:r>
      <w:r>
        <w:rPr>
          <w:rFonts w:hint="eastAsia" w:ascii="宋体" w:eastAsia="宋体" w:cs="宋体"/>
          <w:color w:val="auto"/>
          <w:spacing w:val="-16"/>
          <w:sz w:val="24"/>
          <w:szCs w:val="24"/>
          <w:lang w:val="en-US" w:eastAsia="zh-CN"/>
        </w:rPr>
        <w:t xml:space="preserve"> </w:t>
      </w:r>
      <w:r>
        <w:rPr>
          <w:rFonts w:hint="eastAsia" w:ascii="宋体" w:hAnsi="宋体" w:eastAsia="宋体" w:cs="宋体"/>
          <w:color w:val="auto"/>
          <w:spacing w:val="-1"/>
          <w:sz w:val="24"/>
          <w:szCs w:val="24"/>
          <w:u w:val="single"/>
        </w:rPr>
        <w:t xml:space="preserve"> </w:t>
      </w:r>
      <w:r>
        <w:rPr>
          <w:rFonts w:hint="eastAsia" w:ascii="宋体" w:eastAsia="宋体" w:cs="宋体"/>
          <w:color w:val="auto"/>
          <w:spacing w:val="-1"/>
          <w:sz w:val="24"/>
          <w:szCs w:val="24"/>
          <w:u w:val="single"/>
          <w:lang w:val="en-US" w:eastAsia="zh-CN"/>
        </w:rPr>
        <w:t xml:space="preserve"> </w:t>
      </w:r>
      <w:r>
        <w:rPr>
          <w:rFonts w:hint="eastAsia" w:ascii="宋体" w:hAnsi="宋体" w:eastAsia="宋体" w:cs="宋体"/>
          <w:color w:val="auto"/>
          <w:sz w:val="24"/>
          <w:szCs w:val="24"/>
        </w:rPr>
        <w:t>（签字）</w:t>
      </w:r>
    </w:p>
    <w:p>
      <w:pPr>
        <w:pStyle w:val="8"/>
        <w:tabs>
          <w:tab w:val="left" w:pos="2344"/>
          <w:tab w:val="left" w:pos="3184"/>
          <w:tab w:val="left" w:pos="4024"/>
          <w:tab w:val="left" w:pos="5945"/>
          <w:tab w:val="left" w:pos="7025"/>
          <w:tab w:val="left" w:pos="7865"/>
          <w:tab w:val="left" w:pos="8705"/>
        </w:tabs>
        <w:spacing w:beforeLines="0" w:afterLines="0" w:line="303" w:lineRule="exact"/>
        <w:ind w:left="1264"/>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日</w:t>
      </w:r>
      <w:r>
        <w:rPr>
          <w:rFonts w:hint="eastAsia" w:ascii="宋体" w:hAnsi="宋体" w:eastAsia="宋体" w:cs="宋体"/>
          <w:color w:val="auto"/>
          <w:sz w:val="24"/>
          <w:szCs w:val="24"/>
        </w:rPr>
        <w:tab/>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日</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p>
    <w:p>
      <w:pPr>
        <w:pageBreakBefore w:val="0"/>
        <w:kinsoku/>
        <w:overflowPunct/>
        <w:bidi w:val="0"/>
        <w:spacing w:before="0" w:beforeLines="0" w:beforeAutospacing="0" w:after="0" w:afterLines="0" w:afterAutospacing="0" w:line="360" w:lineRule="auto"/>
        <w:ind w:left="0" w:leftChars="0" w:right="0"/>
        <w:rPr>
          <w:rFonts w:hint="eastAsia" w:ascii="宋体" w:hAnsi="宋体" w:eastAsia="宋体" w:cs="宋体"/>
          <w:kern w:val="2"/>
          <w:sz w:val="22"/>
          <w:szCs w:val="22"/>
        </w:rPr>
        <w:sectPr>
          <w:pgSz w:w="11910" w:h="16850"/>
          <w:pgMar w:top="1480" w:right="1200" w:bottom="1040" w:left="1220" w:header="876" w:footer="853" w:gutter="0"/>
          <w:pgNumType w:fmt="decimal"/>
          <w:cols w:space="720" w:num="1"/>
          <w:docGrid w:type="lines" w:linePitch="312" w:charSpace="0"/>
        </w:sect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35"/>
          <w:szCs w:val="35"/>
        </w:rPr>
      </w:pPr>
      <w:bookmarkStart w:id="149" w:name="_bookmark271"/>
      <w:bookmarkEnd w:id="149"/>
      <w:r>
        <w:rPr>
          <w:rFonts w:hint="eastAsia" w:ascii="宋体" w:hAnsi="宋体" w:eastAsia="宋体" w:cs="宋体"/>
          <w:kern w:val="0"/>
          <w:sz w:val="24"/>
          <w:szCs w:val="24"/>
          <w:lang w:val="en-US" w:eastAsia="zh-CN" w:bidi="ar"/>
        </w:rPr>
        <w:t>附件二</w:t>
      </w:r>
      <w:r>
        <w:rPr>
          <w:rFonts w:hint="eastAsia" w:cs="宋体"/>
          <w:kern w:val="0"/>
          <w:sz w:val="24"/>
          <w:szCs w:val="24"/>
          <w:lang w:val="en-US" w:eastAsia="zh-CN" w:bidi="ar"/>
        </w:rPr>
        <w:t xml:space="preserve">  </w:t>
      </w:r>
      <w:r>
        <w:rPr>
          <w:rFonts w:hint="eastAsia" w:ascii="宋体" w:hAnsi="宋体" w:eastAsia="宋体" w:cs="宋体"/>
          <w:kern w:val="0"/>
          <w:sz w:val="24"/>
          <w:szCs w:val="24"/>
          <w:lang w:val="en-US" w:eastAsia="zh-CN" w:bidi="ar"/>
        </w:rPr>
        <w:t>廉政合同</w:t>
      </w:r>
    </w:p>
    <w:p>
      <w:pPr>
        <w:keepNext w:val="0"/>
        <w:keepLines w:val="0"/>
        <w:pageBreakBefore w:val="0"/>
        <w:widowControl w:val="0"/>
        <w:suppressLineNumbers w:val="0"/>
        <w:kinsoku/>
        <w:overflowPunct/>
        <w:autoSpaceDE w:val="0"/>
        <w:autoSpaceDN w:val="0"/>
        <w:bidi w:val="0"/>
        <w:spacing w:beforeAutospacing="0" w:afterAutospacing="0" w:line="360" w:lineRule="auto"/>
        <w:ind w:left="0" w:leftChars="0" w:right="0"/>
        <w:jc w:val="center"/>
        <w:rPr>
          <w:rFonts w:hint="eastAsia" w:ascii="宋体" w:hAnsi="宋体" w:eastAsia="宋体" w:cs="宋体"/>
          <w:kern w:val="0"/>
          <w:sz w:val="28"/>
          <w:szCs w:val="28"/>
          <w:lang w:val="en-US" w:eastAsia="zh-CN" w:bidi="ar"/>
        </w:rPr>
      </w:pPr>
      <w:r>
        <w:rPr>
          <w:rFonts w:hint="eastAsia" w:ascii="宋体" w:hAnsi="宋体" w:eastAsia="宋体" w:cs="宋体"/>
          <w:kern w:val="0"/>
          <w:sz w:val="28"/>
          <w:szCs w:val="28"/>
          <w:lang w:val="en-US" w:eastAsia="zh-CN" w:bidi="ar"/>
        </w:rPr>
        <w:t>廉政合同</w:t>
      </w:r>
    </w:p>
    <w:p>
      <w:pPr>
        <w:keepNext w:val="0"/>
        <w:keepLines w:val="0"/>
        <w:pageBreakBefore w:val="0"/>
        <w:widowControl w:val="0"/>
        <w:suppressLineNumbers w:val="0"/>
        <w:kinsoku/>
        <w:overflowPunct/>
        <w:autoSpaceDE w:val="0"/>
        <w:autoSpaceDN w:val="0"/>
        <w:bidi w:val="0"/>
        <w:spacing w:beforeAutospacing="0" w:afterAutospacing="0" w:line="360" w:lineRule="auto"/>
        <w:ind w:left="0" w:leftChars="0" w:right="0"/>
        <w:jc w:val="center"/>
        <w:rPr>
          <w:rFonts w:hint="eastAsia" w:ascii="宋体" w:hAnsi="宋体" w:eastAsia="宋体" w:cs="宋体"/>
          <w:kern w:val="0"/>
          <w:sz w:val="24"/>
          <w:szCs w:val="24"/>
          <w:lang w:val="en-US" w:eastAsia="zh-CN" w:bidi="ar"/>
        </w:rPr>
      </w:pPr>
      <w:r>
        <w:rPr>
          <w:rFonts w:hint="eastAsia" w:ascii="宋体" w:hAnsi="宋体" w:cs="宋体"/>
          <w:kern w:val="0"/>
          <w:sz w:val="28"/>
          <w:szCs w:val="28"/>
          <w:lang w:val="en-US" w:eastAsia="zh-CN" w:bidi="ar"/>
        </w:rPr>
        <w:t xml:space="preserve">   </w:t>
      </w:r>
      <w:r>
        <w:rPr>
          <w:rFonts w:hint="eastAsia" w:ascii="宋体" w:hAnsi="宋体" w:eastAsia="宋体" w:cs="宋体"/>
          <w:kern w:val="0"/>
          <w:sz w:val="24"/>
          <w:szCs w:val="24"/>
          <w:lang w:val="en-US" w:eastAsia="zh-CN" w:bidi="ar"/>
        </w:rPr>
        <w:t>根</w:t>
      </w:r>
      <w:r>
        <w:rPr>
          <w:rFonts w:hint="eastAsia" w:ascii="宋体" w:hAnsi="宋体" w:eastAsia="宋体" w:cs="宋体"/>
          <w:spacing w:val="-51"/>
          <w:kern w:val="0"/>
          <w:sz w:val="24"/>
          <w:szCs w:val="24"/>
          <w:lang w:val="en-US" w:eastAsia="zh-CN" w:bidi="ar"/>
        </w:rPr>
        <w:t>据</w:t>
      </w:r>
      <w:r>
        <w:rPr>
          <w:rFonts w:hint="eastAsia" w:ascii="宋体" w:hAnsi="宋体" w:eastAsia="宋体" w:cs="宋体"/>
          <w:kern w:val="0"/>
          <w:sz w:val="24"/>
          <w:szCs w:val="24"/>
          <w:lang w:val="en-US" w:eastAsia="zh-CN" w:bidi="ar"/>
        </w:rPr>
        <w:t>《关于在交通基础设施建设中加强廉政建设的若干意见</w:t>
      </w:r>
      <w:r>
        <w:rPr>
          <w:rFonts w:hint="eastAsia" w:ascii="宋体" w:hAnsi="宋体" w:eastAsia="宋体" w:cs="宋体"/>
          <w:spacing w:val="-51"/>
          <w:kern w:val="0"/>
          <w:sz w:val="24"/>
          <w:szCs w:val="24"/>
          <w:lang w:val="en-US" w:eastAsia="zh-CN" w:bidi="ar"/>
        </w:rPr>
        <w:t>》</w:t>
      </w:r>
      <w:r>
        <w:rPr>
          <w:rFonts w:hint="eastAsia" w:ascii="宋体" w:hAnsi="宋体" w:eastAsia="宋体" w:cs="宋体"/>
          <w:kern w:val="0"/>
          <w:sz w:val="24"/>
          <w:szCs w:val="24"/>
          <w:lang w:val="en-US" w:eastAsia="zh-CN" w:bidi="ar"/>
        </w:rPr>
        <w:t>以及有关工程建设</w:t>
      </w:r>
      <w:r>
        <w:rPr>
          <w:rFonts w:hint="eastAsia" w:ascii="宋体" w:hAnsi="宋体" w:eastAsia="宋体" w:cs="宋体"/>
          <w:spacing w:val="-29"/>
          <w:kern w:val="0"/>
          <w:sz w:val="24"/>
          <w:szCs w:val="24"/>
          <w:lang w:val="en-US" w:eastAsia="zh-CN" w:bidi="ar"/>
        </w:rPr>
        <w:t>、</w:t>
      </w:r>
      <w:r>
        <w:rPr>
          <w:rFonts w:hint="eastAsia" w:ascii="宋体" w:hAnsi="宋体" w:eastAsia="宋体" w:cs="宋体"/>
          <w:kern w:val="0"/>
          <w:sz w:val="24"/>
          <w:szCs w:val="24"/>
          <w:lang w:val="en-US" w:eastAsia="zh-CN" w:bidi="ar"/>
        </w:rPr>
        <w:t>廉政建设的规定</w:t>
      </w:r>
      <w:r>
        <w:rPr>
          <w:rFonts w:hint="eastAsia" w:ascii="宋体" w:hAnsi="宋体" w:eastAsia="宋体" w:cs="宋体"/>
          <w:spacing w:val="-29"/>
          <w:kern w:val="0"/>
          <w:sz w:val="24"/>
          <w:szCs w:val="24"/>
          <w:lang w:val="en-US" w:eastAsia="zh-CN" w:bidi="ar"/>
        </w:rPr>
        <w:t>，</w:t>
      </w:r>
      <w:r>
        <w:rPr>
          <w:rFonts w:hint="eastAsia" w:ascii="宋体" w:hAnsi="宋体" w:eastAsia="宋体" w:cs="宋体"/>
          <w:kern w:val="0"/>
          <w:sz w:val="24"/>
          <w:szCs w:val="24"/>
          <w:lang w:val="en-US" w:eastAsia="zh-CN" w:bidi="ar"/>
        </w:rPr>
        <w:t>为做好工程建设中的党风廉政建设</w:t>
      </w:r>
      <w:r>
        <w:rPr>
          <w:rFonts w:hint="eastAsia" w:ascii="宋体" w:hAnsi="宋体" w:eastAsia="宋体" w:cs="宋体"/>
          <w:spacing w:val="-29"/>
          <w:kern w:val="0"/>
          <w:sz w:val="24"/>
          <w:szCs w:val="24"/>
          <w:lang w:val="en-US" w:eastAsia="zh-CN" w:bidi="ar"/>
        </w:rPr>
        <w:t>，</w:t>
      </w:r>
      <w:r>
        <w:rPr>
          <w:rFonts w:hint="eastAsia" w:ascii="宋体" w:hAnsi="宋体" w:eastAsia="宋体" w:cs="宋体"/>
          <w:kern w:val="0"/>
          <w:sz w:val="24"/>
          <w:szCs w:val="24"/>
          <w:lang w:val="en-US" w:eastAsia="zh-CN" w:bidi="ar"/>
        </w:rPr>
        <w:t>保证工程建设高效优质，保证建设资金的安全和有效使用以及投资效益，</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（项目名称）的项目法人</w:t>
      </w:r>
      <w:r>
        <w:rPr>
          <w:rFonts w:hint="eastAsia" w:cs="宋体"/>
          <w:kern w:val="0"/>
          <w:sz w:val="24"/>
          <w:szCs w:val="24"/>
          <w:lang w:val="en-US" w:eastAsia="zh-CN" w:bidi="ar"/>
        </w:rPr>
        <w:t xml:space="preserve"> </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（项目法人名称，以下简称“发包人”）与该项目</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标段的施工单</w:t>
      </w:r>
      <w:r>
        <w:rPr>
          <w:rFonts w:hint="eastAsia" w:ascii="宋体" w:hAnsi="宋体" w:eastAsia="宋体" w:cs="宋体"/>
          <w:spacing w:val="-1"/>
          <w:kern w:val="0"/>
          <w:sz w:val="24"/>
          <w:szCs w:val="24"/>
          <w:lang w:val="en-US" w:eastAsia="zh-CN" w:bidi="ar"/>
        </w:rPr>
        <w:t>位</w:t>
      </w:r>
      <w:r>
        <w:rPr>
          <w:rFonts w:hint="eastAsia" w:ascii="宋体" w:hAnsi="宋体" w:eastAsia="宋体" w:cs="宋体"/>
          <w:kern w:val="0"/>
          <w:sz w:val="24"/>
          <w:szCs w:val="24"/>
          <w:u w:val="single"/>
          <w:lang w:val="en-US" w:eastAsia="zh-CN" w:bidi="ar"/>
        </w:rPr>
        <w:tab/>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（施工单位名称，以下简</w:t>
      </w:r>
    </w:p>
    <w:p>
      <w:pPr>
        <w:keepNext w:val="0"/>
        <w:keepLines w:val="0"/>
        <w:pageBreakBefore w:val="0"/>
        <w:widowControl w:val="0"/>
        <w:suppressLineNumbers w:val="0"/>
        <w:kinsoku/>
        <w:overflowPunct/>
        <w:autoSpaceDE w:val="0"/>
        <w:autoSpaceDN w:val="0"/>
        <w:bidi w:val="0"/>
        <w:spacing w:beforeAutospacing="0" w:afterAutospacing="0" w:line="360" w:lineRule="auto"/>
        <w:ind w:left="0" w:leftChars="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称</w:t>
      </w:r>
      <w:r>
        <w:rPr>
          <w:rFonts w:hint="eastAsia" w:ascii="宋体" w:hAnsi="宋体" w:eastAsia="宋体" w:cs="宋体"/>
          <w:spacing w:val="-1"/>
          <w:kern w:val="0"/>
          <w:sz w:val="24"/>
          <w:szCs w:val="24"/>
          <w:lang w:val="en-US" w:eastAsia="zh-CN" w:bidi="ar"/>
        </w:rPr>
        <w:t>“</w:t>
      </w:r>
      <w:r>
        <w:rPr>
          <w:rFonts w:hint="eastAsia" w:ascii="宋体" w:hAnsi="宋体" w:eastAsia="宋体" w:cs="宋体"/>
          <w:kern w:val="0"/>
          <w:sz w:val="24"/>
          <w:szCs w:val="24"/>
          <w:lang w:val="en-US" w:eastAsia="zh-CN" w:bidi="ar"/>
        </w:rPr>
        <w:t>承包人</w:t>
      </w:r>
      <w:r>
        <w:rPr>
          <w:rFonts w:hint="eastAsia" w:ascii="宋体" w:hAnsi="宋体" w:eastAsia="宋体" w:cs="宋体"/>
          <w:spacing w:val="-1"/>
          <w:kern w:val="0"/>
          <w:sz w:val="24"/>
          <w:szCs w:val="24"/>
          <w:lang w:val="en-US" w:eastAsia="zh-CN" w:bidi="ar"/>
        </w:rPr>
        <w:t>”</w:t>
      </w:r>
      <w:r>
        <w:rPr>
          <w:rFonts w:hint="eastAsia" w:ascii="宋体" w:hAnsi="宋体" w:eastAsia="宋体" w:cs="宋体"/>
          <w:spacing w:val="-120"/>
          <w:kern w:val="0"/>
          <w:sz w:val="24"/>
          <w:szCs w:val="24"/>
          <w:lang w:val="en-US" w:eastAsia="zh-CN" w:bidi="ar"/>
        </w:rPr>
        <w:t>）</w:t>
      </w:r>
      <w:r>
        <w:rPr>
          <w:rFonts w:hint="eastAsia" w:ascii="宋体" w:hAnsi="宋体" w:eastAsia="宋体" w:cs="宋体"/>
          <w:kern w:val="0"/>
          <w:sz w:val="24"/>
          <w:szCs w:val="24"/>
          <w:lang w:val="en-US" w:eastAsia="zh-CN" w:bidi="ar"/>
        </w:rPr>
        <w:t>，特</w:t>
      </w:r>
      <w:r>
        <w:rPr>
          <w:rFonts w:hint="eastAsia" w:ascii="宋体" w:hAnsi="宋体" w:eastAsia="宋体" w:cs="宋体"/>
          <w:spacing w:val="1"/>
          <w:kern w:val="0"/>
          <w:sz w:val="24"/>
          <w:szCs w:val="24"/>
          <w:lang w:val="en-US" w:eastAsia="zh-CN" w:bidi="ar"/>
        </w:rPr>
        <w:t>订</w:t>
      </w:r>
      <w:r>
        <w:rPr>
          <w:rFonts w:hint="eastAsia" w:ascii="宋体" w:hAnsi="宋体" w:eastAsia="宋体" w:cs="宋体"/>
          <w:kern w:val="0"/>
          <w:sz w:val="24"/>
          <w:szCs w:val="24"/>
          <w:lang w:val="en-US" w:eastAsia="zh-CN" w:bidi="ar"/>
        </w:rPr>
        <w:t>立如下合同。</w:t>
      </w:r>
    </w:p>
    <w:p>
      <w:pPr>
        <w:pStyle w:val="17"/>
        <w:keepNext w:val="0"/>
        <w:keepLines w:val="0"/>
        <w:pageBreakBefore w:val="0"/>
        <w:widowControl/>
        <w:numPr>
          <w:ilvl w:val="0"/>
          <w:numId w:val="41"/>
        </w:numPr>
        <w:suppressLineNumbers w:val="0"/>
        <w:kinsoku/>
        <w:overflowPunct/>
        <w:autoSpaceDE w:val="0"/>
        <w:autoSpaceDN w:val="0"/>
        <w:bidi w:val="0"/>
        <w:spacing w:before="0" w:beforeLines="0" w:beforeAutospacing="0" w:after="0" w:afterLines="0" w:afterAutospacing="0" w:line="360" w:lineRule="auto"/>
        <w:ind w:left="0" w:leftChars="0" w:right="0" w:firstLine="617"/>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发包人和承包人双方的权利和义务</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（1）严格遵守党的政策规定和国家有关法律法规及交通运输部的有关规定。</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616"/>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（2）严格执行</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（项目名称）</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标段施工合同文件，自觉按合同办事。</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616"/>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（3）双方的业务活动坚持公开、公正、诚信、透明的原则（法律认定的商业秘密和合同文件另有规定除外</w:t>
      </w:r>
      <w:r>
        <w:rPr>
          <w:rFonts w:hint="eastAsia" w:ascii="宋体" w:hAnsi="宋体" w:eastAsia="宋体" w:cs="宋体"/>
          <w:spacing w:val="-82"/>
          <w:kern w:val="0"/>
          <w:sz w:val="24"/>
          <w:szCs w:val="24"/>
          <w:lang w:val="en-US" w:eastAsia="zh-CN" w:bidi="ar"/>
        </w:rPr>
        <w:t>）</w:t>
      </w:r>
      <w:r>
        <w:rPr>
          <w:rFonts w:hint="eastAsia" w:ascii="宋体" w:hAnsi="宋体" w:eastAsia="宋体" w:cs="宋体"/>
          <w:spacing w:val="-13"/>
          <w:kern w:val="0"/>
          <w:sz w:val="24"/>
          <w:szCs w:val="24"/>
          <w:lang w:val="en-US" w:eastAsia="zh-CN" w:bidi="ar"/>
        </w:rPr>
        <w:t>，不得损害国家和集体利益，不得违反工程建设管理规章制度。</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616"/>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（4）建立健全廉政制度，开展廉政教育，设立廉政告示牌，公布举报电话，监督并认真查处违法违纪行为。</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616"/>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（5）发现对方在业务活动中有违反廉政规定的行为，有及时提醒对方纠正的权利和义务。</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616"/>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（6）发现对方严重违反本合同义务条款的行为，有向其上级有关部门举报、建议给予处理并要求告知处理结果的权利。</w:t>
      </w:r>
    </w:p>
    <w:p>
      <w:pPr>
        <w:pStyle w:val="17"/>
        <w:keepNext w:val="0"/>
        <w:keepLines w:val="0"/>
        <w:pageBreakBefore w:val="0"/>
        <w:widowControl/>
        <w:numPr>
          <w:ilvl w:val="0"/>
          <w:numId w:val="41"/>
        </w:numPr>
        <w:suppressLineNumbers w:val="0"/>
        <w:kinsoku/>
        <w:overflowPunct/>
        <w:autoSpaceDE w:val="0"/>
        <w:autoSpaceDN w:val="0"/>
        <w:bidi w:val="0"/>
        <w:spacing w:before="0" w:beforeLines="0" w:beforeAutospacing="0" w:after="0" w:afterLines="0" w:afterAutospacing="0" w:line="360" w:lineRule="auto"/>
        <w:ind w:left="0" w:leftChars="0" w:right="0" w:firstLine="617"/>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发包人的义务</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616"/>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（1）发包人及其工作人员不得索要或接受承包人的礼金、有价证券和贵重物品，不得让承包人报销任何应由发包人或发包人工作人员个人支付的费用等。</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616"/>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（2）发包人工作人员不得参加承包人安排的超标准宴请和娱乐活动；不得接受承包人提供的通信工具、交通工具和高档办公用品等。</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616"/>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（3）发包人及其工作人员不得要求或者接受承包人为其住房装修、婚丧嫁娶活动、配偶子女的工作安排以及出国出境、旅游等提供方便等。</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616"/>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（4）发包人工作人员及其配偶、子女不得从事与发包人工程有关的材料设备供应、工程分包、劳务等经济活动等。</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616"/>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（5</w:t>
      </w:r>
      <w:r>
        <w:rPr>
          <w:rFonts w:hint="eastAsia" w:ascii="宋体" w:hAnsi="宋体" w:eastAsia="宋体" w:cs="宋体"/>
          <w:spacing w:val="-104"/>
          <w:kern w:val="0"/>
          <w:sz w:val="24"/>
          <w:szCs w:val="24"/>
          <w:lang w:val="en-US" w:eastAsia="zh-CN" w:bidi="ar"/>
        </w:rPr>
        <w:t>）</w:t>
      </w:r>
      <w:r>
        <w:rPr>
          <w:rFonts w:hint="eastAsia" w:ascii="宋体" w:hAnsi="宋体" w:eastAsia="宋体" w:cs="宋体"/>
          <w:kern w:val="0"/>
          <w:sz w:val="24"/>
          <w:szCs w:val="24"/>
          <w:lang w:val="en-US" w:eastAsia="zh-CN" w:bidi="ar"/>
        </w:rPr>
        <w:t>发包人及其工作人员不得以任何理由向承包人推荐分包单位或推销材料，不得要求承包人购买合同规定外的材料和设备。</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616"/>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（6）发包人工作人员要秉公办事，不准营私舞弊，不准利用职权从事各种个人有偿中介活动和安排个人施工队伍。</w:t>
      </w:r>
    </w:p>
    <w:p>
      <w:pPr>
        <w:pStyle w:val="17"/>
        <w:keepNext w:val="0"/>
        <w:keepLines w:val="0"/>
        <w:pageBreakBefore w:val="0"/>
        <w:widowControl/>
        <w:numPr>
          <w:ilvl w:val="0"/>
          <w:numId w:val="41"/>
        </w:numPr>
        <w:suppressLineNumbers w:val="0"/>
        <w:kinsoku/>
        <w:overflowPunct/>
        <w:autoSpaceDE w:val="0"/>
        <w:autoSpaceDN w:val="0"/>
        <w:bidi w:val="0"/>
        <w:spacing w:before="0" w:beforeLines="0" w:beforeAutospacing="0" w:after="0" w:afterLines="0" w:afterAutospacing="0" w:line="360" w:lineRule="auto"/>
        <w:ind w:left="0" w:leftChars="0" w:right="0" w:firstLine="617"/>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承包人的义务</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616"/>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（1）承包人不得以任何理由向发包人及其工作人员行贿或馈赠礼金、有价证券、贵重礼品。</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616"/>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（2）承包人不得以任何名义为发包人及其工作人员报销应由发包人单位或个人支付的任何费用。</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w:t>
      </w:r>
      <w:r>
        <w:rPr>
          <w:rFonts w:hint="eastAsia" w:ascii="宋体" w:hAnsi="宋体" w:eastAsia="宋体" w:cs="宋体"/>
          <w:spacing w:val="-104"/>
          <w:kern w:val="0"/>
          <w:sz w:val="24"/>
          <w:szCs w:val="24"/>
          <w:lang w:val="en-US" w:eastAsia="zh-CN" w:bidi="ar"/>
        </w:rPr>
        <w:t>）</w:t>
      </w:r>
      <w:r>
        <w:rPr>
          <w:rFonts w:hint="eastAsia" w:ascii="宋体" w:hAnsi="宋体" w:eastAsia="宋体" w:cs="宋体"/>
          <w:kern w:val="0"/>
          <w:sz w:val="24"/>
          <w:szCs w:val="24"/>
          <w:lang w:val="en-US" w:eastAsia="zh-CN" w:bidi="ar"/>
        </w:rPr>
        <w:t>承包人不得以任何理由安排发包人工作人员参加超标准宴请及娱乐活动。</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616"/>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（4）承包人不得为发包人单位和个人购置或提供通信工具、交通工具和高档办公用品等。</w:t>
      </w:r>
    </w:p>
    <w:p>
      <w:pPr>
        <w:pStyle w:val="17"/>
        <w:keepNext w:val="0"/>
        <w:keepLines w:val="0"/>
        <w:pageBreakBefore w:val="0"/>
        <w:widowControl/>
        <w:numPr>
          <w:ilvl w:val="0"/>
          <w:numId w:val="41"/>
        </w:numPr>
        <w:suppressLineNumbers w:val="0"/>
        <w:kinsoku/>
        <w:overflowPunct/>
        <w:autoSpaceDE w:val="0"/>
        <w:autoSpaceDN w:val="0"/>
        <w:bidi w:val="0"/>
        <w:spacing w:before="0" w:beforeLines="0" w:beforeAutospacing="0" w:after="0" w:afterLines="0" w:afterAutospacing="0" w:line="360" w:lineRule="auto"/>
        <w:ind w:left="0" w:leftChars="0" w:right="0" w:firstLine="617"/>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违约责任</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616"/>
        <w:jc w:val="both"/>
        <w:rPr>
          <w:rFonts w:hint="eastAsia" w:ascii="宋体" w:hAnsi="宋体" w:eastAsia="宋体" w:cs="宋体"/>
          <w:kern w:val="0"/>
          <w:sz w:val="24"/>
          <w:szCs w:val="24"/>
        </w:rPr>
      </w:pPr>
      <w:r>
        <w:rPr>
          <w:rFonts w:hint="eastAsia" w:ascii="宋体" w:hAnsi="宋体" w:eastAsia="宋体" w:cs="宋体"/>
          <w:spacing w:val="-9"/>
          <w:kern w:val="0"/>
          <w:sz w:val="24"/>
          <w:szCs w:val="24"/>
          <w:lang w:val="en-US" w:eastAsia="zh-CN" w:bidi="ar"/>
        </w:rPr>
        <w:t>（1）</w:t>
      </w:r>
      <w:r>
        <w:rPr>
          <w:rFonts w:hint="eastAsia" w:ascii="宋体" w:hAnsi="宋体" w:eastAsia="宋体" w:cs="宋体"/>
          <w:spacing w:val="-4"/>
          <w:kern w:val="0"/>
          <w:sz w:val="24"/>
          <w:szCs w:val="24"/>
          <w:lang w:val="en-US" w:eastAsia="zh-CN" w:bidi="ar"/>
        </w:rPr>
        <w:t>发包人及其工作人员违反本合同第</w:t>
      </w:r>
      <w:r>
        <w:rPr>
          <w:rFonts w:hint="eastAsia" w:ascii="宋体" w:hAnsi="宋体" w:eastAsia="宋体" w:cs="宋体"/>
          <w:kern w:val="0"/>
          <w:sz w:val="24"/>
          <w:szCs w:val="24"/>
          <w:lang w:val="en-US" w:eastAsia="zh-CN" w:bidi="ar"/>
        </w:rPr>
        <w:t>1</w:t>
      </w:r>
      <w:r>
        <w:rPr>
          <w:rFonts w:hint="eastAsia" w:ascii="宋体" w:hAnsi="宋体" w:eastAsia="宋体" w:cs="宋体"/>
          <w:spacing w:val="-27"/>
          <w:kern w:val="0"/>
          <w:sz w:val="24"/>
          <w:szCs w:val="24"/>
          <w:lang w:val="en-US" w:eastAsia="zh-CN" w:bidi="ar"/>
        </w:rPr>
        <w:t>、</w:t>
      </w:r>
      <w:r>
        <w:rPr>
          <w:rFonts w:hint="eastAsia" w:ascii="宋体" w:hAnsi="宋体" w:eastAsia="宋体" w:cs="宋体"/>
          <w:kern w:val="0"/>
          <w:sz w:val="24"/>
          <w:szCs w:val="24"/>
          <w:lang w:val="en-US" w:eastAsia="zh-CN" w:bidi="ar"/>
        </w:rPr>
        <w:t>2</w:t>
      </w:r>
      <w:r>
        <w:rPr>
          <w:rFonts w:hint="eastAsia" w:ascii="宋体" w:hAnsi="宋体" w:eastAsia="宋体" w:cs="宋体"/>
          <w:spacing w:val="-8"/>
          <w:kern w:val="0"/>
          <w:sz w:val="24"/>
          <w:szCs w:val="24"/>
          <w:lang w:val="en-US" w:eastAsia="zh-CN" w:bidi="ar"/>
        </w:rPr>
        <w:t>条，按管理权限，依据有关规定给予党纪、政纪或组织处理；涉嫌犯罪的，移交司法机关追究刑事责任；给承包人单位造成经济损失的，应予以赔偿。</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616"/>
        <w:jc w:val="both"/>
        <w:rPr>
          <w:rFonts w:hint="eastAsia" w:ascii="宋体" w:hAnsi="宋体" w:eastAsia="宋体" w:cs="宋体"/>
          <w:kern w:val="0"/>
          <w:sz w:val="24"/>
          <w:szCs w:val="24"/>
        </w:rPr>
      </w:pPr>
      <w:r>
        <w:rPr>
          <w:rFonts w:hint="eastAsia" w:ascii="宋体" w:hAnsi="宋体" w:eastAsia="宋体" w:cs="宋体"/>
          <w:spacing w:val="-9"/>
          <w:kern w:val="0"/>
          <w:sz w:val="24"/>
          <w:szCs w:val="24"/>
          <w:lang w:val="en-US" w:eastAsia="zh-CN" w:bidi="ar"/>
        </w:rPr>
        <w:t>（2）</w:t>
      </w:r>
      <w:r>
        <w:rPr>
          <w:rFonts w:hint="eastAsia" w:ascii="宋体" w:hAnsi="宋体" w:eastAsia="宋体" w:cs="宋体"/>
          <w:spacing w:val="-4"/>
          <w:kern w:val="0"/>
          <w:sz w:val="24"/>
          <w:szCs w:val="24"/>
          <w:lang w:val="en-US" w:eastAsia="zh-CN" w:bidi="ar"/>
        </w:rPr>
        <w:t>承包人及其工作人员违反本合同第</w:t>
      </w:r>
      <w:r>
        <w:rPr>
          <w:rFonts w:hint="eastAsia" w:ascii="宋体" w:hAnsi="宋体" w:eastAsia="宋体" w:cs="宋体"/>
          <w:kern w:val="0"/>
          <w:sz w:val="24"/>
          <w:szCs w:val="24"/>
          <w:lang w:val="en-US" w:eastAsia="zh-CN" w:bidi="ar"/>
        </w:rPr>
        <w:t>1</w:t>
      </w:r>
      <w:r>
        <w:rPr>
          <w:rFonts w:hint="eastAsia" w:ascii="宋体" w:hAnsi="宋体" w:eastAsia="宋体" w:cs="宋体"/>
          <w:spacing w:val="-27"/>
          <w:kern w:val="0"/>
          <w:sz w:val="24"/>
          <w:szCs w:val="24"/>
          <w:lang w:val="en-US" w:eastAsia="zh-CN" w:bidi="ar"/>
        </w:rPr>
        <w:t>、</w:t>
      </w:r>
      <w:r>
        <w:rPr>
          <w:rFonts w:hint="eastAsia" w:ascii="宋体" w:hAnsi="宋体" w:eastAsia="宋体" w:cs="宋体"/>
          <w:kern w:val="0"/>
          <w:sz w:val="24"/>
          <w:szCs w:val="24"/>
          <w:lang w:val="en-US" w:eastAsia="zh-CN" w:bidi="ar"/>
        </w:rPr>
        <w:t>3</w:t>
      </w:r>
      <w:r>
        <w:rPr>
          <w:rFonts w:hint="eastAsia" w:ascii="宋体" w:hAnsi="宋体" w:eastAsia="宋体" w:cs="宋体"/>
          <w:spacing w:val="-8"/>
          <w:kern w:val="0"/>
          <w:sz w:val="24"/>
          <w:szCs w:val="24"/>
          <w:lang w:val="en-US" w:eastAsia="zh-CN" w:bidi="ar"/>
        </w:rPr>
        <w:t>条，按管理权限，依据有关规定给予党纪、政纪或组织处理；给发包人单位造成经济损失的，应予以赔偿；情节严重的，发包人建议交通运输主管部门给予承包人一至三年内不得进入其主管的公路建设市场的处罚。</w:t>
      </w:r>
    </w:p>
    <w:p>
      <w:pPr>
        <w:pStyle w:val="17"/>
        <w:keepNext w:val="0"/>
        <w:keepLines w:val="0"/>
        <w:pageBreakBefore w:val="0"/>
        <w:widowControl/>
        <w:numPr>
          <w:ilvl w:val="0"/>
          <w:numId w:val="41"/>
        </w:numPr>
        <w:suppressLineNumbers w:val="0"/>
        <w:kinsoku/>
        <w:overflowPunct/>
        <w:autoSpaceDE w:val="0"/>
        <w:autoSpaceDN w:val="0"/>
        <w:bidi w:val="0"/>
        <w:spacing w:before="0" w:beforeLines="0" w:beforeAutospacing="0" w:after="0" w:afterLines="0" w:afterAutospacing="0" w:line="360" w:lineRule="auto"/>
        <w:ind w:left="0" w:leftChars="0" w:right="0" w:firstLine="617"/>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双方约定：本合同由双方或双方上级单位的纪检监察部门负责监督执行。由发包人或发包人上级单位的纪检监察部门约请承包人或承包人上级单位纪检监察部门对本合同执行情况进行检查，提出在本合同规定范围内的裁定意见。</w:t>
      </w:r>
    </w:p>
    <w:p>
      <w:pPr>
        <w:pStyle w:val="17"/>
        <w:keepNext w:val="0"/>
        <w:keepLines w:val="0"/>
        <w:pageBreakBefore w:val="0"/>
        <w:widowControl/>
        <w:numPr>
          <w:ilvl w:val="0"/>
          <w:numId w:val="41"/>
        </w:numPr>
        <w:suppressLineNumbers w:val="0"/>
        <w:kinsoku/>
        <w:overflowPunct/>
        <w:autoSpaceDE w:val="0"/>
        <w:autoSpaceDN w:val="0"/>
        <w:bidi w:val="0"/>
        <w:spacing w:before="0" w:beforeLines="0" w:beforeAutospacing="0" w:after="0" w:afterLines="0" w:afterAutospacing="0" w:line="360" w:lineRule="auto"/>
        <w:ind w:left="0" w:leftChars="0" w:right="0" w:firstLine="617"/>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本合同有效期为发包人和承包人签署之日起至该工程项目竣工验收后止。</w:t>
      </w:r>
    </w:p>
    <w:p>
      <w:pPr>
        <w:pStyle w:val="17"/>
        <w:keepNext w:val="0"/>
        <w:keepLines w:val="0"/>
        <w:pageBreakBefore w:val="0"/>
        <w:widowControl/>
        <w:numPr>
          <w:ilvl w:val="0"/>
          <w:numId w:val="41"/>
        </w:numPr>
        <w:suppressLineNumbers w:val="0"/>
        <w:kinsoku/>
        <w:overflowPunct/>
        <w:autoSpaceDE w:val="0"/>
        <w:autoSpaceDN w:val="0"/>
        <w:bidi w:val="0"/>
        <w:spacing w:before="0" w:beforeLines="0" w:beforeAutospacing="0" w:after="0" w:afterLines="0" w:afterAutospacing="0" w:line="360" w:lineRule="auto"/>
        <w:ind w:left="0" w:leftChars="0" w:right="0" w:firstLine="617"/>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本合同作为</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（项目名称）</w:t>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标段施工合同的附件，与工程施工合同具有同等的法律效力，经合同双方签署后立即生效。</w:t>
      </w:r>
    </w:p>
    <w:p>
      <w:pPr>
        <w:pStyle w:val="17"/>
        <w:keepNext w:val="0"/>
        <w:keepLines w:val="0"/>
        <w:pageBreakBefore w:val="0"/>
        <w:widowControl/>
        <w:numPr>
          <w:ilvl w:val="0"/>
          <w:numId w:val="41"/>
        </w:numPr>
        <w:suppressLineNumbers w:val="0"/>
        <w:kinsoku/>
        <w:overflowPunct/>
        <w:autoSpaceDE w:val="0"/>
        <w:autoSpaceDN w:val="0"/>
        <w:bidi w:val="0"/>
        <w:spacing w:before="0" w:beforeLines="0" w:beforeAutospacing="0" w:after="0" w:afterLines="0" w:afterAutospacing="0" w:line="360" w:lineRule="auto"/>
        <w:ind w:left="0" w:leftChars="0" w:right="0" w:firstLine="617"/>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本合同一式四份，由发包人和承包人各执一份，送交发包人和承包人的监督单位各一份。</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发包人</w:t>
      </w:r>
      <w:r>
        <w:rPr>
          <w:rFonts w:hint="eastAsia" w:ascii="宋体" w:hAnsi="宋体" w:eastAsia="宋体" w:cs="宋体"/>
          <w:spacing w:val="-17"/>
          <w:kern w:val="0"/>
          <w:sz w:val="24"/>
          <w:szCs w:val="24"/>
          <w:lang w:val="en-US" w:eastAsia="zh-CN" w:bidi="ar"/>
        </w:rPr>
        <w:t>：</w:t>
      </w:r>
      <w:r>
        <w:rPr>
          <w:rFonts w:hint="eastAsia" w:ascii="宋体" w:hAnsi="宋体" w:eastAsia="宋体" w:cs="宋体"/>
          <w:spacing w:val="-17"/>
          <w:kern w:val="0"/>
          <w:sz w:val="24"/>
          <w:szCs w:val="24"/>
          <w:u w:val="single"/>
          <w:lang w:val="en-US" w:eastAsia="zh-CN" w:bidi="ar"/>
        </w:rPr>
        <w:tab/>
      </w:r>
      <w:r>
        <w:rPr>
          <w:rFonts w:hint="eastAsia" w:cs="宋体"/>
          <w:spacing w:val="-17"/>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（盖单位章）</w:t>
      </w:r>
      <w:r>
        <w:rPr>
          <w:rFonts w:hint="eastAsia" w:ascii="宋体" w:hAnsi="宋体" w:eastAsia="宋体" w:cs="宋体"/>
          <w:kern w:val="0"/>
          <w:sz w:val="24"/>
          <w:szCs w:val="24"/>
          <w:lang w:val="en-US" w:eastAsia="zh-CN" w:bidi="ar"/>
        </w:rPr>
        <w:tab/>
      </w:r>
      <w:r>
        <w:rPr>
          <w:rFonts w:hint="eastAsia" w:ascii="宋体" w:hAnsi="宋体" w:eastAsia="宋体" w:cs="宋体"/>
          <w:kern w:val="0"/>
          <w:sz w:val="24"/>
          <w:szCs w:val="24"/>
          <w:lang w:val="en-US" w:eastAsia="zh-CN" w:bidi="ar"/>
        </w:rPr>
        <w:t>承包人</w:t>
      </w:r>
      <w:r>
        <w:rPr>
          <w:rFonts w:hint="eastAsia" w:ascii="宋体" w:hAnsi="宋体" w:eastAsia="宋体" w:cs="宋体"/>
          <w:spacing w:val="-17"/>
          <w:kern w:val="0"/>
          <w:sz w:val="24"/>
          <w:szCs w:val="24"/>
          <w:lang w:val="en-US" w:eastAsia="zh-CN" w:bidi="ar"/>
        </w:rPr>
        <w:t>：</w:t>
      </w:r>
      <w:r>
        <w:rPr>
          <w:rFonts w:hint="eastAsia" w:ascii="宋体" w:hAnsi="宋体" w:eastAsia="宋体" w:cs="宋体"/>
          <w:spacing w:val="-17"/>
          <w:kern w:val="0"/>
          <w:sz w:val="24"/>
          <w:szCs w:val="24"/>
          <w:u w:val="single"/>
          <w:lang w:val="en-US" w:eastAsia="zh-CN" w:bidi="ar"/>
        </w:rPr>
        <w:tab/>
      </w:r>
      <w:r>
        <w:rPr>
          <w:rFonts w:hint="eastAsia" w:cs="宋体"/>
          <w:spacing w:val="-17"/>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（盖单位章）法定代表人或其委托代理人</w:t>
      </w:r>
      <w:r>
        <w:rPr>
          <w:rFonts w:hint="eastAsia" w:ascii="宋体" w:hAnsi="宋体" w:eastAsia="宋体" w:cs="宋体"/>
          <w:kern w:val="0"/>
          <w:sz w:val="24"/>
          <w:szCs w:val="24"/>
          <w:u w:val="single"/>
          <w:lang w:val="en-US" w:eastAsia="zh-CN" w:bidi="ar"/>
        </w:rPr>
        <w:t>：（</w:t>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签字）</w:t>
      </w:r>
      <w:r>
        <w:rPr>
          <w:rFonts w:hint="eastAsia" w:cs="宋体"/>
          <w:kern w:val="0"/>
          <w:sz w:val="24"/>
          <w:szCs w:val="24"/>
          <w:lang w:val="en-US" w:eastAsia="zh-CN" w:bidi="ar"/>
        </w:rPr>
        <w:t xml:space="preserve">    </w:t>
      </w:r>
      <w:r>
        <w:rPr>
          <w:rFonts w:hint="eastAsia" w:ascii="宋体" w:hAnsi="宋体" w:eastAsia="宋体" w:cs="宋体"/>
          <w:kern w:val="0"/>
          <w:sz w:val="24"/>
          <w:szCs w:val="24"/>
          <w:lang w:val="en-US" w:eastAsia="zh-CN" w:bidi="ar"/>
        </w:rPr>
        <w:t>法定代表人或其委托代理人</w:t>
      </w:r>
      <w:r>
        <w:rPr>
          <w:rFonts w:hint="eastAsia" w:ascii="宋体" w:hAnsi="宋体" w:eastAsia="宋体" w:cs="宋体"/>
          <w:spacing w:val="-40"/>
          <w:kern w:val="0"/>
          <w:sz w:val="24"/>
          <w:szCs w:val="24"/>
          <w:lang w:val="en-US" w:eastAsia="zh-CN" w:bidi="ar"/>
        </w:rPr>
        <w:t>：</w:t>
      </w:r>
      <w:r>
        <w:rPr>
          <w:rFonts w:hint="eastAsia" w:ascii="宋体" w:hAnsi="宋体" w:eastAsia="宋体" w:cs="宋体"/>
          <w:spacing w:val="-40"/>
          <w:kern w:val="0"/>
          <w:sz w:val="24"/>
          <w:szCs w:val="24"/>
          <w:u w:val="single"/>
          <w:lang w:val="en-US" w:eastAsia="zh-CN" w:bidi="ar"/>
        </w:rPr>
        <w:tab/>
      </w:r>
      <w:r>
        <w:rPr>
          <w:rFonts w:hint="eastAsia" w:cs="宋体"/>
          <w:spacing w:val="-40"/>
          <w:kern w:val="0"/>
          <w:sz w:val="24"/>
          <w:szCs w:val="24"/>
          <w:u w:val="single"/>
          <w:lang w:val="en-US" w:eastAsia="zh-CN" w:bidi="ar"/>
        </w:rPr>
        <w:t xml:space="preserve">          </w:t>
      </w:r>
      <w:r>
        <w:rPr>
          <w:rFonts w:hint="eastAsia" w:ascii="宋体" w:hAnsi="宋体" w:eastAsia="宋体" w:cs="宋体"/>
          <w:kern w:val="0"/>
          <w:sz w:val="24"/>
          <w:szCs w:val="24"/>
          <w:u w:val="single"/>
          <w:lang w:val="en-US" w:eastAsia="zh-CN" w:bidi="ar"/>
        </w:rPr>
        <w:t>（</w:t>
      </w:r>
      <w:r>
        <w:rPr>
          <w:rFonts w:hint="eastAsia" w:ascii="宋体" w:hAnsi="宋体" w:eastAsia="宋体" w:cs="宋体"/>
          <w:kern w:val="0"/>
          <w:sz w:val="24"/>
          <w:szCs w:val="24"/>
          <w:lang w:val="en-US" w:eastAsia="zh-CN" w:bidi="ar"/>
        </w:rPr>
        <w:t>签字）</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1435" w:firstLineChars="598"/>
        <w:jc w:val="left"/>
        <w:rPr>
          <w:rFonts w:hint="eastAsia" w:ascii="宋体" w:hAnsi="宋体" w:eastAsia="宋体" w:cs="宋体"/>
          <w:kern w:val="0"/>
          <w:sz w:val="24"/>
          <w:szCs w:val="24"/>
          <w:u w:val="single"/>
        </w:rPr>
      </w:pP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年</w:t>
      </w:r>
      <w:r>
        <w:rPr>
          <w:rFonts w:hint="eastAsia" w:ascii="宋体" w:hAnsi="宋体" w:eastAsia="宋体" w:cs="宋体"/>
          <w:kern w:val="0"/>
          <w:sz w:val="24"/>
          <w:szCs w:val="24"/>
          <w:u w:val="single"/>
          <w:lang w:val="en-US" w:eastAsia="zh-CN" w:bidi="ar"/>
        </w:rPr>
        <w:tab/>
      </w:r>
      <w:r>
        <w:rPr>
          <w:rFonts w:hint="eastAsia" w:ascii="宋体" w:hAnsi="宋体" w:eastAsia="宋体" w:cs="宋体"/>
          <w:kern w:val="0"/>
          <w:sz w:val="24"/>
          <w:szCs w:val="24"/>
          <w:lang w:val="en-US" w:eastAsia="zh-CN" w:bidi="ar"/>
        </w:rPr>
        <w:t>月</w:t>
      </w:r>
      <w:r>
        <w:rPr>
          <w:rFonts w:hint="eastAsia" w:ascii="宋体" w:hAnsi="宋体" w:eastAsia="宋体" w:cs="宋体"/>
          <w:kern w:val="0"/>
          <w:sz w:val="24"/>
          <w:szCs w:val="24"/>
          <w:u w:val="single"/>
          <w:lang w:val="en-US" w:eastAsia="zh-CN" w:bidi="ar"/>
        </w:rPr>
        <w:tab/>
      </w:r>
      <w:r>
        <w:rPr>
          <w:rFonts w:hint="eastAsia" w:ascii="宋体" w:hAnsi="宋体" w:eastAsia="宋体" w:cs="宋体"/>
          <w:kern w:val="0"/>
          <w:sz w:val="24"/>
          <w:szCs w:val="24"/>
          <w:lang w:val="en-US" w:eastAsia="zh-CN" w:bidi="ar"/>
        </w:rPr>
        <w:t>日</w:t>
      </w:r>
      <w:r>
        <w:rPr>
          <w:rFonts w:hint="eastAsia" w:ascii="宋体" w:hAnsi="宋体" w:eastAsia="宋体" w:cs="宋体"/>
          <w:kern w:val="0"/>
          <w:sz w:val="24"/>
          <w:szCs w:val="24"/>
          <w:lang w:val="en-US" w:eastAsia="zh-CN" w:bidi="ar"/>
        </w:rPr>
        <w:tab/>
      </w:r>
      <w:r>
        <w:rPr>
          <w:rFonts w:hint="eastAsia" w:ascii="宋体" w:hAnsi="宋体" w:eastAsia="宋体" w:cs="宋体"/>
          <w:kern w:val="0"/>
          <w:sz w:val="24"/>
          <w:szCs w:val="24"/>
          <w:lang w:val="en-US" w:eastAsia="zh-CN" w:bidi="ar"/>
        </w:rPr>
        <w:tab/>
      </w:r>
      <w:r>
        <w:rPr>
          <w:rFonts w:hint="eastAsia" w:cs="宋体"/>
          <w:kern w:val="0"/>
          <w:sz w:val="24"/>
          <w:szCs w:val="24"/>
          <w:lang w:val="en-US" w:eastAsia="zh-CN" w:bidi="ar"/>
        </w:rPr>
        <w:t xml:space="preserve">                  </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年</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月</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日发包</w:t>
      </w:r>
      <w:r>
        <w:rPr>
          <w:rFonts w:hint="eastAsia" w:ascii="宋体" w:hAnsi="宋体" w:eastAsia="宋体" w:cs="宋体"/>
          <w:spacing w:val="-1"/>
          <w:kern w:val="0"/>
          <w:sz w:val="24"/>
          <w:szCs w:val="24"/>
          <w:lang w:val="en-US" w:eastAsia="zh-CN" w:bidi="ar"/>
        </w:rPr>
        <w:t>人</w:t>
      </w:r>
      <w:r>
        <w:rPr>
          <w:rFonts w:hint="eastAsia" w:ascii="宋体" w:hAnsi="宋体" w:eastAsia="宋体" w:cs="宋体"/>
          <w:kern w:val="0"/>
          <w:sz w:val="24"/>
          <w:szCs w:val="24"/>
          <w:lang w:val="en-US" w:eastAsia="zh-CN" w:bidi="ar"/>
        </w:rPr>
        <w:t>监督单位</w:t>
      </w:r>
      <w:r>
        <w:rPr>
          <w:rFonts w:hint="eastAsia" w:ascii="宋体" w:hAnsi="宋体" w:eastAsia="宋体" w:cs="宋体"/>
          <w:spacing w:val="-120"/>
          <w:kern w:val="0"/>
          <w:sz w:val="24"/>
          <w:szCs w:val="24"/>
          <w:lang w:val="en-US" w:eastAsia="zh-CN" w:bidi="ar"/>
        </w:rPr>
        <w:t>：</w:t>
      </w:r>
      <w:r>
        <w:rPr>
          <w:rFonts w:hint="eastAsia" w:ascii="宋体" w:hAnsi="宋体" w:eastAsia="宋体" w:cs="宋体"/>
          <w:kern w:val="0"/>
          <w:sz w:val="24"/>
          <w:szCs w:val="24"/>
          <w:u w:val="single"/>
          <w:lang w:val="en-US" w:eastAsia="zh-CN" w:bidi="ar"/>
        </w:rPr>
        <w:t>（全称</w:t>
      </w:r>
      <w:r>
        <w:rPr>
          <w:rFonts w:hint="eastAsia" w:ascii="宋体" w:hAnsi="宋体" w:eastAsia="宋体" w:cs="宋体"/>
          <w:spacing w:val="-120"/>
          <w:kern w:val="0"/>
          <w:sz w:val="24"/>
          <w:szCs w:val="24"/>
          <w:u w:val="single"/>
          <w:lang w:val="en-US" w:eastAsia="zh-CN" w:bidi="ar"/>
        </w:rPr>
        <w:t>）</w:t>
      </w:r>
      <w:r>
        <w:rPr>
          <w:rFonts w:hint="eastAsia" w:ascii="宋体" w:hAnsi="宋体" w:eastAsia="宋体" w:cs="宋体"/>
          <w:kern w:val="0"/>
          <w:sz w:val="24"/>
          <w:szCs w:val="24"/>
          <w:u w:val="single"/>
          <w:lang w:val="en-US" w:eastAsia="zh-CN" w:bidi="ar"/>
        </w:rPr>
        <w:t>（盖单位章）</w:t>
      </w:r>
      <w:r>
        <w:rPr>
          <w:rFonts w:hint="eastAsia" w:ascii="宋体" w:hAnsi="宋体" w:eastAsia="宋体" w:cs="宋体"/>
          <w:kern w:val="0"/>
          <w:sz w:val="24"/>
          <w:szCs w:val="24"/>
          <w:lang w:val="en-US" w:eastAsia="zh-CN" w:bidi="ar"/>
        </w:rPr>
        <w:tab/>
      </w:r>
      <w:r>
        <w:rPr>
          <w:rFonts w:hint="eastAsia" w:cs="宋体"/>
          <w:kern w:val="0"/>
          <w:sz w:val="24"/>
          <w:szCs w:val="24"/>
          <w:lang w:val="en-US" w:eastAsia="zh-CN" w:bidi="ar"/>
        </w:rPr>
        <w:t xml:space="preserve">          </w:t>
      </w:r>
      <w:r>
        <w:rPr>
          <w:rFonts w:hint="eastAsia" w:ascii="宋体" w:hAnsi="宋体" w:eastAsia="宋体" w:cs="宋体"/>
          <w:kern w:val="0"/>
          <w:sz w:val="24"/>
          <w:szCs w:val="24"/>
          <w:lang w:val="en-US" w:eastAsia="zh-CN" w:bidi="ar"/>
        </w:rPr>
        <w:t>承包人监督单位</w:t>
      </w:r>
      <w:r>
        <w:rPr>
          <w:rFonts w:hint="eastAsia" w:ascii="宋体" w:hAnsi="宋体" w:eastAsia="宋体" w:cs="宋体"/>
          <w:spacing w:val="-120"/>
          <w:kern w:val="0"/>
          <w:sz w:val="24"/>
          <w:szCs w:val="24"/>
          <w:lang w:val="en-US" w:eastAsia="zh-CN" w:bidi="ar"/>
        </w:rPr>
        <w:t>：</w:t>
      </w:r>
      <w:r>
        <w:rPr>
          <w:rFonts w:hint="eastAsia" w:ascii="宋体" w:hAnsi="宋体" w:eastAsia="宋体" w:cs="宋体"/>
          <w:kern w:val="0"/>
          <w:sz w:val="24"/>
          <w:szCs w:val="24"/>
          <w:u w:val="single"/>
          <w:lang w:val="en-US" w:eastAsia="zh-CN" w:bidi="ar"/>
        </w:rPr>
        <w:t>（全称</w:t>
      </w:r>
      <w:r>
        <w:rPr>
          <w:rFonts w:hint="eastAsia" w:ascii="宋体" w:hAnsi="宋体" w:eastAsia="宋体" w:cs="宋体"/>
          <w:spacing w:val="-120"/>
          <w:kern w:val="0"/>
          <w:sz w:val="24"/>
          <w:szCs w:val="24"/>
          <w:u w:val="single"/>
          <w:lang w:val="en-US" w:eastAsia="zh-CN" w:bidi="ar"/>
        </w:rPr>
        <w:t>）</w:t>
      </w:r>
      <w:r>
        <w:rPr>
          <w:rFonts w:hint="eastAsia" w:ascii="宋体" w:hAnsi="宋体" w:eastAsia="宋体" w:cs="宋体"/>
          <w:kern w:val="0"/>
          <w:sz w:val="24"/>
          <w:szCs w:val="24"/>
          <w:u w:val="single"/>
          <w:lang w:val="en-US" w:eastAsia="zh-CN" w:bidi="ar"/>
        </w:rPr>
        <w:t>（盖单位章）</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839"/>
        <w:jc w:val="left"/>
        <w:rPr>
          <w:rFonts w:hint="eastAsia" w:ascii="宋体" w:hAnsi="宋体" w:eastAsia="宋体" w:cs="宋体"/>
          <w:kern w:val="0"/>
          <w:sz w:val="24"/>
          <w:szCs w:val="24"/>
          <w:u w:val="single"/>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839"/>
        <w:jc w:val="left"/>
        <w:rPr>
          <w:rFonts w:hint="eastAsia" w:ascii="宋体" w:hAnsi="宋体" w:eastAsia="宋体" w:cs="宋体"/>
          <w:kern w:val="0"/>
          <w:sz w:val="24"/>
          <w:szCs w:val="24"/>
          <w:u w:val="single"/>
        </w:rPr>
        <w:sectPr>
          <w:pgSz w:w="11910" w:h="16850"/>
          <w:pgMar w:top="1480" w:right="1200" w:bottom="1080" w:left="1220" w:header="883" w:footer="884" w:gutter="0"/>
          <w:pgNumType w:fmt="decimal"/>
          <w:cols w:space="720" w:num="1"/>
          <w:docGrid w:type="lines" w:linePitch="312" w:charSpace="0"/>
        </w:sect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31"/>
          <w:szCs w:val="31"/>
        </w:rPr>
      </w:pPr>
      <w:bookmarkStart w:id="150" w:name="_bookmark272"/>
      <w:bookmarkEnd w:id="150"/>
      <w:r>
        <w:rPr>
          <w:rFonts w:hint="eastAsia" w:ascii="宋体" w:hAnsi="宋体" w:eastAsia="宋体" w:cs="宋体"/>
          <w:kern w:val="0"/>
          <w:sz w:val="24"/>
          <w:szCs w:val="24"/>
          <w:lang w:val="en-US" w:eastAsia="zh-CN" w:bidi="ar"/>
        </w:rPr>
        <w:t>附件三</w:t>
      </w:r>
      <w:r>
        <w:rPr>
          <w:rFonts w:hint="eastAsia" w:cs="宋体"/>
          <w:kern w:val="0"/>
          <w:sz w:val="24"/>
          <w:szCs w:val="24"/>
          <w:lang w:val="en-US" w:eastAsia="zh-CN" w:bidi="ar"/>
        </w:rPr>
        <w:t xml:space="preserve">  </w:t>
      </w:r>
      <w:r>
        <w:rPr>
          <w:rFonts w:hint="eastAsia" w:ascii="宋体" w:hAnsi="宋体" w:eastAsia="宋体" w:cs="宋体"/>
          <w:kern w:val="0"/>
          <w:sz w:val="24"/>
          <w:szCs w:val="24"/>
          <w:lang w:val="en-US" w:eastAsia="zh-CN" w:bidi="ar"/>
        </w:rPr>
        <w:t>安全生产合同</w:t>
      </w:r>
    </w:p>
    <w:p>
      <w:pPr>
        <w:keepNext w:val="0"/>
        <w:keepLines w:val="0"/>
        <w:pageBreakBefore w:val="0"/>
        <w:widowControl w:val="0"/>
        <w:suppressLineNumbers w:val="0"/>
        <w:kinsoku/>
        <w:overflowPunct/>
        <w:autoSpaceDE w:val="0"/>
        <w:autoSpaceDN w:val="0"/>
        <w:bidi w:val="0"/>
        <w:spacing w:beforeAutospacing="0" w:afterAutospacing="0" w:line="360" w:lineRule="auto"/>
        <w:ind w:left="0" w:leftChars="0" w:right="0"/>
        <w:jc w:val="center"/>
        <w:rPr>
          <w:rFonts w:hint="eastAsia" w:ascii="宋体" w:hAnsi="宋体" w:eastAsia="宋体" w:cs="宋体"/>
          <w:kern w:val="2"/>
          <w:sz w:val="28"/>
          <w:szCs w:val="28"/>
        </w:rPr>
      </w:pPr>
      <w:r>
        <w:rPr>
          <w:rFonts w:hint="eastAsia" w:ascii="宋体" w:hAnsi="宋体" w:eastAsia="宋体" w:cs="宋体"/>
          <w:kern w:val="0"/>
          <w:sz w:val="28"/>
          <w:szCs w:val="28"/>
          <w:lang w:val="en-US" w:eastAsia="zh-CN" w:bidi="ar"/>
        </w:rPr>
        <w:t>安全生产合同</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616"/>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为在</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（项目名称）</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标段施工合同的实施过程中创造安全、高效的施工环境</w:t>
      </w:r>
      <w:r>
        <w:rPr>
          <w:rFonts w:hint="eastAsia" w:ascii="宋体" w:hAnsi="宋体" w:eastAsia="宋体" w:cs="宋体"/>
          <w:spacing w:val="-29"/>
          <w:kern w:val="0"/>
          <w:sz w:val="24"/>
          <w:szCs w:val="24"/>
          <w:lang w:val="en-US" w:eastAsia="zh-CN" w:bidi="ar"/>
        </w:rPr>
        <w:t>，</w:t>
      </w:r>
      <w:r>
        <w:rPr>
          <w:rFonts w:hint="eastAsia" w:ascii="宋体" w:hAnsi="宋体" w:eastAsia="宋体" w:cs="宋体"/>
          <w:kern w:val="0"/>
          <w:sz w:val="24"/>
          <w:szCs w:val="24"/>
          <w:lang w:val="en-US" w:eastAsia="zh-CN" w:bidi="ar"/>
        </w:rPr>
        <w:t>切实搞好本项目的安全管理工作</w:t>
      </w:r>
      <w:r>
        <w:rPr>
          <w:rFonts w:hint="eastAsia" w:ascii="宋体" w:hAnsi="宋体" w:eastAsia="宋体" w:cs="宋体"/>
          <w:spacing w:val="-29"/>
          <w:kern w:val="0"/>
          <w:sz w:val="24"/>
          <w:szCs w:val="24"/>
          <w:lang w:val="en-US" w:eastAsia="zh-CN" w:bidi="ar"/>
        </w:rPr>
        <w:t>，</w:t>
      </w:r>
      <w:r>
        <w:rPr>
          <w:rFonts w:hint="eastAsia" w:ascii="宋体" w:hAnsi="宋体" w:eastAsia="宋体" w:cs="宋体"/>
          <w:kern w:val="0"/>
          <w:sz w:val="24"/>
          <w:szCs w:val="24"/>
          <w:lang w:val="en-US" w:eastAsia="zh-CN" w:bidi="ar"/>
        </w:rPr>
        <w:t>本项目发包人</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（发包人名称</w:t>
      </w:r>
      <w:r>
        <w:rPr>
          <w:rFonts w:hint="eastAsia" w:ascii="宋体" w:hAnsi="宋体" w:eastAsia="宋体" w:cs="宋体"/>
          <w:spacing w:val="-13"/>
          <w:kern w:val="0"/>
          <w:sz w:val="24"/>
          <w:szCs w:val="24"/>
          <w:lang w:val="en-US" w:eastAsia="zh-CN" w:bidi="ar"/>
        </w:rPr>
        <w:t>，</w:t>
      </w:r>
      <w:r>
        <w:rPr>
          <w:rFonts w:hint="eastAsia" w:ascii="宋体" w:hAnsi="宋体" w:eastAsia="宋体" w:cs="宋体"/>
          <w:kern w:val="0"/>
          <w:sz w:val="24"/>
          <w:szCs w:val="24"/>
          <w:lang w:val="en-US" w:eastAsia="zh-CN" w:bidi="ar"/>
        </w:rPr>
        <w:t>以下简称“发包人</w:t>
      </w:r>
      <w:r>
        <w:rPr>
          <w:rFonts w:hint="eastAsia" w:ascii="宋体" w:hAnsi="宋体" w:eastAsia="宋体" w:cs="宋体"/>
          <w:spacing w:val="-7"/>
          <w:kern w:val="0"/>
          <w:sz w:val="24"/>
          <w:szCs w:val="24"/>
          <w:lang w:val="en-US" w:eastAsia="zh-CN" w:bidi="ar"/>
        </w:rPr>
        <w:t>”）</w:t>
      </w:r>
      <w:r>
        <w:rPr>
          <w:rFonts w:hint="eastAsia" w:ascii="宋体" w:hAnsi="宋体" w:eastAsia="宋体" w:cs="宋体"/>
          <w:kern w:val="0"/>
          <w:sz w:val="24"/>
          <w:szCs w:val="24"/>
          <w:lang w:val="en-US" w:eastAsia="zh-CN" w:bidi="ar"/>
        </w:rPr>
        <w:t>与承包人</w:t>
      </w:r>
      <w:r>
        <w:rPr>
          <w:rFonts w:hint="eastAsia" w:ascii="宋体" w:hAnsi="宋体" w:eastAsia="宋体" w:cs="宋体"/>
          <w:kern w:val="0"/>
          <w:sz w:val="24"/>
          <w:szCs w:val="24"/>
          <w:u w:val="single"/>
          <w:lang w:val="en-US" w:eastAsia="zh-CN" w:bidi="ar"/>
        </w:rPr>
        <w:tab/>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（承包人名称</w:t>
      </w:r>
      <w:r>
        <w:rPr>
          <w:rFonts w:hint="eastAsia" w:ascii="宋体" w:hAnsi="宋体" w:eastAsia="宋体" w:cs="宋体"/>
          <w:spacing w:val="-12"/>
          <w:kern w:val="0"/>
          <w:sz w:val="24"/>
          <w:szCs w:val="24"/>
          <w:lang w:val="en-US" w:eastAsia="zh-CN" w:bidi="ar"/>
        </w:rPr>
        <w:t>，</w:t>
      </w:r>
      <w:r>
        <w:rPr>
          <w:rFonts w:hint="eastAsia" w:ascii="宋体" w:hAnsi="宋体" w:eastAsia="宋体" w:cs="宋体"/>
          <w:kern w:val="0"/>
          <w:sz w:val="24"/>
          <w:szCs w:val="24"/>
          <w:lang w:val="en-US" w:eastAsia="zh-CN" w:bidi="ar"/>
        </w:rPr>
        <w:t>以下简称“承包人”）特此签订安全生产合同。</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right="0" w:firstLine="480" w:firstLineChars="20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1.发包人职责</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right="0" w:firstLine="480" w:firstLineChars="20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（1）严格遵守国家有关安全生产的法律法规，认真执行工程承包合同中的有关安全要求。</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right="0" w:firstLine="480" w:firstLineChars="20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（2）按照“安全第一、预防为主、综合治理”和坚持“管生产必须管安全”的原则进行安全生产管理，做到生产与安全工作同时计划、布置、检查、总结和评比。</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right="0" w:firstLine="480" w:firstLineChars="20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（3）重要的安全设施必须坚持与主体工程“三同时”的原则，即：同时设计、审批，同时施工，同时验收，投入使用。</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right="0" w:firstLine="480" w:firstLineChars="20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（4）定期召开安全生产调度会，及时传达中央及地方有关安全生产的精神。</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right="0" w:firstLine="480" w:firstLineChars="20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（5）组织对承包人施工现场进行安全生产检查，监督承包人及时处理发现的各种安全隐患。</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2.承包人职责</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w:t>
      </w:r>
      <w:r>
        <w:rPr>
          <w:rFonts w:hint="eastAsia" w:ascii="宋体" w:hAnsi="宋体" w:eastAsia="宋体" w:cs="宋体"/>
          <w:spacing w:val="-7"/>
          <w:kern w:val="0"/>
          <w:sz w:val="24"/>
          <w:szCs w:val="24"/>
          <w:lang w:val="en-US" w:eastAsia="zh-CN" w:bidi="ar"/>
        </w:rPr>
        <w:t>严格遵守《中华人民共和国安全生产法》《建设工程安全生产管理条例》等国家有关安全生产的法律法规</w:t>
      </w:r>
      <w:r>
        <w:rPr>
          <w:rFonts w:hint="eastAsia" w:ascii="宋体" w:hAnsi="宋体" w:eastAsia="宋体" w:cs="宋体"/>
          <w:spacing w:val="-16"/>
          <w:kern w:val="0"/>
          <w:sz w:val="24"/>
          <w:szCs w:val="24"/>
          <w:lang w:val="en-US" w:eastAsia="zh-CN" w:bidi="ar"/>
        </w:rPr>
        <w:t>、《公路水运工程安全生产监督管理办法》和《公路工程施工安全技术规范》等有关安全生产的规定。认真执行工程承包合同中的有关安全要求。</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坚持“安全第一、预防为主、综合治理”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w:t>
      </w:r>
      <w:r>
        <w:rPr>
          <w:rFonts w:hint="eastAsia" w:ascii="宋体" w:hAnsi="宋体" w:eastAsia="宋体" w:cs="宋体"/>
          <w:spacing w:val="-5"/>
          <w:kern w:val="0"/>
          <w:sz w:val="24"/>
          <w:szCs w:val="24"/>
          <w:lang w:val="en-US" w:eastAsia="zh-CN" w:bidi="ar"/>
        </w:rPr>
        <w:t>遵守本合同的各项规定，做到生产与安全工作同时计划、布置、检查、总结和评比。</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公路水运工程安全生产监督管理办法》规定的最低数量和资质条件配备专职安全生产管理人员，专职负责所有员工的安全和治安保卫工作及预防事故的发生。安全机构人员有权按有关规定发布指令，并采取保护性措施防止事故发生。</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（4）承包人在任何时候都应采取各种合理的预防措施，防止其员工发生任何违法、违禁、暴力或妨碍治安的行为。</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（7）操作人员上岗，必须按规定穿戴防护用品。施工负责人和安全检查员应随时检查劳动防护用品的穿戴情况，不按规定穿戴防护用品的人员不得上岗。</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（8）所有施工机具设备和高空作业的设备均应定期检查，并有安全员的签字记录，保证其经常处于完好状态；不合格的机具、设备和劳动保护用品严禁使用。</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（9）施工中采用新技术、新工艺、新设备、新材料时，必须制定相应的安全技术措施，施工现场必须具有相关的安全标志牌。</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right="0" w:firstLine="428" w:firstLineChars="200"/>
        <w:jc w:val="both"/>
        <w:rPr>
          <w:rFonts w:hint="eastAsia" w:ascii="宋体" w:hAnsi="宋体" w:eastAsia="宋体" w:cs="宋体"/>
          <w:kern w:val="0"/>
          <w:sz w:val="24"/>
          <w:szCs w:val="24"/>
        </w:rPr>
      </w:pPr>
      <w:r>
        <w:rPr>
          <w:rFonts w:hint="eastAsia" w:ascii="宋体" w:hAnsi="宋体" w:eastAsia="宋体" w:cs="宋体"/>
          <w:spacing w:val="-13"/>
          <w:kern w:val="0"/>
          <w:sz w:val="24"/>
          <w:szCs w:val="24"/>
          <w:lang w:val="en-US" w:eastAsia="zh-CN" w:bidi="ar"/>
        </w:rPr>
        <w:t>（10）</w:t>
      </w:r>
      <w:r>
        <w:rPr>
          <w:rFonts w:hint="eastAsia" w:ascii="宋体" w:hAnsi="宋体" w:eastAsia="宋体" w:cs="宋体"/>
          <w:spacing w:val="-4"/>
          <w:kern w:val="0"/>
          <w:sz w:val="24"/>
          <w:szCs w:val="24"/>
          <w:lang w:val="en-US" w:eastAsia="zh-CN" w:bidi="ar"/>
        </w:rPr>
        <w:t>承包人必须按照本工程项目特点，组织制定本工程实施中的生产安全事故应急救援预案；如果发生安全事故，应按照《国务院关于特大安全事故行政责任追究的规定》以及其他有关规定，及时上报有关部门，并坚持</w:t>
      </w:r>
      <w:r>
        <w:rPr>
          <w:rFonts w:hint="eastAsia" w:ascii="宋体" w:hAnsi="宋体" w:eastAsia="宋体" w:cs="宋体"/>
          <w:kern w:val="0"/>
          <w:sz w:val="24"/>
          <w:szCs w:val="24"/>
          <w:lang w:val="en-US" w:eastAsia="zh-CN" w:bidi="ar"/>
        </w:rPr>
        <w:t>“四不放过”的原则，严肃处理相关责任人。</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right="0" w:firstLine="436" w:firstLineChars="200"/>
        <w:jc w:val="left"/>
        <w:rPr>
          <w:rFonts w:hint="eastAsia" w:ascii="宋体" w:hAnsi="宋体" w:eastAsia="宋体" w:cs="宋体"/>
          <w:kern w:val="0"/>
          <w:sz w:val="24"/>
          <w:szCs w:val="24"/>
        </w:rPr>
      </w:pPr>
      <w:r>
        <w:rPr>
          <w:rFonts w:hint="eastAsia" w:ascii="宋体" w:hAnsi="宋体" w:eastAsia="宋体" w:cs="宋体"/>
          <w:spacing w:val="-11"/>
          <w:kern w:val="0"/>
          <w:sz w:val="24"/>
          <w:szCs w:val="24"/>
          <w:lang w:val="en-US" w:eastAsia="zh-CN" w:bidi="ar"/>
        </w:rPr>
        <w:t>（11）</w:t>
      </w:r>
      <w:r>
        <w:rPr>
          <w:rFonts w:hint="eastAsia" w:ascii="宋体" w:hAnsi="宋体" w:eastAsia="宋体" w:cs="宋体"/>
          <w:spacing w:val="-6"/>
          <w:kern w:val="0"/>
          <w:sz w:val="24"/>
          <w:szCs w:val="24"/>
          <w:lang w:val="en-US" w:eastAsia="zh-CN" w:bidi="ar"/>
        </w:rPr>
        <w:t>安全生产费用按照《公路水运工程安全生产监督管理办法》的相关规定使用和管理。</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3.违约责任</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如因发包人或承包人违约造成安全事故，将依法追究责任。</w:t>
      </w:r>
    </w:p>
    <w:p>
      <w:pPr>
        <w:pStyle w:val="17"/>
        <w:keepNext w:val="0"/>
        <w:keepLines w:val="0"/>
        <w:pageBreakBefore w:val="0"/>
        <w:widowControl/>
        <w:numPr>
          <w:ilvl w:val="0"/>
          <w:numId w:val="42"/>
        </w:numPr>
        <w:suppressLineNumbers w:val="0"/>
        <w:kinsoku/>
        <w:overflowPunct/>
        <w:autoSpaceDE w:val="0"/>
        <w:autoSpaceDN w:val="0"/>
        <w:bidi w:val="0"/>
        <w:spacing w:before="0" w:beforeLines="0" w:beforeAutospacing="0" w:after="0" w:afterLines="0" w:afterAutospacing="0" w:line="360" w:lineRule="auto"/>
        <w:ind w:left="0" w:leftChars="0" w:right="0" w:firstLine="617"/>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本合同由双方法定代表人或其授权的代理人签署并加盖单位章后生效，全部工程竣工验收后失效。</w:t>
      </w:r>
    </w:p>
    <w:p>
      <w:pPr>
        <w:pStyle w:val="17"/>
        <w:keepNext w:val="0"/>
        <w:keepLines w:val="0"/>
        <w:pageBreakBefore w:val="0"/>
        <w:widowControl/>
        <w:numPr>
          <w:ilvl w:val="0"/>
          <w:numId w:val="42"/>
        </w:numPr>
        <w:suppressLineNumbers w:val="0"/>
        <w:kinsoku/>
        <w:overflowPunct/>
        <w:autoSpaceDE w:val="0"/>
        <w:autoSpaceDN w:val="0"/>
        <w:bidi w:val="0"/>
        <w:spacing w:before="0" w:beforeLines="0" w:beforeAutospacing="0" w:after="0" w:afterLines="0" w:afterAutospacing="0" w:line="360" w:lineRule="auto"/>
        <w:ind w:left="0" w:leftChars="0" w:right="0" w:firstLine="617"/>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本合同正本二份</w:t>
      </w:r>
      <w:r>
        <w:rPr>
          <w:rFonts w:hint="eastAsia" w:ascii="宋体" w:hAnsi="宋体" w:eastAsia="宋体" w:cs="宋体"/>
          <w:spacing w:val="2"/>
          <w:kern w:val="0"/>
          <w:sz w:val="24"/>
          <w:szCs w:val="24"/>
          <w:lang w:val="en-US" w:eastAsia="zh-CN" w:bidi="ar"/>
        </w:rPr>
        <w:t>、</w:t>
      </w:r>
      <w:r>
        <w:rPr>
          <w:rFonts w:hint="eastAsia" w:ascii="宋体" w:hAnsi="宋体" w:eastAsia="宋体" w:cs="宋体"/>
          <w:kern w:val="0"/>
          <w:sz w:val="24"/>
          <w:szCs w:val="24"/>
          <w:lang w:val="en-US" w:eastAsia="zh-CN" w:bidi="ar"/>
        </w:rPr>
        <w:t>副</w:t>
      </w:r>
      <w:r>
        <w:rPr>
          <w:rFonts w:hint="eastAsia" w:ascii="宋体" w:hAnsi="宋体" w:eastAsia="宋体" w:cs="宋体"/>
          <w:spacing w:val="2"/>
          <w:kern w:val="0"/>
          <w:sz w:val="24"/>
          <w:szCs w:val="24"/>
          <w:lang w:val="en-US" w:eastAsia="zh-CN" w:bidi="ar"/>
        </w:rPr>
        <w:t>本</w:t>
      </w:r>
      <w:r>
        <w:rPr>
          <w:rFonts w:hint="eastAsia" w:cs="宋体"/>
          <w:spacing w:val="2"/>
          <w:kern w:val="0"/>
          <w:sz w:val="24"/>
          <w:szCs w:val="24"/>
          <w:lang w:val="en-US" w:eastAsia="zh-CN" w:bidi="ar"/>
        </w:rPr>
        <w:t xml:space="preserve"> </w:t>
      </w:r>
      <w:r>
        <w:rPr>
          <w:rFonts w:hint="eastAsia" w:ascii="宋体" w:hAnsi="宋体" w:eastAsia="宋体" w:cs="宋体"/>
          <w:spacing w:val="2"/>
          <w:kern w:val="0"/>
          <w:sz w:val="24"/>
          <w:szCs w:val="24"/>
          <w:u w:val="single"/>
          <w:lang w:val="en-US" w:eastAsia="zh-CN" w:bidi="ar"/>
        </w:rPr>
        <w:tab/>
      </w:r>
      <w:r>
        <w:rPr>
          <w:rFonts w:hint="eastAsia" w:ascii="宋体" w:hAnsi="宋体" w:eastAsia="宋体" w:cs="宋体"/>
          <w:kern w:val="0"/>
          <w:sz w:val="24"/>
          <w:szCs w:val="24"/>
          <w:lang w:val="en-US" w:eastAsia="zh-CN" w:bidi="ar"/>
        </w:rPr>
        <w:t>份，合同双</w:t>
      </w:r>
      <w:r>
        <w:rPr>
          <w:rFonts w:hint="eastAsia" w:ascii="宋体" w:hAnsi="宋体" w:eastAsia="宋体" w:cs="宋体"/>
          <w:spacing w:val="2"/>
          <w:kern w:val="0"/>
          <w:sz w:val="24"/>
          <w:szCs w:val="24"/>
          <w:lang w:val="en-US" w:eastAsia="zh-CN" w:bidi="ar"/>
        </w:rPr>
        <w:t>方</w:t>
      </w:r>
      <w:r>
        <w:rPr>
          <w:rFonts w:hint="eastAsia" w:ascii="宋体" w:hAnsi="宋体" w:eastAsia="宋体" w:cs="宋体"/>
          <w:kern w:val="0"/>
          <w:sz w:val="24"/>
          <w:szCs w:val="24"/>
          <w:lang w:val="en-US" w:eastAsia="zh-CN" w:bidi="ar"/>
        </w:rPr>
        <w:t>各执正本一份，副</w:t>
      </w:r>
      <w:r>
        <w:rPr>
          <w:rFonts w:hint="eastAsia" w:ascii="宋体" w:hAnsi="宋体" w:eastAsia="宋体" w:cs="宋体"/>
          <w:spacing w:val="5"/>
          <w:kern w:val="0"/>
          <w:sz w:val="24"/>
          <w:szCs w:val="24"/>
          <w:lang w:val="en-US" w:eastAsia="zh-CN" w:bidi="ar"/>
        </w:rPr>
        <w:t>本</w:t>
      </w:r>
      <w:r>
        <w:rPr>
          <w:rFonts w:hint="eastAsia" w:ascii="宋体" w:hAnsi="宋体" w:eastAsia="宋体" w:cs="宋体"/>
          <w:spacing w:val="5"/>
          <w:kern w:val="0"/>
          <w:sz w:val="24"/>
          <w:szCs w:val="24"/>
          <w:u w:val="single"/>
          <w:lang w:val="en-US" w:eastAsia="zh-CN" w:bidi="ar"/>
        </w:rPr>
        <w:tab/>
      </w:r>
      <w:r>
        <w:rPr>
          <w:rFonts w:hint="eastAsia" w:cs="宋体"/>
          <w:spacing w:val="5"/>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份，当正本与副本的内容不一致时，以正本为准。</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发包人</w:t>
      </w:r>
      <w:r>
        <w:rPr>
          <w:rFonts w:hint="eastAsia" w:ascii="宋体" w:hAnsi="宋体" w:eastAsia="宋体" w:cs="宋体"/>
          <w:spacing w:val="-17"/>
          <w:kern w:val="0"/>
          <w:sz w:val="24"/>
          <w:szCs w:val="24"/>
          <w:lang w:val="en-US" w:eastAsia="zh-CN" w:bidi="ar"/>
        </w:rPr>
        <w:t>：</w:t>
      </w:r>
      <w:r>
        <w:rPr>
          <w:rFonts w:hint="eastAsia" w:ascii="宋体" w:hAnsi="宋体" w:eastAsia="宋体" w:cs="宋体"/>
          <w:spacing w:val="-17"/>
          <w:kern w:val="0"/>
          <w:sz w:val="24"/>
          <w:szCs w:val="24"/>
          <w:u w:val="single"/>
          <w:lang w:val="en-US" w:eastAsia="zh-CN" w:bidi="ar"/>
        </w:rPr>
        <w:tab/>
      </w:r>
      <w:r>
        <w:rPr>
          <w:rFonts w:hint="eastAsia" w:cs="宋体"/>
          <w:spacing w:val="-17"/>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（盖单位章）</w:t>
      </w:r>
      <w:r>
        <w:rPr>
          <w:rFonts w:hint="eastAsia" w:ascii="宋体" w:hAnsi="宋体" w:eastAsia="宋体" w:cs="宋体"/>
          <w:kern w:val="0"/>
          <w:sz w:val="24"/>
          <w:szCs w:val="24"/>
          <w:lang w:val="en-US" w:eastAsia="zh-CN" w:bidi="ar"/>
        </w:rPr>
        <w:tab/>
      </w:r>
      <w:r>
        <w:rPr>
          <w:rFonts w:hint="eastAsia" w:ascii="宋体" w:hAnsi="宋体" w:eastAsia="宋体" w:cs="宋体"/>
          <w:kern w:val="0"/>
          <w:sz w:val="24"/>
          <w:szCs w:val="24"/>
          <w:lang w:val="en-US" w:eastAsia="zh-CN" w:bidi="ar"/>
        </w:rPr>
        <w:tab/>
      </w:r>
      <w:r>
        <w:rPr>
          <w:rFonts w:hint="eastAsia" w:ascii="宋体" w:hAnsi="宋体" w:eastAsia="宋体" w:cs="宋体"/>
          <w:kern w:val="0"/>
          <w:sz w:val="24"/>
          <w:szCs w:val="24"/>
          <w:lang w:val="en-US" w:eastAsia="zh-CN" w:bidi="ar"/>
        </w:rPr>
        <w:t>承包人</w:t>
      </w:r>
      <w:r>
        <w:rPr>
          <w:rFonts w:hint="eastAsia" w:ascii="宋体" w:hAnsi="宋体" w:eastAsia="宋体" w:cs="宋体"/>
          <w:spacing w:val="-17"/>
          <w:kern w:val="0"/>
          <w:sz w:val="24"/>
          <w:szCs w:val="24"/>
          <w:lang w:val="en-US" w:eastAsia="zh-CN" w:bidi="ar"/>
        </w:rPr>
        <w:t>：</w:t>
      </w:r>
      <w:r>
        <w:rPr>
          <w:rFonts w:hint="eastAsia" w:ascii="宋体" w:hAnsi="宋体" w:eastAsia="宋体" w:cs="宋体"/>
          <w:spacing w:val="-17"/>
          <w:kern w:val="0"/>
          <w:sz w:val="24"/>
          <w:szCs w:val="24"/>
          <w:u w:val="single"/>
          <w:lang w:val="en-US" w:eastAsia="zh-CN" w:bidi="ar"/>
        </w:rPr>
        <w:tab/>
      </w:r>
      <w:r>
        <w:rPr>
          <w:rFonts w:hint="eastAsia" w:cs="宋体"/>
          <w:spacing w:val="-17"/>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（盖单位章）法定代表人或其委托代理人</w:t>
      </w:r>
      <w:r>
        <w:rPr>
          <w:rFonts w:hint="eastAsia" w:ascii="宋体" w:hAnsi="宋体" w:eastAsia="宋体" w:cs="宋体"/>
          <w:spacing w:val="-17"/>
          <w:kern w:val="0"/>
          <w:sz w:val="24"/>
          <w:szCs w:val="24"/>
          <w:lang w:val="en-US" w:eastAsia="zh-CN" w:bidi="ar"/>
        </w:rPr>
        <w:t>：</w:t>
      </w:r>
      <w:r>
        <w:rPr>
          <w:rFonts w:hint="eastAsia" w:cs="宋体"/>
          <w:spacing w:val="-17"/>
          <w:kern w:val="0"/>
          <w:sz w:val="24"/>
          <w:szCs w:val="24"/>
          <w:u w:val="single"/>
          <w:lang w:val="en-US" w:eastAsia="zh-CN" w:bidi="ar"/>
        </w:rPr>
        <w:t xml:space="preserve">      </w:t>
      </w:r>
      <w:r>
        <w:rPr>
          <w:rFonts w:hint="eastAsia" w:ascii="宋体" w:hAnsi="宋体" w:eastAsia="宋体" w:cs="宋体"/>
          <w:i/>
          <w:iCs w:val="0"/>
          <w:kern w:val="0"/>
          <w:sz w:val="25"/>
          <w:szCs w:val="25"/>
          <w:lang w:val="en-US" w:eastAsia="zh-CN" w:bidi="ar"/>
        </w:rPr>
        <w:t>（</w:t>
      </w:r>
      <w:r>
        <w:rPr>
          <w:rFonts w:hint="eastAsia" w:ascii="宋体" w:hAnsi="宋体" w:eastAsia="宋体" w:cs="宋体"/>
          <w:kern w:val="0"/>
          <w:sz w:val="24"/>
          <w:szCs w:val="24"/>
          <w:lang w:val="en-US" w:eastAsia="zh-CN" w:bidi="ar"/>
        </w:rPr>
        <w:t>签字）</w:t>
      </w:r>
      <w:r>
        <w:rPr>
          <w:rFonts w:hint="eastAsia" w:ascii="宋体" w:hAnsi="宋体" w:eastAsia="宋体" w:cs="宋体"/>
          <w:kern w:val="0"/>
          <w:sz w:val="24"/>
          <w:szCs w:val="24"/>
          <w:lang w:val="en-US" w:eastAsia="zh-CN" w:bidi="ar"/>
        </w:rPr>
        <w:tab/>
      </w:r>
      <w:r>
        <w:rPr>
          <w:rFonts w:hint="eastAsia" w:ascii="宋体" w:hAnsi="宋体" w:eastAsia="宋体" w:cs="宋体"/>
          <w:kern w:val="0"/>
          <w:sz w:val="24"/>
          <w:szCs w:val="24"/>
          <w:lang w:val="en-US" w:eastAsia="zh-CN" w:bidi="ar"/>
        </w:rPr>
        <w:t>法定代表人或其委托代理人</w:t>
      </w:r>
      <w:r>
        <w:rPr>
          <w:rFonts w:hint="eastAsia" w:ascii="宋体" w:hAnsi="宋体" w:eastAsia="宋体" w:cs="宋体"/>
          <w:spacing w:val="-16"/>
          <w:kern w:val="0"/>
          <w:sz w:val="24"/>
          <w:szCs w:val="24"/>
          <w:lang w:val="en-US" w:eastAsia="zh-CN" w:bidi="ar"/>
        </w:rPr>
        <w:t>：</w:t>
      </w:r>
      <w:r>
        <w:rPr>
          <w:rFonts w:hint="eastAsia" w:cs="宋体"/>
          <w:spacing w:val="-16"/>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（签字）</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年</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月</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日</w:t>
      </w:r>
      <w:r>
        <w:rPr>
          <w:rFonts w:hint="eastAsia" w:ascii="宋体" w:hAnsi="宋体" w:eastAsia="宋体" w:cs="宋体"/>
          <w:kern w:val="0"/>
          <w:sz w:val="24"/>
          <w:szCs w:val="24"/>
          <w:lang w:val="en-US" w:eastAsia="zh-CN" w:bidi="ar"/>
        </w:rPr>
        <w:tab/>
      </w:r>
      <w:r>
        <w:rPr>
          <w:rFonts w:hint="eastAsia" w:cs="宋体"/>
          <w:kern w:val="0"/>
          <w:sz w:val="24"/>
          <w:szCs w:val="24"/>
          <w:lang w:val="en-US" w:eastAsia="zh-CN" w:bidi="ar"/>
        </w:rPr>
        <w:t xml:space="preserve">             </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年</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月</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日</w:t>
      </w:r>
    </w:p>
    <w:p>
      <w:pPr>
        <w:pageBreakBefore w:val="0"/>
        <w:kinsoku/>
        <w:overflowPunct/>
        <w:bidi w:val="0"/>
        <w:spacing w:before="0" w:beforeLines="0" w:beforeAutospacing="0" w:after="0" w:afterLines="0" w:afterAutospacing="0" w:line="360" w:lineRule="auto"/>
        <w:ind w:left="0" w:leftChars="0" w:right="0"/>
        <w:rPr>
          <w:rFonts w:hint="eastAsia" w:ascii="宋体" w:hAnsi="宋体" w:eastAsia="宋体" w:cs="宋体"/>
          <w:kern w:val="2"/>
          <w:sz w:val="22"/>
          <w:szCs w:val="22"/>
        </w:rPr>
        <w:sectPr>
          <w:pgSz w:w="11910" w:h="16850"/>
          <w:pgMar w:top="1480" w:right="1200" w:bottom="1040" w:left="1220" w:header="876" w:footer="853" w:gutter="0"/>
          <w:pgNumType w:fmt="decimal"/>
          <w:cols w:space="720" w:num="1"/>
          <w:docGrid w:type="lines" w:linePitch="312" w:charSpace="0"/>
        </w:sect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default" w:ascii="宋体" w:hAnsi="宋体" w:eastAsia="宋体" w:cs="宋体"/>
          <w:b/>
          <w:bCs w:val="0"/>
          <w:kern w:val="0"/>
          <w:sz w:val="12"/>
          <w:szCs w:val="12"/>
          <w:lang w:val="en-US"/>
        </w:rPr>
      </w:pPr>
      <w:bookmarkStart w:id="151" w:name="_bookmark273"/>
      <w:bookmarkEnd w:id="151"/>
      <w:r>
        <w:rPr>
          <w:rFonts w:hint="eastAsia" w:ascii="宋体" w:hAnsi="宋体" w:eastAsia="宋体" w:cs="宋体"/>
          <w:kern w:val="0"/>
          <w:sz w:val="24"/>
          <w:szCs w:val="24"/>
          <w:lang w:val="en-US" w:eastAsia="zh-CN" w:bidi="ar"/>
        </w:rPr>
        <w:t>附件四</w:t>
      </w:r>
      <w:r>
        <w:rPr>
          <w:rFonts w:hint="eastAsia" w:cs="宋体"/>
          <w:kern w:val="0"/>
          <w:sz w:val="24"/>
          <w:szCs w:val="24"/>
          <w:lang w:val="en-US" w:eastAsia="zh-CN" w:bidi="ar"/>
        </w:rPr>
        <w:t xml:space="preserve">    </w:t>
      </w:r>
      <w:r>
        <w:rPr>
          <w:rFonts w:hint="eastAsia" w:ascii="宋体" w:hAnsi="宋体" w:eastAsia="宋体" w:cs="宋体"/>
          <w:kern w:val="0"/>
          <w:sz w:val="24"/>
          <w:szCs w:val="24"/>
          <w:lang w:val="en-US" w:eastAsia="zh-CN" w:bidi="ar"/>
        </w:rPr>
        <w:t>其他管理和技术人员最低要求</w:t>
      </w:r>
      <w:r>
        <w:rPr>
          <w:rFonts w:hint="eastAsia" w:ascii="宋体" w:hAnsi="宋体" w:eastAsia="宋体" w:cs="宋体"/>
          <w:b/>
          <w:bCs w:val="0"/>
          <w:kern w:val="0"/>
          <w:position w:val="11"/>
          <w:sz w:val="12"/>
          <w:szCs w:val="12"/>
          <w:lang w:val="en-US" w:eastAsia="zh-CN" w:bidi="ar"/>
        </w:rPr>
        <w:t>①</w:t>
      </w:r>
    </w:p>
    <w:tbl>
      <w:tblPr>
        <w:tblStyle w:val="68"/>
        <w:tblW w:w="0" w:type="auto"/>
        <w:tblInd w:w="5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856"/>
        <w:gridCol w:w="1095"/>
        <w:gridCol w:w="59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849" w:hRule="atLeast"/>
        </w:trPr>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人</w:t>
            </w:r>
            <w:r>
              <w:rPr>
                <w:rFonts w:hint="eastAsia" w:ascii="宋体" w:hAnsi="宋体" w:eastAsia="宋体" w:cs="宋体"/>
                <w:kern w:val="0"/>
                <w:sz w:val="24"/>
                <w:szCs w:val="24"/>
                <w:lang w:val="en-US" w:eastAsia="zh-CN" w:bidi="ar"/>
              </w:rPr>
              <w:tab/>
            </w:r>
            <w:r>
              <w:rPr>
                <w:rFonts w:hint="eastAsia" w:ascii="宋体" w:hAnsi="宋体" w:eastAsia="宋体" w:cs="宋体"/>
                <w:kern w:val="0"/>
                <w:sz w:val="24"/>
                <w:szCs w:val="24"/>
                <w:lang w:val="en-US" w:eastAsia="zh-CN" w:bidi="ar"/>
              </w:rPr>
              <w:t>员</w:t>
            </w:r>
          </w:p>
        </w:tc>
        <w:tc>
          <w:tcPr>
            <w:tcW w:w="1095" w:type="dxa"/>
            <w:tcBorders>
              <w:top w:val="single" w:color="000000" w:sz="4" w:space="0"/>
              <w:left w:val="nil"/>
              <w:bottom w:val="single" w:color="000000" w:sz="4" w:space="0"/>
              <w:right w:val="single" w:color="000000" w:sz="4" w:space="0"/>
            </w:tcBorders>
            <w:shd w:val="clear" w:color="auto" w:fill="auto"/>
            <w:vAlign w:val="center"/>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数</w:t>
            </w:r>
            <w:r>
              <w:rPr>
                <w:rFonts w:hint="eastAsia" w:ascii="宋体" w:hAnsi="宋体" w:eastAsia="宋体" w:cs="宋体"/>
                <w:kern w:val="0"/>
                <w:sz w:val="24"/>
                <w:szCs w:val="24"/>
                <w:lang w:val="en-US" w:eastAsia="zh-CN" w:bidi="ar"/>
              </w:rPr>
              <w:tab/>
            </w:r>
            <w:r>
              <w:rPr>
                <w:rFonts w:hint="eastAsia" w:ascii="宋体" w:hAnsi="宋体" w:eastAsia="宋体" w:cs="宋体"/>
                <w:kern w:val="0"/>
                <w:sz w:val="24"/>
                <w:szCs w:val="24"/>
                <w:lang w:val="en-US" w:eastAsia="zh-CN" w:bidi="ar"/>
              </w:rPr>
              <w:t>量</w:t>
            </w:r>
          </w:p>
        </w:tc>
        <w:tc>
          <w:tcPr>
            <w:tcW w:w="5943" w:type="dxa"/>
            <w:tcBorders>
              <w:top w:val="single" w:color="000000" w:sz="4" w:space="0"/>
              <w:left w:val="nil"/>
              <w:bottom w:val="single" w:color="000000" w:sz="4" w:space="0"/>
              <w:right w:val="single" w:color="000000" w:sz="4" w:space="0"/>
            </w:tcBorders>
            <w:shd w:val="clear" w:color="auto" w:fill="auto"/>
            <w:vAlign w:val="center"/>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资格要求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6" w:hRule="atLeast"/>
        </w:trPr>
        <w:tc>
          <w:tcPr>
            <w:tcW w:w="1856"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rPr>
            </w:pPr>
            <w:r>
              <w:rPr>
                <w:rFonts w:hint="eastAsia" w:ascii="宋体" w:hAnsi="宋体" w:eastAsia="宋体" w:cs="宋体"/>
                <w:b w:val="0"/>
                <w:bCs w:val="0"/>
                <w:color w:val="000000"/>
                <w:sz w:val="24"/>
                <w:szCs w:val="24"/>
              </w:rPr>
              <w:t>合同工程师</w:t>
            </w:r>
          </w:p>
        </w:tc>
        <w:tc>
          <w:tcPr>
            <w:tcW w:w="1095"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w:t>
            </w:r>
          </w:p>
        </w:tc>
        <w:tc>
          <w:tcPr>
            <w:tcW w:w="5943"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rPr>
            </w:pPr>
            <w:r>
              <w:rPr>
                <w:rFonts w:hint="eastAsia" w:ascii="宋体" w:hAnsi="宋体" w:eastAsia="宋体" w:cs="宋体"/>
                <w:b w:val="0"/>
                <w:bCs w:val="0"/>
                <w:color w:val="000000"/>
                <w:sz w:val="24"/>
                <w:szCs w:val="24"/>
              </w:rPr>
              <w:t>工程师，从事类似工作</w:t>
            </w:r>
            <w:r>
              <w:rPr>
                <w:rFonts w:hint="eastAsia" w:ascii="宋体" w:hAnsi="宋体" w:eastAsia="宋体" w:cs="宋体"/>
                <w:b w:val="0"/>
                <w:bCs w:val="0"/>
                <w:color w:val="000000"/>
                <w:sz w:val="24"/>
                <w:szCs w:val="24"/>
                <w:lang w:val="en-US" w:eastAsia="zh-CN"/>
              </w:rPr>
              <w:t>3</w:t>
            </w:r>
            <w:r>
              <w:rPr>
                <w:rFonts w:hint="eastAsia" w:ascii="宋体" w:hAnsi="宋体" w:eastAsia="宋体" w:cs="宋体"/>
                <w:b w:val="0"/>
                <w:bCs w:val="0"/>
                <w:color w:val="000000"/>
                <w:sz w:val="24"/>
                <w:szCs w:val="24"/>
              </w:rPr>
              <w:t>年以上。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3" w:hRule="atLeast"/>
        </w:trPr>
        <w:tc>
          <w:tcPr>
            <w:tcW w:w="1856"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rPr>
            </w:pPr>
            <w:r>
              <w:rPr>
                <w:rFonts w:hint="eastAsia" w:ascii="宋体" w:hAnsi="宋体" w:eastAsia="宋体" w:cs="宋体"/>
                <w:b w:val="0"/>
                <w:bCs w:val="0"/>
                <w:color w:val="000000"/>
                <w:sz w:val="24"/>
                <w:szCs w:val="24"/>
              </w:rPr>
              <w:t>试验检测负责人</w:t>
            </w:r>
          </w:p>
        </w:tc>
        <w:tc>
          <w:tcPr>
            <w:tcW w:w="1095"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w:t>
            </w:r>
          </w:p>
        </w:tc>
        <w:tc>
          <w:tcPr>
            <w:tcW w:w="5943"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rPr>
            </w:pPr>
            <w:r>
              <w:rPr>
                <w:rFonts w:hint="eastAsia" w:ascii="宋体" w:hAnsi="宋体" w:eastAsia="宋体" w:cs="宋体"/>
                <w:b w:val="0"/>
                <w:bCs w:val="0"/>
                <w:color w:val="000000"/>
                <w:sz w:val="24"/>
                <w:szCs w:val="24"/>
              </w:rPr>
              <w:t>工程师，从事类似工作</w:t>
            </w:r>
            <w:r>
              <w:rPr>
                <w:rFonts w:hint="eastAsia" w:ascii="宋体" w:hAnsi="宋体" w:eastAsia="宋体" w:cs="宋体"/>
                <w:b w:val="0"/>
                <w:bCs w:val="0"/>
                <w:color w:val="000000"/>
                <w:sz w:val="24"/>
                <w:szCs w:val="24"/>
                <w:lang w:val="en-US" w:eastAsia="zh-CN"/>
              </w:rPr>
              <w:t>3</w:t>
            </w:r>
            <w:r>
              <w:rPr>
                <w:rFonts w:hint="eastAsia" w:ascii="宋体" w:hAnsi="宋体" w:eastAsia="宋体" w:cs="宋体"/>
                <w:b w:val="0"/>
                <w:bCs w:val="0"/>
                <w:color w:val="000000"/>
                <w:sz w:val="24"/>
                <w:szCs w:val="24"/>
              </w:rPr>
              <w:t>年以上。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856"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rPr>
            </w:pPr>
            <w:r>
              <w:rPr>
                <w:rFonts w:hint="eastAsia" w:ascii="宋体" w:hAnsi="宋体" w:eastAsia="宋体" w:cs="宋体"/>
                <w:b w:val="0"/>
                <w:bCs w:val="0"/>
                <w:color w:val="000000"/>
                <w:sz w:val="24"/>
                <w:szCs w:val="24"/>
              </w:rPr>
              <w:t>道路工程师</w:t>
            </w:r>
          </w:p>
        </w:tc>
        <w:tc>
          <w:tcPr>
            <w:tcW w:w="1095"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w:t>
            </w:r>
          </w:p>
        </w:tc>
        <w:tc>
          <w:tcPr>
            <w:tcW w:w="5943"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rPr>
            </w:pPr>
            <w:r>
              <w:rPr>
                <w:rFonts w:hint="eastAsia" w:ascii="宋体" w:hAnsi="宋体" w:eastAsia="宋体" w:cs="宋体"/>
                <w:b w:val="0"/>
                <w:bCs w:val="0"/>
                <w:color w:val="000000"/>
                <w:sz w:val="24"/>
                <w:szCs w:val="24"/>
              </w:rPr>
              <w:t>工程师，从事类似工作</w:t>
            </w:r>
            <w:r>
              <w:rPr>
                <w:rFonts w:hint="eastAsia" w:ascii="宋体" w:hAnsi="宋体" w:eastAsia="宋体" w:cs="宋体"/>
                <w:b w:val="0"/>
                <w:bCs w:val="0"/>
                <w:color w:val="000000"/>
                <w:sz w:val="24"/>
                <w:szCs w:val="24"/>
                <w:lang w:val="en-US" w:eastAsia="zh-CN"/>
              </w:rPr>
              <w:t>3</w:t>
            </w:r>
            <w:r>
              <w:rPr>
                <w:rFonts w:hint="eastAsia" w:ascii="宋体" w:hAnsi="宋体" w:eastAsia="宋体" w:cs="宋体"/>
                <w:b w:val="0"/>
                <w:bCs w:val="0"/>
                <w:color w:val="000000"/>
                <w:sz w:val="24"/>
                <w:szCs w:val="24"/>
              </w:rPr>
              <w:t>年以上。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3" w:hRule="atLeast"/>
        </w:trPr>
        <w:tc>
          <w:tcPr>
            <w:tcW w:w="1856"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rPr>
            </w:pPr>
            <w:r>
              <w:rPr>
                <w:rFonts w:hint="eastAsia" w:ascii="宋体" w:hAnsi="宋体" w:eastAsia="宋体" w:cs="宋体"/>
                <w:b w:val="0"/>
                <w:bCs w:val="0"/>
                <w:color w:val="000000"/>
                <w:sz w:val="24"/>
                <w:szCs w:val="24"/>
              </w:rPr>
              <w:t>质检负责人</w:t>
            </w:r>
          </w:p>
        </w:tc>
        <w:tc>
          <w:tcPr>
            <w:tcW w:w="1095"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w:t>
            </w:r>
          </w:p>
        </w:tc>
        <w:tc>
          <w:tcPr>
            <w:tcW w:w="5943"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rPr>
            </w:pPr>
            <w:r>
              <w:rPr>
                <w:rFonts w:hint="eastAsia" w:ascii="宋体" w:hAnsi="宋体" w:eastAsia="宋体" w:cs="宋体"/>
                <w:b w:val="0"/>
                <w:bCs w:val="0"/>
                <w:color w:val="000000"/>
                <w:sz w:val="24"/>
                <w:szCs w:val="24"/>
              </w:rPr>
              <w:t xml:space="preserve">工程师及以上技术职称，从事类似工作 </w:t>
            </w:r>
            <w:r>
              <w:rPr>
                <w:rFonts w:hint="eastAsia" w:ascii="宋体" w:hAnsi="宋体" w:eastAsia="宋体" w:cs="宋体"/>
                <w:b w:val="0"/>
                <w:bCs w:val="0"/>
                <w:color w:val="000000"/>
                <w:sz w:val="24"/>
                <w:szCs w:val="24"/>
                <w:lang w:val="en-US" w:eastAsia="zh-CN"/>
              </w:rPr>
              <w:t>3</w:t>
            </w:r>
            <w:r>
              <w:rPr>
                <w:rFonts w:hint="eastAsia" w:ascii="宋体" w:hAnsi="宋体" w:eastAsia="宋体" w:cs="宋体"/>
                <w:b w:val="0"/>
                <w:bCs w:val="0"/>
                <w:color w:val="000000"/>
                <w:sz w:val="24"/>
                <w:szCs w:val="24"/>
              </w:rPr>
              <w:t xml:space="preserve"> 年以上。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3" w:hRule="atLeast"/>
        </w:trPr>
        <w:tc>
          <w:tcPr>
            <w:tcW w:w="1856"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rPr>
            </w:pPr>
            <w:r>
              <w:rPr>
                <w:rFonts w:hint="eastAsia" w:ascii="宋体" w:hAnsi="宋体" w:eastAsia="宋体" w:cs="宋体"/>
                <w:b w:val="0"/>
                <w:bCs w:val="0"/>
                <w:color w:val="000000"/>
                <w:sz w:val="24"/>
                <w:szCs w:val="24"/>
              </w:rPr>
              <w:t>安全环保负责人</w:t>
            </w:r>
          </w:p>
        </w:tc>
        <w:tc>
          <w:tcPr>
            <w:tcW w:w="1095"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w:t>
            </w:r>
          </w:p>
        </w:tc>
        <w:tc>
          <w:tcPr>
            <w:tcW w:w="5943"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rPr>
            </w:pPr>
            <w:r>
              <w:rPr>
                <w:rFonts w:hint="eastAsia" w:ascii="宋体" w:hAnsi="宋体" w:eastAsia="宋体" w:cs="宋体"/>
                <w:b w:val="0"/>
                <w:bCs w:val="0"/>
                <w:color w:val="000000"/>
                <w:sz w:val="24"/>
                <w:szCs w:val="24"/>
              </w:rPr>
              <w:t xml:space="preserve">具有有效的 C 类安全生产考核合格证，从事类似工作 </w:t>
            </w:r>
            <w:r>
              <w:rPr>
                <w:rFonts w:hint="eastAsia" w:ascii="宋体" w:hAnsi="宋体" w:eastAsia="宋体" w:cs="宋体"/>
                <w:b w:val="0"/>
                <w:bCs w:val="0"/>
                <w:color w:val="000000"/>
                <w:sz w:val="24"/>
                <w:szCs w:val="24"/>
                <w:lang w:val="en-US" w:eastAsia="zh-CN"/>
              </w:rPr>
              <w:t>2</w:t>
            </w:r>
            <w:r>
              <w:rPr>
                <w:rFonts w:hint="eastAsia" w:ascii="宋体" w:hAnsi="宋体" w:eastAsia="宋体" w:cs="宋体"/>
                <w:b w:val="0"/>
                <w:bCs w:val="0"/>
                <w:color w:val="000000"/>
                <w:sz w:val="24"/>
                <w:szCs w:val="24"/>
              </w:rPr>
              <w:t>年以上。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3" w:hRule="atLeast"/>
        </w:trPr>
        <w:tc>
          <w:tcPr>
            <w:tcW w:w="1856"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rPr>
            </w:pPr>
            <w:r>
              <w:rPr>
                <w:rFonts w:hint="eastAsia" w:ascii="宋体" w:hAnsi="宋体" w:eastAsia="宋体" w:cs="宋体"/>
                <w:b w:val="0"/>
                <w:bCs w:val="0"/>
                <w:color w:val="000000"/>
                <w:sz w:val="24"/>
                <w:szCs w:val="24"/>
              </w:rPr>
              <w:t>测量员</w:t>
            </w:r>
          </w:p>
        </w:tc>
        <w:tc>
          <w:tcPr>
            <w:tcW w:w="1095"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w:t>
            </w:r>
          </w:p>
        </w:tc>
        <w:tc>
          <w:tcPr>
            <w:tcW w:w="5943"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rPr>
            </w:pPr>
            <w:r>
              <w:rPr>
                <w:rFonts w:hint="eastAsia" w:ascii="宋体" w:hAnsi="宋体" w:eastAsia="宋体" w:cs="宋体"/>
                <w:b w:val="0"/>
                <w:bCs w:val="0"/>
                <w:color w:val="000000"/>
                <w:sz w:val="24"/>
                <w:szCs w:val="24"/>
              </w:rPr>
              <w:t>助理工程师，从事类似测量工作</w:t>
            </w:r>
            <w:r>
              <w:rPr>
                <w:rFonts w:hint="eastAsia" w:ascii="宋体" w:hAnsi="宋体" w:eastAsia="宋体" w:cs="宋体"/>
                <w:b w:val="0"/>
                <w:bCs w:val="0"/>
                <w:color w:val="000000"/>
                <w:sz w:val="24"/>
                <w:szCs w:val="24"/>
                <w:lang w:val="en-US" w:eastAsia="zh-CN"/>
              </w:rPr>
              <w:t>2</w:t>
            </w:r>
            <w:r>
              <w:rPr>
                <w:rFonts w:hint="eastAsia" w:ascii="宋体" w:hAnsi="宋体" w:eastAsia="宋体" w:cs="宋体"/>
                <w:b w:val="0"/>
                <w:bCs w:val="0"/>
                <w:color w:val="000000"/>
                <w:sz w:val="24"/>
                <w:szCs w:val="24"/>
              </w:rPr>
              <w:t>年以上。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5" w:hRule="atLeast"/>
        </w:trPr>
        <w:tc>
          <w:tcPr>
            <w:tcW w:w="1856"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rPr>
            </w:pPr>
            <w:r>
              <w:rPr>
                <w:rFonts w:hint="eastAsia" w:ascii="宋体" w:hAnsi="宋体" w:eastAsia="宋体" w:cs="宋体"/>
                <w:b w:val="0"/>
                <w:bCs w:val="0"/>
                <w:color w:val="000000"/>
                <w:sz w:val="24"/>
                <w:szCs w:val="24"/>
              </w:rPr>
              <w:t>试验员</w:t>
            </w:r>
          </w:p>
        </w:tc>
        <w:tc>
          <w:tcPr>
            <w:tcW w:w="1095"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w:t>
            </w:r>
          </w:p>
        </w:tc>
        <w:tc>
          <w:tcPr>
            <w:tcW w:w="5943"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rPr>
            </w:pPr>
            <w:r>
              <w:rPr>
                <w:rFonts w:hint="eastAsia" w:ascii="宋体" w:hAnsi="宋体" w:eastAsia="宋体" w:cs="宋体"/>
                <w:b w:val="0"/>
                <w:bCs w:val="0"/>
                <w:color w:val="000000"/>
                <w:sz w:val="24"/>
                <w:szCs w:val="24"/>
              </w:rPr>
              <w:t>具有试验检测员资格证书，从事类似工作</w:t>
            </w:r>
            <w:r>
              <w:rPr>
                <w:rFonts w:hint="eastAsia" w:ascii="宋体" w:hAnsi="宋体" w:eastAsia="宋体" w:cs="宋体"/>
                <w:b w:val="0"/>
                <w:bCs w:val="0"/>
                <w:color w:val="000000"/>
                <w:sz w:val="24"/>
                <w:szCs w:val="24"/>
                <w:lang w:val="en-US" w:eastAsia="zh-CN"/>
              </w:rPr>
              <w:t>2</w:t>
            </w:r>
            <w:r>
              <w:rPr>
                <w:rFonts w:hint="eastAsia" w:ascii="宋体" w:hAnsi="宋体" w:eastAsia="宋体" w:cs="宋体"/>
                <w:b w:val="0"/>
                <w:bCs w:val="0"/>
                <w:color w:val="000000"/>
                <w:sz w:val="24"/>
                <w:szCs w:val="24"/>
              </w:rPr>
              <w:t>年以上。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4" w:hRule="atLeast"/>
        </w:trPr>
        <w:tc>
          <w:tcPr>
            <w:tcW w:w="1856"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rPr>
            </w:pPr>
            <w:r>
              <w:rPr>
                <w:rFonts w:hint="eastAsia" w:ascii="宋体" w:hAnsi="宋体" w:eastAsia="宋体" w:cs="宋体"/>
                <w:b w:val="0"/>
                <w:bCs w:val="0"/>
                <w:color w:val="000000"/>
                <w:sz w:val="24"/>
                <w:szCs w:val="24"/>
              </w:rPr>
              <w:t>专职安全员</w:t>
            </w:r>
          </w:p>
        </w:tc>
        <w:tc>
          <w:tcPr>
            <w:tcW w:w="1095"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w:t>
            </w:r>
          </w:p>
        </w:tc>
        <w:tc>
          <w:tcPr>
            <w:tcW w:w="5943"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rPr>
            </w:pPr>
            <w:r>
              <w:rPr>
                <w:rFonts w:hint="eastAsia" w:ascii="宋体" w:hAnsi="宋体" w:eastAsia="宋体" w:cs="宋体"/>
                <w:b w:val="0"/>
                <w:bCs w:val="0"/>
                <w:color w:val="000000"/>
                <w:sz w:val="24"/>
                <w:szCs w:val="24"/>
              </w:rPr>
              <w:t>具有有效的C类安全生产考核合格证，从事类似工作</w:t>
            </w:r>
            <w:r>
              <w:rPr>
                <w:rFonts w:hint="eastAsia" w:ascii="宋体" w:hAnsi="宋体" w:eastAsia="宋体" w:cs="宋体"/>
                <w:b w:val="0"/>
                <w:bCs w:val="0"/>
                <w:color w:val="000000"/>
                <w:sz w:val="24"/>
                <w:szCs w:val="24"/>
                <w:lang w:val="en-US" w:eastAsia="zh-CN"/>
              </w:rPr>
              <w:t>2</w:t>
            </w:r>
            <w:r>
              <w:rPr>
                <w:rFonts w:hint="eastAsia" w:ascii="宋体" w:hAnsi="宋体" w:eastAsia="宋体" w:cs="宋体"/>
                <w:b w:val="0"/>
                <w:bCs w:val="0"/>
                <w:color w:val="000000"/>
                <w:sz w:val="24"/>
                <w:szCs w:val="24"/>
              </w:rPr>
              <w:t>年以上。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8" w:hRule="atLeast"/>
        </w:trPr>
        <w:tc>
          <w:tcPr>
            <w:tcW w:w="1856"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p>
        </w:tc>
        <w:tc>
          <w:tcPr>
            <w:tcW w:w="1095"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p>
        </w:tc>
        <w:tc>
          <w:tcPr>
            <w:tcW w:w="5943"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3" w:hRule="atLeast"/>
        </w:trPr>
        <w:tc>
          <w:tcPr>
            <w:tcW w:w="1856"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p>
        </w:tc>
        <w:tc>
          <w:tcPr>
            <w:tcW w:w="1095"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p>
        </w:tc>
        <w:tc>
          <w:tcPr>
            <w:tcW w:w="5943"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3" w:hRule="atLeast"/>
        </w:trPr>
        <w:tc>
          <w:tcPr>
            <w:tcW w:w="1856"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p>
        </w:tc>
        <w:tc>
          <w:tcPr>
            <w:tcW w:w="1095"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p>
        </w:tc>
        <w:tc>
          <w:tcPr>
            <w:tcW w:w="5943"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856"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p>
        </w:tc>
        <w:tc>
          <w:tcPr>
            <w:tcW w:w="1095"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p>
        </w:tc>
        <w:tc>
          <w:tcPr>
            <w:tcW w:w="5943"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5" w:hRule="atLeast"/>
        </w:trPr>
        <w:tc>
          <w:tcPr>
            <w:tcW w:w="1856"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p>
        </w:tc>
        <w:tc>
          <w:tcPr>
            <w:tcW w:w="1095"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p>
        </w:tc>
        <w:tc>
          <w:tcPr>
            <w:tcW w:w="5943"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p>
        </w:tc>
      </w:tr>
    </w:tbl>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ascii="宋体" w:hAnsi="宋体" w:eastAsia="宋体" w:cs="宋体"/>
          <w:b w:val="0"/>
          <w:bCs w:val="0"/>
          <w:color w:val="000000"/>
          <w:sz w:val="21"/>
          <w:szCs w:val="21"/>
        </w:rPr>
      </w:pPr>
      <w:bookmarkStart w:id="152" w:name="_bookmark274"/>
      <w:bookmarkEnd w:id="152"/>
      <w:r>
        <w:rPr>
          <w:rFonts w:ascii="宋体" w:hAnsi="宋体" w:eastAsia="宋体" w:cs="宋体"/>
          <w:b w:val="0"/>
          <w:bCs w:val="0"/>
          <w:color w:val="000000"/>
          <w:sz w:val="21"/>
          <w:szCs w:val="21"/>
        </w:rPr>
        <w:t xml:space="preserve">注：1.（本表上述人员要求不作为评标过程中资格审查的依据，仅作为后期双方合同谈判的依据，投标人无需在投标文件中提供）。上述人员的具体人选由招标人和中标人在 合同谈判阶段确定，且经招标人审批后作为派驻本标段的项目管理机构主要人员，不允许更换。 </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2.本表中“以上”均包含本数。 </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ascii="宋体" w:hAnsi="宋体" w:eastAsia="宋体" w:cs="宋体"/>
          <w:b w:val="0"/>
          <w:bCs w:val="0"/>
          <w:color w:val="000000"/>
          <w:sz w:val="21"/>
          <w:szCs w:val="21"/>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ascii="宋体" w:hAnsi="宋体" w:eastAsia="宋体" w:cs="宋体"/>
          <w:b w:val="0"/>
          <w:bCs w:val="0"/>
          <w:color w:val="000000"/>
          <w:sz w:val="21"/>
          <w:szCs w:val="21"/>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ascii="宋体" w:hAnsi="宋体" w:eastAsia="宋体" w:cs="宋体"/>
          <w:b w:val="0"/>
          <w:bCs w:val="0"/>
          <w:color w:val="000000"/>
          <w:sz w:val="21"/>
          <w:szCs w:val="21"/>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ascii="宋体" w:hAnsi="宋体" w:eastAsia="宋体" w:cs="宋体"/>
          <w:b w:val="0"/>
          <w:bCs w:val="0"/>
          <w:color w:val="000000"/>
          <w:sz w:val="21"/>
          <w:szCs w:val="21"/>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ascii="宋体" w:hAnsi="宋体" w:eastAsia="宋体" w:cs="宋体"/>
          <w:b w:val="0"/>
          <w:bCs w:val="0"/>
          <w:color w:val="000000"/>
          <w:sz w:val="21"/>
          <w:szCs w:val="21"/>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附件五</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b/>
          <w:bCs w:val="0"/>
          <w:kern w:val="0"/>
          <w:sz w:val="12"/>
          <w:szCs w:val="12"/>
        </w:rPr>
      </w:pPr>
      <w:r>
        <w:rPr>
          <w:rFonts w:hint="eastAsia" w:ascii="宋体" w:hAnsi="宋体" w:eastAsia="宋体" w:cs="宋体"/>
          <w:kern w:val="0"/>
          <w:sz w:val="24"/>
          <w:szCs w:val="24"/>
          <w:lang w:val="en-US" w:eastAsia="zh-CN" w:bidi="ar"/>
        </w:rPr>
        <w:t>主要机械设备和试验检测设备最低要求</w:t>
      </w:r>
      <w:r>
        <w:rPr>
          <w:rFonts w:hint="eastAsia" w:ascii="宋体" w:hAnsi="宋体" w:eastAsia="宋体" w:cs="宋体"/>
          <w:b/>
          <w:bCs w:val="0"/>
          <w:kern w:val="0"/>
          <w:position w:val="11"/>
          <w:sz w:val="12"/>
          <w:szCs w:val="12"/>
          <w:lang w:val="en-US" w:eastAsia="zh-CN" w:bidi="ar"/>
        </w:rPr>
        <w:t>①</w:t>
      </w:r>
      <w:r>
        <w:rPr>
          <w:rFonts w:hint="eastAsia" w:ascii="宋体" w:hAnsi="宋体" w:eastAsia="宋体" w:cs="宋体"/>
          <w:kern w:val="0"/>
          <w:sz w:val="24"/>
          <w:szCs w:val="24"/>
          <w:lang w:val="en-US" w:eastAsia="zh-CN" w:bidi="ar"/>
        </w:rPr>
        <w:t>（本项目不适用）</w:t>
      </w:r>
    </w:p>
    <w:tbl>
      <w:tblPr>
        <w:tblStyle w:val="6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2233"/>
        <w:gridCol w:w="2744"/>
        <w:gridCol w:w="1388"/>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3" w:hRule="atLeast"/>
        </w:trPr>
        <w:tc>
          <w:tcPr>
            <w:tcW w:w="2233"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设备名称</w:t>
            </w:r>
          </w:p>
        </w:tc>
        <w:tc>
          <w:tcPr>
            <w:tcW w:w="2744"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规格、功率及容量</w:t>
            </w:r>
          </w:p>
        </w:tc>
        <w:tc>
          <w:tcPr>
            <w:tcW w:w="1388"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单位</w:t>
            </w:r>
          </w:p>
        </w:tc>
        <w:tc>
          <w:tcPr>
            <w:tcW w:w="2195"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最低数量要求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233"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18"/>
                <w:szCs w:val="18"/>
              </w:rPr>
            </w:pPr>
            <w:r>
              <w:rPr>
                <w:rFonts w:hint="default" w:ascii="宋体" w:hAnsi="宋体" w:eastAsia="宋体" w:cs="宋体"/>
                <w:b w:val="0"/>
                <w:bCs w:val="0"/>
                <w:color w:val="000000"/>
                <w:sz w:val="21"/>
                <w:szCs w:val="21"/>
              </w:rPr>
              <w:t>挖掘机</w:t>
            </w:r>
          </w:p>
        </w:tc>
        <w:tc>
          <w:tcPr>
            <w:tcW w:w="2744"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18"/>
                <w:szCs w:val="18"/>
              </w:rPr>
            </w:pPr>
            <w:r>
              <w:rPr>
                <w:rFonts w:hint="default" w:ascii="宋体" w:hAnsi="宋体" w:eastAsia="宋体" w:cs="宋体"/>
                <w:b w:val="0"/>
                <w:bCs w:val="0"/>
                <w:color w:val="000000"/>
                <w:sz w:val="21"/>
                <w:szCs w:val="21"/>
              </w:rPr>
              <w:t>≥1 立方米</w:t>
            </w:r>
          </w:p>
        </w:tc>
        <w:tc>
          <w:tcPr>
            <w:tcW w:w="1388"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18"/>
                <w:szCs w:val="18"/>
              </w:rPr>
            </w:pPr>
            <w:r>
              <w:rPr>
                <w:rFonts w:hint="default" w:ascii="宋体" w:hAnsi="宋体" w:eastAsia="宋体" w:cs="宋体"/>
                <w:b w:val="0"/>
                <w:bCs w:val="0"/>
                <w:color w:val="000000"/>
                <w:sz w:val="21"/>
                <w:szCs w:val="21"/>
              </w:rPr>
              <w:t>台</w:t>
            </w:r>
          </w:p>
        </w:tc>
        <w:tc>
          <w:tcPr>
            <w:tcW w:w="2195"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18"/>
                <w:szCs w:val="18"/>
                <w:lang w:val="en-US" w:eastAsia="zh-CN"/>
              </w:rPr>
            </w:pPr>
            <w:r>
              <w:rPr>
                <w:rFonts w:hint="eastAsia" w:cs="宋体"/>
                <w:kern w:val="0"/>
                <w:sz w:val="18"/>
                <w:szCs w:val="18"/>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3" w:hRule="atLeast"/>
        </w:trPr>
        <w:tc>
          <w:tcPr>
            <w:tcW w:w="2233"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18"/>
                <w:szCs w:val="18"/>
              </w:rPr>
            </w:pPr>
            <w:r>
              <w:rPr>
                <w:rFonts w:hint="default" w:ascii="宋体" w:hAnsi="宋体" w:eastAsia="宋体" w:cs="宋体"/>
                <w:b w:val="0"/>
                <w:bCs w:val="0"/>
                <w:color w:val="000000"/>
                <w:sz w:val="21"/>
                <w:szCs w:val="21"/>
              </w:rPr>
              <w:t>装载机</w:t>
            </w:r>
          </w:p>
        </w:tc>
        <w:tc>
          <w:tcPr>
            <w:tcW w:w="2744"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18"/>
                <w:szCs w:val="18"/>
              </w:rPr>
            </w:pPr>
            <w:r>
              <w:rPr>
                <w:rFonts w:hint="default" w:ascii="宋体" w:hAnsi="宋体" w:eastAsia="宋体" w:cs="宋体"/>
                <w:b w:val="0"/>
                <w:bCs w:val="0"/>
                <w:color w:val="000000"/>
                <w:sz w:val="21"/>
                <w:szCs w:val="21"/>
              </w:rPr>
              <w:t>≥5 立方米</w:t>
            </w:r>
          </w:p>
        </w:tc>
        <w:tc>
          <w:tcPr>
            <w:tcW w:w="1388"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rightChars="0"/>
              <w:jc w:val="center"/>
              <w:rPr>
                <w:rFonts w:hint="eastAsia" w:ascii="宋体" w:hAnsi="宋体" w:eastAsia="宋体" w:cs="宋体"/>
                <w:kern w:val="0"/>
                <w:sz w:val="18"/>
                <w:szCs w:val="18"/>
                <w:lang w:val="en-US" w:eastAsia="zh-CN" w:bidi="ar-SA"/>
              </w:rPr>
            </w:pPr>
            <w:r>
              <w:rPr>
                <w:rFonts w:hint="default" w:ascii="宋体" w:hAnsi="宋体" w:eastAsia="宋体" w:cs="宋体"/>
                <w:b w:val="0"/>
                <w:bCs w:val="0"/>
                <w:color w:val="000000"/>
                <w:sz w:val="21"/>
                <w:szCs w:val="21"/>
              </w:rPr>
              <w:t>台</w:t>
            </w:r>
          </w:p>
        </w:tc>
        <w:tc>
          <w:tcPr>
            <w:tcW w:w="2195"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rightChars="0"/>
              <w:jc w:val="center"/>
              <w:rPr>
                <w:rFonts w:hint="eastAsia" w:ascii="宋体" w:hAnsi="宋体" w:eastAsia="宋体" w:cs="宋体"/>
                <w:kern w:val="0"/>
                <w:sz w:val="18"/>
                <w:szCs w:val="18"/>
                <w:lang w:val="en-US" w:eastAsia="zh-CN" w:bidi="ar-SA"/>
              </w:rPr>
            </w:pPr>
            <w:r>
              <w:rPr>
                <w:rFonts w:hint="eastAsia" w:cs="宋体"/>
                <w:kern w:val="0"/>
                <w:sz w:val="18"/>
                <w:szCs w:val="18"/>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4" w:hRule="atLeast"/>
        </w:trPr>
        <w:tc>
          <w:tcPr>
            <w:tcW w:w="2233"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18"/>
                <w:szCs w:val="18"/>
              </w:rPr>
            </w:pPr>
            <w:r>
              <w:rPr>
                <w:rFonts w:hint="default" w:ascii="宋体" w:hAnsi="宋体" w:eastAsia="宋体" w:cs="宋体"/>
                <w:b w:val="0"/>
                <w:bCs w:val="0"/>
                <w:color w:val="000000"/>
                <w:sz w:val="21"/>
                <w:szCs w:val="21"/>
              </w:rPr>
              <w:t>洒水车</w:t>
            </w:r>
          </w:p>
        </w:tc>
        <w:tc>
          <w:tcPr>
            <w:tcW w:w="2744"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18"/>
                <w:szCs w:val="18"/>
              </w:rPr>
            </w:pPr>
            <w:r>
              <w:rPr>
                <w:rFonts w:hint="default" w:ascii="宋体" w:hAnsi="宋体" w:eastAsia="宋体" w:cs="宋体"/>
                <w:b w:val="0"/>
                <w:bCs w:val="0"/>
                <w:color w:val="000000"/>
                <w:sz w:val="21"/>
                <w:szCs w:val="21"/>
              </w:rPr>
              <w:t>≥6000L</w:t>
            </w:r>
          </w:p>
        </w:tc>
        <w:tc>
          <w:tcPr>
            <w:tcW w:w="1388"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18"/>
                <w:szCs w:val="18"/>
              </w:rPr>
            </w:pPr>
            <w:r>
              <w:rPr>
                <w:rFonts w:hint="default" w:ascii="宋体" w:hAnsi="宋体" w:eastAsia="宋体" w:cs="宋体"/>
                <w:b w:val="0"/>
                <w:bCs w:val="0"/>
                <w:color w:val="000000"/>
                <w:sz w:val="21"/>
                <w:szCs w:val="21"/>
              </w:rPr>
              <w:t>辆</w:t>
            </w:r>
          </w:p>
        </w:tc>
        <w:tc>
          <w:tcPr>
            <w:tcW w:w="2195"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18"/>
                <w:szCs w:val="18"/>
                <w:lang w:val="en-US" w:eastAsia="zh-CN"/>
              </w:rPr>
            </w:pPr>
            <w:r>
              <w:rPr>
                <w:rFonts w:hint="eastAsia" w:cs="宋体"/>
                <w:kern w:val="0"/>
                <w:sz w:val="18"/>
                <w:szCs w:val="18"/>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233"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18"/>
                <w:szCs w:val="18"/>
              </w:rPr>
            </w:pPr>
            <w:r>
              <w:rPr>
                <w:rFonts w:hint="default" w:ascii="宋体" w:hAnsi="宋体" w:eastAsia="宋体" w:cs="宋体"/>
                <w:b w:val="0"/>
                <w:bCs w:val="0"/>
                <w:color w:val="000000"/>
                <w:sz w:val="21"/>
                <w:szCs w:val="21"/>
              </w:rPr>
              <w:t>湿法作业设备</w:t>
            </w:r>
          </w:p>
        </w:tc>
        <w:tc>
          <w:tcPr>
            <w:tcW w:w="2744"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18"/>
                <w:szCs w:val="18"/>
              </w:rPr>
            </w:pPr>
          </w:p>
        </w:tc>
        <w:tc>
          <w:tcPr>
            <w:tcW w:w="1388"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18"/>
                <w:szCs w:val="18"/>
              </w:rPr>
            </w:pPr>
            <w:r>
              <w:rPr>
                <w:rFonts w:hint="default" w:ascii="宋体" w:hAnsi="宋体" w:eastAsia="宋体" w:cs="宋体"/>
                <w:b w:val="0"/>
                <w:bCs w:val="0"/>
                <w:color w:val="000000"/>
                <w:sz w:val="21"/>
                <w:szCs w:val="21"/>
              </w:rPr>
              <w:t>套</w:t>
            </w:r>
          </w:p>
        </w:tc>
        <w:tc>
          <w:tcPr>
            <w:tcW w:w="2195"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18"/>
                <w:szCs w:val="18"/>
                <w:lang w:val="en-US" w:eastAsia="zh-CN"/>
              </w:rPr>
            </w:pPr>
            <w:r>
              <w:rPr>
                <w:rFonts w:hint="eastAsia" w:cs="宋体"/>
                <w:kern w:val="0"/>
                <w:sz w:val="18"/>
                <w:szCs w:val="18"/>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3" w:hRule="atLeast"/>
        </w:trPr>
        <w:tc>
          <w:tcPr>
            <w:tcW w:w="2233"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18"/>
                <w:szCs w:val="18"/>
              </w:rPr>
            </w:pPr>
            <w:r>
              <w:rPr>
                <w:rFonts w:hint="default" w:ascii="宋体" w:hAnsi="宋体" w:eastAsia="宋体" w:cs="宋体"/>
                <w:b w:val="0"/>
                <w:bCs w:val="0"/>
                <w:color w:val="000000"/>
                <w:sz w:val="21"/>
                <w:szCs w:val="21"/>
              </w:rPr>
              <w:t>稳定碎石摊铺机</w:t>
            </w:r>
          </w:p>
        </w:tc>
        <w:tc>
          <w:tcPr>
            <w:tcW w:w="2744"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18"/>
                <w:szCs w:val="18"/>
              </w:rPr>
            </w:pPr>
            <w:r>
              <w:rPr>
                <w:rFonts w:hint="default" w:ascii="宋体" w:hAnsi="宋体" w:eastAsia="宋体" w:cs="宋体"/>
                <w:b w:val="0"/>
                <w:bCs w:val="0"/>
                <w:color w:val="000000"/>
                <w:sz w:val="21"/>
                <w:szCs w:val="21"/>
              </w:rPr>
              <w:t>摊铺宽度≥7.5 米</w:t>
            </w:r>
          </w:p>
        </w:tc>
        <w:tc>
          <w:tcPr>
            <w:tcW w:w="1388"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18"/>
                <w:szCs w:val="18"/>
              </w:rPr>
            </w:pPr>
            <w:r>
              <w:rPr>
                <w:rFonts w:hint="default" w:ascii="宋体" w:hAnsi="宋体" w:eastAsia="宋体" w:cs="宋体"/>
                <w:b w:val="0"/>
                <w:bCs w:val="0"/>
                <w:color w:val="000000"/>
                <w:sz w:val="21"/>
                <w:szCs w:val="21"/>
              </w:rPr>
              <w:t>台</w:t>
            </w:r>
          </w:p>
        </w:tc>
        <w:tc>
          <w:tcPr>
            <w:tcW w:w="2195"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18"/>
                <w:szCs w:val="18"/>
                <w:lang w:val="en-US" w:eastAsia="zh-CN"/>
              </w:rPr>
            </w:pPr>
            <w:r>
              <w:rPr>
                <w:rFonts w:hint="eastAsia" w:cs="宋体"/>
                <w:kern w:val="0"/>
                <w:sz w:val="18"/>
                <w:szCs w:val="18"/>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233"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18"/>
                <w:szCs w:val="18"/>
              </w:rPr>
            </w:pPr>
            <w:r>
              <w:rPr>
                <w:rFonts w:hint="default" w:ascii="宋体" w:hAnsi="宋体" w:eastAsia="宋体" w:cs="宋体"/>
                <w:b w:val="0"/>
                <w:bCs w:val="0"/>
                <w:color w:val="000000"/>
                <w:sz w:val="21"/>
                <w:szCs w:val="21"/>
              </w:rPr>
              <w:t>振动压路机</w:t>
            </w:r>
          </w:p>
        </w:tc>
        <w:tc>
          <w:tcPr>
            <w:tcW w:w="2744"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18"/>
                <w:szCs w:val="18"/>
              </w:rPr>
            </w:pPr>
            <w:r>
              <w:rPr>
                <w:rFonts w:hint="default" w:ascii="宋体" w:hAnsi="宋体" w:eastAsia="宋体" w:cs="宋体"/>
                <w:b w:val="0"/>
                <w:bCs w:val="0"/>
                <w:color w:val="000000"/>
                <w:sz w:val="21"/>
                <w:szCs w:val="21"/>
              </w:rPr>
              <w:t>≥20T</w:t>
            </w:r>
          </w:p>
        </w:tc>
        <w:tc>
          <w:tcPr>
            <w:tcW w:w="1388"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rightChars="0"/>
              <w:jc w:val="center"/>
              <w:rPr>
                <w:rFonts w:hint="eastAsia" w:ascii="宋体" w:hAnsi="宋体" w:eastAsia="宋体" w:cs="宋体"/>
                <w:kern w:val="0"/>
                <w:sz w:val="18"/>
                <w:szCs w:val="18"/>
              </w:rPr>
            </w:pPr>
            <w:r>
              <w:rPr>
                <w:rFonts w:hint="default" w:ascii="宋体" w:hAnsi="宋体" w:eastAsia="宋体" w:cs="宋体"/>
                <w:b w:val="0"/>
                <w:bCs w:val="0"/>
                <w:color w:val="000000"/>
                <w:sz w:val="21"/>
                <w:szCs w:val="21"/>
              </w:rPr>
              <w:t>台</w:t>
            </w:r>
          </w:p>
        </w:tc>
        <w:tc>
          <w:tcPr>
            <w:tcW w:w="2195"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rightChars="0"/>
              <w:jc w:val="center"/>
              <w:rPr>
                <w:rFonts w:hint="eastAsia" w:ascii="宋体" w:hAnsi="宋体" w:eastAsia="宋体" w:cs="宋体"/>
                <w:kern w:val="0"/>
                <w:sz w:val="18"/>
                <w:szCs w:val="18"/>
              </w:rPr>
            </w:pPr>
            <w:r>
              <w:rPr>
                <w:rFonts w:hint="eastAsia" w:cs="宋体"/>
                <w:kern w:val="0"/>
                <w:sz w:val="18"/>
                <w:szCs w:val="18"/>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4" w:hRule="atLeast"/>
        </w:trPr>
        <w:tc>
          <w:tcPr>
            <w:tcW w:w="2233"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18"/>
                <w:szCs w:val="18"/>
              </w:rPr>
            </w:pPr>
            <w:r>
              <w:rPr>
                <w:rFonts w:hint="default" w:ascii="宋体" w:hAnsi="宋体" w:eastAsia="宋体" w:cs="宋体"/>
                <w:b w:val="0"/>
                <w:bCs w:val="0"/>
                <w:color w:val="000000"/>
                <w:sz w:val="21"/>
                <w:szCs w:val="21"/>
              </w:rPr>
              <w:t>胶轮压路机</w:t>
            </w:r>
          </w:p>
        </w:tc>
        <w:tc>
          <w:tcPr>
            <w:tcW w:w="2744"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18"/>
                <w:szCs w:val="18"/>
              </w:rPr>
            </w:pPr>
            <w:r>
              <w:rPr>
                <w:rFonts w:hint="default" w:ascii="宋体" w:hAnsi="宋体" w:eastAsia="宋体" w:cs="宋体"/>
                <w:b w:val="0"/>
                <w:bCs w:val="0"/>
                <w:color w:val="000000"/>
                <w:sz w:val="21"/>
                <w:szCs w:val="21"/>
              </w:rPr>
              <w:t>≥20T</w:t>
            </w:r>
          </w:p>
        </w:tc>
        <w:tc>
          <w:tcPr>
            <w:tcW w:w="1388"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rightChars="0"/>
              <w:jc w:val="center"/>
              <w:rPr>
                <w:rFonts w:hint="eastAsia" w:ascii="宋体" w:hAnsi="宋体" w:eastAsia="宋体" w:cs="宋体"/>
                <w:kern w:val="0"/>
                <w:sz w:val="18"/>
                <w:szCs w:val="18"/>
              </w:rPr>
            </w:pPr>
            <w:r>
              <w:rPr>
                <w:rFonts w:hint="default" w:ascii="宋体" w:hAnsi="宋体" w:eastAsia="宋体" w:cs="宋体"/>
                <w:b w:val="0"/>
                <w:bCs w:val="0"/>
                <w:color w:val="000000"/>
                <w:sz w:val="21"/>
                <w:szCs w:val="21"/>
              </w:rPr>
              <w:t>台</w:t>
            </w:r>
          </w:p>
        </w:tc>
        <w:tc>
          <w:tcPr>
            <w:tcW w:w="2195"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rightChars="0"/>
              <w:jc w:val="center"/>
              <w:rPr>
                <w:rFonts w:hint="eastAsia" w:ascii="宋体" w:hAnsi="宋体" w:eastAsia="宋体" w:cs="宋体"/>
                <w:kern w:val="0"/>
                <w:sz w:val="18"/>
                <w:szCs w:val="18"/>
              </w:rPr>
            </w:pPr>
            <w:r>
              <w:rPr>
                <w:rFonts w:hint="eastAsia" w:cs="宋体"/>
                <w:kern w:val="0"/>
                <w:sz w:val="18"/>
                <w:szCs w:val="18"/>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3" w:hRule="atLeast"/>
        </w:trPr>
        <w:tc>
          <w:tcPr>
            <w:tcW w:w="2233"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18"/>
                <w:szCs w:val="18"/>
              </w:rPr>
            </w:pPr>
            <w:r>
              <w:rPr>
                <w:rFonts w:hint="default" w:ascii="宋体" w:hAnsi="宋体" w:eastAsia="宋体" w:cs="宋体"/>
                <w:b w:val="0"/>
                <w:bCs w:val="0"/>
                <w:color w:val="000000"/>
                <w:sz w:val="21"/>
                <w:szCs w:val="21"/>
              </w:rPr>
              <w:t>沥青混凝土摊铺机</w:t>
            </w:r>
          </w:p>
        </w:tc>
        <w:tc>
          <w:tcPr>
            <w:tcW w:w="2744"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18"/>
                <w:szCs w:val="18"/>
              </w:rPr>
            </w:pPr>
            <w:r>
              <w:rPr>
                <w:rFonts w:hint="default" w:ascii="宋体" w:hAnsi="宋体" w:eastAsia="宋体" w:cs="宋体"/>
                <w:b w:val="0"/>
                <w:bCs w:val="0"/>
                <w:color w:val="000000"/>
                <w:sz w:val="21"/>
                <w:szCs w:val="21"/>
              </w:rPr>
              <w:t>摊铺宽度≥7.5 米</w:t>
            </w:r>
          </w:p>
        </w:tc>
        <w:tc>
          <w:tcPr>
            <w:tcW w:w="1388"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rightChars="0"/>
              <w:jc w:val="center"/>
              <w:rPr>
                <w:rFonts w:hint="eastAsia" w:ascii="宋体" w:hAnsi="宋体" w:eastAsia="宋体" w:cs="宋体"/>
                <w:kern w:val="0"/>
                <w:sz w:val="18"/>
                <w:szCs w:val="18"/>
              </w:rPr>
            </w:pPr>
            <w:r>
              <w:rPr>
                <w:rFonts w:hint="default" w:ascii="宋体" w:hAnsi="宋体" w:eastAsia="宋体" w:cs="宋体"/>
                <w:b w:val="0"/>
                <w:bCs w:val="0"/>
                <w:color w:val="000000"/>
                <w:sz w:val="21"/>
                <w:szCs w:val="21"/>
              </w:rPr>
              <w:t>台</w:t>
            </w:r>
          </w:p>
        </w:tc>
        <w:tc>
          <w:tcPr>
            <w:tcW w:w="2195"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rightChars="0"/>
              <w:jc w:val="center"/>
              <w:rPr>
                <w:rFonts w:hint="eastAsia" w:ascii="宋体" w:hAnsi="宋体" w:eastAsia="宋体" w:cs="宋体"/>
                <w:kern w:val="0"/>
                <w:sz w:val="18"/>
                <w:szCs w:val="18"/>
              </w:rPr>
            </w:pPr>
            <w:r>
              <w:rPr>
                <w:rFonts w:hint="eastAsia" w:cs="宋体"/>
                <w:kern w:val="0"/>
                <w:sz w:val="18"/>
                <w:szCs w:val="18"/>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3" w:hRule="atLeast"/>
        </w:trPr>
        <w:tc>
          <w:tcPr>
            <w:tcW w:w="2233"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18"/>
                <w:szCs w:val="18"/>
              </w:rPr>
            </w:pPr>
            <w:r>
              <w:rPr>
                <w:rFonts w:hint="default" w:ascii="宋体" w:hAnsi="宋体" w:eastAsia="宋体" w:cs="宋体"/>
                <w:b w:val="0"/>
                <w:bCs w:val="0"/>
                <w:color w:val="000000"/>
                <w:sz w:val="21"/>
                <w:szCs w:val="21"/>
              </w:rPr>
              <w:t>铣刨机</w:t>
            </w:r>
          </w:p>
        </w:tc>
        <w:tc>
          <w:tcPr>
            <w:tcW w:w="2744"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center"/>
              <w:rPr>
                <w:rFonts w:hint="eastAsia" w:ascii="宋体" w:hAnsi="宋体" w:eastAsia="宋体" w:cs="宋体"/>
                <w:kern w:val="0"/>
                <w:sz w:val="18"/>
                <w:szCs w:val="18"/>
              </w:rPr>
            </w:pPr>
            <w:r>
              <w:rPr>
                <w:rFonts w:hint="default" w:ascii="宋体" w:hAnsi="宋体" w:eastAsia="宋体" w:cs="宋体"/>
                <w:b w:val="0"/>
                <w:bCs w:val="0"/>
                <w:color w:val="000000"/>
                <w:sz w:val="21"/>
                <w:szCs w:val="21"/>
              </w:rPr>
              <w:t xml:space="preserve">最大铣刨宽度 </w:t>
            </w:r>
            <w:r>
              <w:rPr>
                <w:rFonts w:hint="eastAsia" w:ascii="宋体" w:hAnsi="宋体" w:eastAsia="宋体" w:cs="宋体"/>
                <w:b w:val="0"/>
                <w:bCs w:val="0"/>
                <w:color w:val="000000"/>
                <w:sz w:val="21"/>
                <w:szCs w:val="21"/>
                <w:lang w:val="en-US" w:eastAsia="zh-CN"/>
              </w:rPr>
              <w:t>10</w:t>
            </w:r>
            <w:r>
              <w:rPr>
                <w:rFonts w:hint="default" w:ascii="宋体" w:hAnsi="宋体" w:eastAsia="宋体" w:cs="宋体"/>
                <w:b w:val="0"/>
                <w:bCs w:val="0"/>
                <w:color w:val="000000"/>
                <w:sz w:val="21"/>
                <w:szCs w:val="21"/>
              </w:rPr>
              <w:t>00mm</w:t>
            </w:r>
          </w:p>
        </w:tc>
        <w:tc>
          <w:tcPr>
            <w:tcW w:w="1388"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rightChars="0"/>
              <w:jc w:val="center"/>
              <w:rPr>
                <w:rFonts w:hint="eastAsia" w:ascii="宋体" w:hAnsi="宋体" w:eastAsia="宋体" w:cs="宋体"/>
                <w:kern w:val="0"/>
                <w:sz w:val="18"/>
                <w:szCs w:val="18"/>
                <w:lang w:val="en-US" w:eastAsia="zh-CN" w:bidi="ar-SA"/>
              </w:rPr>
            </w:pPr>
            <w:r>
              <w:rPr>
                <w:rFonts w:hint="default" w:ascii="宋体" w:hAnsi="宋体" w:eastAsia="宋体" w:cs="宋体"/>
                <w:b w:val="0"/>
                <w:bCs w:val="0"/>
                <w:color w:val="000000"/>
                <w:sz w:val="21"/>
                <w:szCs w:val="21"/>
              </w:rPr>
              <w:t>台</w:t>
            </w:r>
          </w:p>
        </w:tc>
        <w:tc>
          <w:tcPr>
            <w:tcW w:w="2195"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rightChars="0"/>
              <w:jc w:val="center"/>
              <w:rPr>
                <w:rFonts w:hint="eastAsia" w:ascii="宋体" w:hAnsi="宋体" w:eastAsia="宋体" w:cs="宋体"/>
                <w:kern w:val="0"/>
                <w:sz w:val="18"/>
                <w:szCs w:val="18"/>
                <w:lang w:val="en-US" w:eastAsia="zh-CN" w:bidi="ar-SA"/>
              </w:rPr>
            </w:pPr>
            <w:r>
              <w:rPr>
                <w:rFonts w:hint="eastAsia" w:cs="宋体"/>
                <w:kern w:val="0"/>
                <w:sz w:val="18"/>
                <w:szCs w:val="18"/>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3" w:hRule="atLeast"/>
        </w:trPr>
        <w:tc>
          <w:tcPr>
            <w:tcW w:w="2233"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18"/>
                <w:szCs w:val="18"/>
              </w:rPr>
            </w:pPr>
          </w:p>
        </w:tc>
        <w:tc>
          <w:tcPr>
            <w:tcW w:w="2744"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18"/>
                <w:szCs w:val="18"/>
              </w:rPr>
            </w:pPr>
          </w:p>
        </w:tc>
        <w:tc>
          <w:tcPr>
            <w:tcW w:w="1388"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18"/>
                <w:szCs w:val="18"/>
              </w:rPr>
            </w:pPr>
          </w:p>
        </w:tc>
        <w:tc>
          <w:tcPr>
            <w:tcW w:w="2195"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3" w:hRule="atLeast"/>
        </w:trPr>
        <w:tc>
          <w:tcPr>
            <w:tcW w:w="2233"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18"/>
                <w:szCs w:val="18"/>
              </w:rPr>
            </w:pPr>
          </w:p>
        </w:tc>
        <w:tc>
          <w:tcPr>
            <w:tcW w:w="2744"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18"/>
                <w:szCs w:val="18"/>
              </w:rPr>
            </w:pPr>
          </w:p>
        </w:tc>
        <w:tc>
          <w:tcPr>
            <w:tcW w:w="1388"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18"/>
                <w:szCs w:val="18"/>
              </w:rPr>
            </w:pPr>
          </w:p>
        </w:tc>
        <w:tc>
          <w:tcPr>
            <w:tcW w:w="2195" w:type="dxa"/>
            <w:tcBorders>
              <w:top w:val="single" w:color="000000" w:sz="4" w:space="0"/>
              <w:left w:val="nil"/>
              <w:bottom w:val="single" w:color="000000" w:sz="4" w:space="0"/>
              <w:right w:val="single" w:color="000000" w:sz="4" w:space="0"/>
            </w:tcBorders>
            <w:shd w:val="clear" w:color="auto" w:fill="auto"/>
            <w:vAlign w:val="top"/>
          </w:tcPr>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18"/>
                <w:szCs w:val="18"/>
              </w:rPr>
            </w:pPr>
          </w:p>
        </w:tc>
      </w:tr>
    </w:tbl>
    <w:p>
      <w:pPr>
        <w:keepNext w:val="0"/>
        <w:keepLines w:val="0"/>
        <w:pageBreakBefore w:val="0"/>
        <w:widowControl w:val="0"/>
        <w:suppressLineNumbers w:val="0"/>
        <w:kinsoku/>
        <w:overflowPunct/>
        <w:autoSpaceDE w:val="0"/>
        <w:autoSpaceDN w:val="0"/>
        <w:bidi w:val="0"/>
        <w:spacing w:beforeAutospacing="0" w:afterAutospacing="0" w:line="360" w:lineRule="auto"/>
        <w:ind w:left="0" w:leftChars="0" w:right="0" w:hanging="180"/>
        <w:jc w:val="left"/>
        <w:rPr>
          <w:rFonts w:hint="eastAsia" w:ascii="宋体" w:hAnsi="宋体" w:eastAsia="宋体" w:cs="宋体"/>
        </w:rPr>
      </w:pPr>
      <w:r>
        <w:rPr>
          <w:rFonts w:hint="eastAsia" w:ascii="宋体" w:hAnsi="宋体" w:eastAsia="宋体" w:cs="宋体"/>
          <w:kern w:val="0"/>
          <w:position w:val="8"/>
          <w:sz w:val="9"/>
          <w:szCs w:val="9"/>
          <w:lang w:val="en-US" w:eastAsia="zh-CN" w:bidi="ar"/>
        </w:rPr>
        <w:t>①</w:t>
      </w:r>
      <w:r>
        <w:rPr>
          <w:rFonts w:ascii="宋体" w:hAnsi="宋体" w:eastAsia="宋体" w:cs="宋体"/>
          <w:b w:val="0"/>
          <w:bCs w:val="0"/>
          <w:color w:val="000000"/>
          <w:sz w:val="21"/>
          <w:szCs w:val="21"/>
        </w:rPr>
        <w:t>注：（本表上述机械设备和试验检测设备要求不作为评标过程中资格审查的依据，仅作为后期双方合同谈判的依据，投标人无需在投标文件中提供）。招标人</w:t>
      </w:r>
      <w:r>
        <w:rPr>
          <w:rFonts w:hint="eastAsia" w:ascii="宋体" w:hAnsi="宋体" w:cs="宋体"/>
          <w:b w:val="0"/>
          <w:bCs w:val="0"/>
          <w:color w:val="000000"/>
          <w:sz w:val="21"/>
          <w:szCs w:val="21"/>
          <w:lang w:val="en-US" w:eastAsia="zh-CN"/>
        </w:rPr>
        <w:t>若</w:t>
      </w:r>
      <w:r>
        <w:rPr>
          <w:rFonts w:ascii="宋体" w:hAnsi="宋体" w:eastAsia="宋体" w:cs="宋体"/>
          <w:b w:val="0"/>
          <w:bCs w:val="0"/>
          <w:color w:val="000000"/>
          <w:sz w:val="21"/>
          <w:szCs w:val="21"/>
        </w:rPr>
        <w:t>在合同谈判阶段要求中标人按照本表的最低要求填报为本标段配备的主要设备，在经招标人审批后作为投入本标段的主要设备且不允许更换。</w:t>
      </w:r>
    </w:p>
    <w:p>
      <w:pPr>
        <w:pageBreakBefore w:val="0"/>
        <w:kinsoku/>
        <w:overflowPunct/>
        <w:bidi w:val="0"/>
        <w:spacing w:before="0" w:beforeLines="0" w:beforeAutospacing="0" w:after="0" w:afterLines="0" w:afterAutospacing="0" w:line="360" w:lineRule="auto"/>
        <w:ind w:left="0" w:leftChars="0" w:right="0"/>
        <w:rPr>
          <w:rFonts w:hint="eastAsia" w:ascii="宋体" w:hAnsi="宋体" w:eastAsia="宋体" w:cs="宋体"/>
          <w:kern w:val="2"/>
          <w:sz w:val="18"/>
          <w:szCs w:val="18"/>
        </w:rPr>
      </w:pPr>
    </w:p>
    <w:p>
      <w:pPr>
        <w:pStyle w:val="24"/>
        <w:rPr>
          <w:rFonts w:hint="eastAsia" w:ascii="宋体" w:hAnsi="宋体" w:eastAsia="宋体" w:cs="宋体"/>
          <w:kern w:val="2"/>
          <w:sz w:val="18"/>
          <w:szCs w:val="18"/>
        </w:rPr>
      </w:pPr>
    </w:p>
    <w:p>
      <w:pPr>
        <w:rPr>
          <w:rFonts w:hint="eastAsia" w:ascii="宋体" w:hAnsi="宋体" w:eastAsia="宋体" w:cs="宋体"/>
          <w:kern w:val="2"/>
          <w:sz w:val="18"/>
          <w:szCs w:val="18"/>
        </w:rPr>
      </w:pPr>
    </w:p>
    <w:p>
      <w:pPr>
        <w:pStyle w:val="3"/>
        <w:numPr>
          <w:ilvl w:val="1"/>
          <w:numId w:val="0"/>
        </w:numPr>
        <w:rPr>
          <w:rFonts w:hint="eastAsia"/>
        </w:rPr>
      </w:pPr>
    </w:p>
    <w:p>
      <w:pPr>
        <w:pStyle w:val="3"/>
        <w:numPr>
          <w:ilvl w:val="1"/>
          <w:numId w:val="0"/>
        </w:numPr>
        <w:rPr>
          <w:rFonts w:hint="eastAsia"/>
        </w:rPr>
      </w:pPr>
    </w:p>
    <w:p>
      <w:pPr>
        <w:rPr>
          <w:rFonts w:hint="eastAsia" w:ascii="宋体" w:hAnsi="宋体" w:eastAsia="宋体" w:cs="宋体"/>
          <w:kern w:val="2"/>
          <w:sz w:val="18"/>
          <w:szCs w:val="18"/>
        </w:rPr>
      </w:pPr>
    </w:p>
    <w:p>
      <w:pPr>
        <w:pStyle w:val="24"/>
        <w:rPr>
          <w:rFonts w:hint="eastAsia"/>
        </w:rPr>
        <w:sectPr>
          <w:pgSz w:w="11910" w:h="16850"/>
          <w:pgMar w:top="1480" w:right="1200" w:bottom="1040" w:left="1220" w:header="876" w:footer="853" w:gutter="0"/>
          <w:pgNumType w:fmt="decimal"/>
          <w:cols w:space="720" w:num="1"/>
          <w:docGrid w:type="lines" w:linePitch="312" w:charSpace="0"/>
        </w:sect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lang w:val="en-US" w:eastAsia="zh-CN" w:bidi="ar"/>
        </w:rPr>
      </w:pPr>
      <w:bookmarkStart w:id="153" w:name="_bookmark275"/>
      <w:bookmarkEnd w:id="153"/>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lang w:val="en-US" w:eastAsia="zh-CN" w:bidi="ar"/>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lang w:val="en-US" w:eastAsia="zh-CN" w:bidi="ar"/>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32"/>
          <w:szCs w:val="32"/>
        </w:rPr>
      </w:pPr>
      <w:r>
        <w:rPr>
          <w:rFonts w:hint="eastAsia" w:ascii="宋体" w:hAnsi="宋体" w:eastAsia="宋体" w:cs="宋体"/>
          <w:kern w:val="0"/>
          <w:sz w:val="24"/>
          <w:szCs w:val="24"/>
          <w:lang w:val="en-US" w:eastAsia="zh-CN" w:bidi="ar"/>
        </w:rPr>
        <w:t>附件六项目经理委任书</w:t>
      </w:r>
    </w:p>
    <w:p>
      <w:pPr>
        <w:keepNext w:val="0"/>
        <w:keepLines w:val="0"/>
        <w:pageBreakBefore w:val="0"/>
        <w:widowControl w:val="0"/>
        <w:suppressLineNumbers w:val="0"/>
        <w:kinsoku/>
        <w:overflowPunct/>
        <w:autoSpaceDE w:val="0"/>
        <w:autoSpaceDN w:val="0"/>
        <w:bidi w:val="0"/>
        <w:spacing w:beforeAutospacing="0" w:afterAutospacing="0" w:line="360" w:lineRule="auto"/>
        <w:ind w:left="0" w:leftChars="0" w:right="0"/>
        <w:jc w:val="center"/>
        <w:rPr>
          <w:rFonts w:hint="eastAsia" w:ascii="宋体" w:hAnsi="宋体" w:eastAsia="宋体" w:cs="宋体"/>
          <w:kern w:val="2"/>
          <w:sz w:val="28"/>
          <w:szCs w:val="28"/>
        </w:rPr>
      </w:pPr>
      <w:r>
        <w:rPr>
          <w:rFonts w:hint="eastAsia" w:ascii="宋体" w:hAnsi="宋体" w:eastAsia="宋体" w:cs="宋体"/>
          <w:kern w:val="0"/>
          <w:sz w:val="28"/>
          <w:szCs w:val="28"/>
          <w:u w:val="single"/>
          <w:lang w:val="en-US" w:eastAsia="zh-CN" w:bidi="ar"/>
        </w:rPr>
        <w:t>（承包人全称）</w:t>
      </w:r>
    </w:p>
    <w:p>
      <w:pPr>
        <w:pageBreakBefore w:val="0"/>
        <w:kinsoku/>
        <w:overflowPunct/>
        <w:bidi w:val="0"/>
        <w:spacing w:before="0" w:beforeLines="0" w:beforeAutospacing="0" w:after="0" w:afterLines="0" w:afterAutospacing="0" w:line="360" w:lineRule="auto"/>
        <w:ind w:left="0" w:leftChars="0" w:right="0"/>
        <w:rPr>
          <w:rFonts w:hint="eastAsia" w:ascii="宋体" w:hAnsi="宋体" w:eastAsia="宋体" w:cs="宋体"/>
          <w:kern w:val="2"/>
          <w:sz w:val="28"/>
          <w:szCs w:val="28"/>
        </w:rPr>
        <w:sectPr>
          <w:type w:val="continuous"/>
          <w:pgSz w:w="11910" w:h="16850"/>
          <w:pgMar w:top="1600" w:right="1200" w:bottom="280" w:left="1220" w:header="720" w:footer="720" w:gutter="0"/>
          <w:pgNumType w:fmt="decimal"/>
          <w:cols w:space="720" w:num="1"/>
          <w:docGrid w:type="lines" w:linePitch="312" w:charSpace="0"/>
        </w:sectPr>
      </w:pPr>
    </w:p>
    <w:p>
      <w:pPr>
        <w:keepNext w:val="0"/>
        <w:keepLines w:val="0"/>
        <w:pageBreakBefore w:val="0"/>
        <w:widowControl w:val="0"/>
        <w:suppressLineNumbers w:val="0"/>
        <w:kinsoku/>
        <w:overflowPunct/>
        <w:autoSpaceDE w:val="0"/>
        <w:autoSpaceDN w:val="0"/>
        <w:bidi w:val="0"/>
        <w:spacing w:beforeAutospacing="0" w:afterAutospacing="0" w:line="360" w:lineRule="auto"/>
        <w:ind w:left="0" w:leftChars="0" w:right="0"/>
        <w:jc w:val="center"/>
        <w:rPr>
          <w:rFonts w:hint="eastAsia" w:ascii="宋体" w:hAnsi="宋体" w:eastAsia="宋体" w:cs="宋体"/>
          <w:kern w:val="2"/>
          <w:sz w:val="28"/>
          <w:szCs w:val="28"/>
        </w:rPr>
      </w:pPr>
      <w:r>
        <w:rPr>
          <w:rFonts w:hint="eastAsia" w:ascii="宋体" w:hAnsi="宋体" w:eastAsia="宋体" w:cs="宋体"/>
          <w:kern w:val="0"/>
          <w:sz w:val="28"/>
          <w:szCs w:val="28"/>
          <w:u w:val="single"/>
          <w:lang w:val="en-US" w:eastAsia="zh-CN" w:bidi="ar"/>
        </w:rPr>
        <w:t>（合同工程名称）</w:t>
      </w:r>
      <w:r>
        <w:rPr>
          <w:rFonts w:hint="eastAsia" w:ascii="宋体" w:hAnsi="宋体" w:eastAsia="宋体" w:cs="宋体"/>
          <w:kern w:val="0"/>
          <w:sz w:val="28"/>
          <w:szCs w:val="28"/>
          <w:lang w:val="en-US" w:eastAsia="zh-CN" w:bidi="ar"/>
        </w:rPr>
        <w:t>项目经理委任书</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r>
        <w:rPr>
          <w:rFonts w:hint="eastAsia" w:ascii="宋体" w:hAnsi="宋体" w:eastAsia="宋体" w:cs="宋体"/>
          <w:spacing w:val="-61"/>
          <w:kern w:val="0"/>
          <w:sz w:val="24"/>
          <w:szCs w:val="24"/>
          <w:lang w:val="en-US" w:eastAsia="zh-CN" w:bidi="ar"/>
        </w:rPr>
        <w:t>致：</w:t>
      </w:r>
      <w:r>
        <w:rPr>
          <w:rFonts w:hint="eastAsia" w:ascii="宋体" w:hAnsi="宋体" w:eastAsia="宋体" w:cs="宋体"/>
          <w:kern w:val="0"/>
          <w:sz w:val="24"/>
          <w:szCs w:val="24"/>
          <w:u w:val="single"/>
          <w:lang w:val="en-US" w:eastAsia="zh-CN" w:bidi="ar"/>
        </w:rPr>
        <w:t>（发包人全称）</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616"/>
        <w:jc w:val="both"/>
        <w:rPr>
          <w:rFonts w:hint="eastAsia" w:ascii="宋体" w:hAnsi="宋体" w:eastAsia="宋体" w:cs="宋体"/>
          <w:kern w:val="0"/>
          <w:sz w:val="24"/>
          <w:szCs w:val="24"/>
        </w:rPr>
      </w:pPr>
      <w:r>
        <w:rPr>
          <w:rFonts w:hint="eastAsia" w:ascii="宋体" w:hAnsi="宋体" w:eastAsia="宋体" w:cs="宋体"/>
          <w:kern w:val="0"/>
          <w:sz w:val="24"/>
          <w:szCs w:val="24"/>
          <w:u w:val="single"/>
          <w:lang w:val="en-US" w:eastAsia="zh-CN" w:bidi="ar"/>
        </w:rPr>
        <w:t>（承包人全称）</w:t>
      </w:r>
      <w:r>
        <w:rPr>
          <w:rFonts w:hint="eastAsia" w:ascii="宋体" w:hAnsi="宋体" w:eastAsia="宋体" w:cs="宋体"/>
          <w:spacing w:val="-4"/>
          <w:kern w:val="0"/>
          <w:sz w:val="24"/>
          <w:szCs w:val="24"/>
          <w:lang w:val="en-US" w:eastAsia="zh-CN" w:bidi="ar"/>
        </w:rPr>
        <w:t>法定代表人</w:t>
      </w:r>
      <w:r>
        <w:rPr>
          <w:rFonts w:hint="eastAsia" w:ascii="宋体" w:hAnsi="宋体" w:eastAsia="宋体" w:cs="宋体"/>
          <w:kern w:val="0"/>
          <w:sz w:val="24"/>
          <w:szCs w:val="24"/>
          <w:u w:val="single"/>
          <w:lang w:val="en-US" w:eastAsia="zh-CN" w:bidi="ar"/>
        </w:rPr>
        <w:t>（</w:t>
      </w:r>
      <w:r>
        <w:rPr>
          <w:rFonts w:hint="eastAsia" w:ascii="宋体" w:hAnsi="宋体" w:eastAsia="宋体" w:cs="宋体"/>
          <w:spacing w:val="-4"/>
          <w:kern w:val="0"/>
          <w:sz w:val="24"/>
          <w:szCs w:val="24"/>
          <w:u w:val="single"/>
          <w:lang w:val="en-US" w:eastAsia="zh-CN" w:bidi="ar"/>
        </w:rPr>
        <w:t>职务、姓名</w:t>
      </w:r>
      <w:r>
        <w:rPr>
          <w:rFonts w:hint="eastAsia" w:ascii="宋体" w:hAnsi="宋体" w:eastAsia="宋体" w:cs="宋体"/>
          <w:kern w:val="0"/>
          <w:sz w:val="24"/>
          <w:szCs w:val="24"/>
          <w:u w:val="single"/>
          <w:lang w:val="en-US" w:eastAsia="zh-CN" w:bidi="ar"/>
        </w:rPr>
        <w:t>）</w:t>
      </w:r>
      <w:r>
        <w:rPr>
          <w:rFonts w:hint="eastAsia" w:ascii="宋体" w:hAnsi="宋体" w:eastAsia="宋体" w:cs="宋体"/>
          <w:spacing w:val="-4"/>
          <w:kern w:val="0"/>
          <w:sz w:val="24"/>
          <w:szCs w:val="24"/>
          <w:lang w:val="en-US" w:eastAsia="zh-CN" w:bidi="ar"/>
        </w:rPr>
        <w:t>代表本单位委任</w:t>
      </w:r>
      <w:r>
        <w:rPr>
          <w:rFonts w:hint="eastAsia" w:ascii="宋体" w:hAnsi="宋体" w:eastAsia="宋体" w:cs="宋体"/>
          <w:kern w:val="0"/>
          <w:sz w:val="24"/>
          <w:szCs w:val="24"/>
          <w:u w:val="single"/>
          <w:lang w:val="en-US" w:eastAsia="zh-CN" w:bidi="ar"/>
        </w:rPr>
        <w:t>（</w:t>
      </w:r>
      <w:r>
        <w:rPr>
          <w:rFonts w:hint="eastAsia" w:ascii="宋体" w:hAnsi="宋体" w:eastAsia="宋体" w:cs="宋体"/>
          <w:spacing w:val="-5"/>
          <w:kern w:val="0"/>
          <w:sz w:val="24"/>
          <w:szCs w:val="24"/>
          <w:u w:val="single"/>
          <w:lang w:val="en-US" w:eastAsia="zh-CN" w:bidi="ar"/>
        </w:rPr>
        <w:t>职务、姓名）</w:t>
      </w:r>
      <w:r>
        <w:rPr>
          <w:rFonts w:hint="eastAsia" w:ascii="宋体" w:hAnsi="宋体" w:eastAsia="宋体" w:cs="宋体"/>
          <w:spacing w:val="-15"/>
          <w:kern w:val="0"/>
          <w:sz w:val="24"/>
          <w:szCs w:val="24"/>
          <w:lang w:val="en-US" w:eastAsia="zh-CN" w:bidi="ar"/>
        </w:rPr>
        <w:t>为</w:t>
      </w:r>
      <w:r>
        <w:rPr>
          <w:rFonts w:hint="eastAsia" w:ascii="宋体" w:hAnsi="宋体" w:eastAsia="宋体" w:cs="宋体"/>
          <w:kern w:val="0"/>
          <w:sz w:val="24"/>
          <w:szCs w:val="24"/>
          <w:u w:val="single"/>
          <w:lang w:val="en-US" w:eastAsia="zh-CN" w:bidi="ar"/>
        </w:rPr>
        <w:t>（合同工程名称</w:t>
      </w:r>
      <w:r>
        <w:rPr>
          <w:rFonts w:hint="eastAsia" w:ascii="宋体" w:hAnsi="宋体" w:eastAsia="宋体" w:cs="宋体"/>
          <w:spacing w:val="-15"/>
          <w:kern w:val="0"/>
          <w:sz w:val="24"/>
          <w:szCs w:val="24"/>
          <w:u w:val="single"/>
          <w:lang w:val="en-US" w:eastAsia="zh-CN" w:bidi="ar"/>
        </w:rPr>
        <w:t>）</w:t>
      </w:r>
      <w:r>
        <w:rPr>
          <w:rFonts w:hint="eastAsia" w:ascii="宋体" w:hAnsi="宋体" w:eastAsia="宋体" w:cs="宋体"/>
          <w:spacing w:val="-5"/>
          <w:kern w:val="0"/>
          <w:sz w:val="24"/>
          <w:szCs w:val="24"/>
          <w:lang w:val="en-US" w:eastAsia="zh-CN" w:bidi="ar"/>
        </w:rPr>
        <w:t>的项目经理。凡本合同执行中的有关技术、工程进度、现场管理、质量检验、结算与支付等方面工作，由</w:t>
      </w:r>
      <w:r>
        <w:rPr>
          <w:rFonts w:hint="eastAsia" w:ascii="宋体" w:hAnsi="宋体" w:eastAsia="宋体" w:cs="宋体"/>
          <w:spacing w:val="-5"/>
          <w:kern w:val="0"/>
          <w:sz w:val="24"/>
          <w:szCs w:val="24"/>
          <w:u w:val="single"/>
          <w:lang w:val="en-US" w:eastAsia="zh-CN" w:bidi="ar"/>
        </w:rPr>
        <w:t>（姓名）</w:t>
      </w:r>
      <w:r>
        <w:rPr>
          <w:rFonts w:hint="eastAsia" w:ascii="宋体" w:hAnsi="宋体" w:eastAsia="宋体" w:cs="宋体"/>
          <w:spacing w:val="-5"/>
          <w:kern w:val="0"/>
          <w:sz w:val="24"/>
          <w:szCs w:val="24"/>
          <w:lang w:val="en-US" w:eastAsia="zh-CN" w:bidi="ar"/>
        </w:rPr>
        <w:t>代表本单位全面负责。</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6224" w:leftChars="2964" w:right="0" w:firstLine="76" w:firstLineChars="32"/>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承包人：</w:t>
      </w:r>
      <w:r>
        <w:rPr>
          <w:rFonts w:hint="eastAsia" w:ascii="宋体" w:hAnsi="宋体" w:eastAsia="宋体" w:cs="宋体"/>
          <w:kern w:val="0"/>
          <w:sz w:val="24"/>
          <w:szCs w:val="24"/>
          <w:u w:val="single"/>
          <w:lang w:val="en-US" w:eastAsia="zh-CN" w:bidi="ar"/>
        </w:rPr>
        <w:tab/>
      </w:r>
      <w:r>
        <w:rPr>
          <w:rFonts w:hint="eastAsia" w:ascii="宋体" w:hAnsi="宋体" w:eastAsia="宋体" w:cs="宋体"/>
          <w:kern w:val="0"/>
          <w:sz w:val="24"/>
          <w:szCs w:val="24"/>
          <w:u w:val="single"/>
          <w:lang w:val="en-US" w:eastAsia="zh-CN" w:bidi="ar"/>
        </w:rPr>
        <w:tab/>
      </w:r>
      <w:r>
        <w:rPr>
          <w:rFonts w:hint="eastAsia" w:ascii="宋体" w:hAnsi="宋体" w:eastAsia="宋体" w:cs="宋体"/>
          <w:kern w:val="0"/>
          <w:sz w:val="24"/>
          <w:szCs w:val="24"/>
          <w:lang w:val="en-US" w:eastAsia="zh-CN" w:bidi="ar"/>
        </w:rPr>
        <w:t>（盖单位章）法定代表人：</w:t>
      </w:r>
      <w:r>
        <w:rPr>
          <w:rFonts w:hint="eastAsia" w:ascii="宋体" w:hAnsi="宋体" w:eastAsia="宋体" w:cs="宋体"/>
          <w:kern w:val="0"/>
          <w:sz w:val="24"/>
          <w:szCs w:val="24"/>
          <w:u w:val="single"/>
          <w:lang w:val="en-US" w:eastAsia="zh-CN" w:bidi="ar"/>
        </w:rPr>
        <w:tab/>
      </w:r>
      <w:r>
        <w:rPr>
          <w:rFonts w:hint="eastAsia" w:ascii="宋体" w:hAnsi="宋体" w:eastAsia="宋体" w:cs="宋体"/>
          <w:kern w:val="0"/>
          <w:sz w:val="24"/>
          <w:szCs w:val="24"/>
          <w:u w:val="single"/>
          <w:lang w:val="en-US" w:eastAsia="zh-CN" w:bidi="ar"/>
        </w:rPr>
        <w:t>（职务）</w:t>
      </w:r>
      <w:r>
        <w:rPr>
          <w:rFonts w:hint="eastAsia" w:ascii="宋体" w:hAnsi="宋体" w:eastAsia="宋体" w:cs="宋体"/>
          <w:kern w:val="0"/>
          <w:sz w:val="24"/>
          <w:szCs w:val="24"/>
          <w:u w:val="single"/>
          <w:lang w:val="en-US" w:eastAsia="zh-CN" w:bidi="ar"/>
        </w:rPr>
        <w:tab/>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right"/>
        <w:rPr>
          <w:rFonts w:hint="eastAsia" w:ascii="宋体" w:hAnsi="宋体" w:eastAsia="宋体" w:cs="宋体"/>
          <w:kern w:val="0"/>
          <w:sz w:val="24"/>
          <w:szCs w:val="24"/>
        </w:rPr>
      </w:pPr>
      <w:r>
        <w:rPr>
          <w:rFonts w:hint="eastAsia" w:cs="宋体"/>
          <w:kern w:val="0"/>
          <w:sz w:val="24"/>
          <w:szCs w:val="24"/>
          <w:u w:val="single"/>
          <w:lang w:val="en-US" w:eastAsia="zh-CN" w:bidi="ar"/>
        </w:rPr>
        <w:t xml:space="preserve">  </w:t>
      </w:r>
      <w:r>
        <w:rPr>
          <w:rFonts w:hint="eastAsia" w:ascii="宋体" w:hAnsi="宋体" w:eastAsia="宋体" w:cs="宋体"/>
          <w:kern w:val="0"/>
          <w:sz w:val="24"/>
          <w:szCs w:val="24"/>
          <w:u w:val="single"/>
          <w:lang w:val="en-US" w:eastAsia="zh-CN" w:bidi="ar"/>
        </w:rPr>
        <w:tab/>
      </w:r>
      <w:r>
        <w:rPr>
          <w:rFonts w:hint="eastAsia" w:ascii="宋体" w:hAnsi="宋体" w:eastAsia="宋体" w:cs="宋体"/>
          <w:kern w:val="0"/>
          <w:sz w:val="24"/>
          <w:szCs w:val="24"/>
          <w:u w:val="single"/>
          <w:lang w:val="en-US" w:eastAsia="zh-CN" w:bidi="ar"/>
        </w:rPr>
        <w:t>（姓名）</w:t>
      </w:r>
      <w:r>
        <w:rPr>
          <w:rFonts w:hint="eastAsia" w:ascii="宋体" w:hAnsi="宋体" w:eastAsia="宋体" w:cs="宋体"/>
          <w:kern w:val="0"/>
          <w:sz w:val="24"/>
          <w:szCs w:val="24"/>
          <w:u w:val="single"/>
          <w:lang w:val="en-US" w:eastAsia="zh-CN" w:bidi="ar"/>
        </w:rPr>
        <w:tab/>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right"/>
        <w:rPr>
          <w:rFonts w:hint="eastAsia" w:ascii="宋体" w:hAnsi="宋体" w:eastAsia="宋体" w:cs="宋体"/>
          <w:kern w:val="0"/>
          <w:sz w:val="24"/>
          <w:szCs w:val="24"/>
        </w:rPr>
      </w:pPr>
      <w:r>
        <w:rPr>
          <w:rFonts w:hint="eastAsia" w:ascii="宋体" w:hAnsi="宋体" w:eastAsia="宋体" w:cs="宋体"/>
          <w:kern w:val="0"/>
          <w:sz w:val="24"/>
          <w:szCs w:val="24"/>
          <w:u w:val="single"/>
          <w:lang w:val="en-US" w:eastAsia="zh-CN" w:bidi="ar"/>
        </w:rPr>
        <w:tab/>
      </w:r>
      <w:r>
        <w:rPr>
          <w:rFonts w:hint="eastAsia" w:ascii="宋体" w:hAnsi="宋体" w:eastAsia="宋体" w:cs="宋体"/>
          <w:kern w:val="0"/>
          <w:sz w:val="24"/>
          <w:szCs w:val="24"/>
          <w:u w:val="single"/>
          <w:lang w:val="en-US" w:eastAsia="zh-CN" w:bidi="ar"/>
        </w:rPr>
        <w:t>（签字）</w:t>
      </w:r>
      <w:r>
        <w:rPr>
          <w:rFonts w:hint="eastAsia" w:ascii="宋体" w:hAnsi="宋体" w:eastAsia="宋体" w:cs="宋体"/>
          <w:kern w:val="0"/>
          <w:sz w:val="24"/>
          <w:szCs w:val="24"/>
          <w:u w:val="single"/>
          <w:lang w:val="en-US" w:eastAsia="zh-CN" w:bidi="ar"/>
        </w:rPr>
        <w:tab/>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right"/>
        <w:rPr>
          <w:rFonts w:hint="eastAsia" w:ascii="宋体" w:hAnsi="宋体" w:eastAsia="宋体" w:cs="宋体"/>
          <w:kern w:val="0"/>
          <w:sz w:val="24"/>
          <w:szCs w:val="24"/>
        </w:rPr>
      </w:pPr>
      <w:r>
        <w:rPr>
          <w:rFonts w:hint="eastAsia" w:ascii="宋体" w:hAnsi="宋体" w:eastAsia="宋体" w:cs="宋体"/>
          <w:kern w:val="0"/>
          <w:sz w:val="24"/>
          <w:szCs w:val="24"/>
          <w:u w:val="single"/>
          <w:lang w:val="en-US" w:eastAsia="zh-CN" w:bidi="ar"/>
        </w:rPr>
        <w:tab/>
      </w:r>
      <w:r>
        <w:rPr>
          <w:rFonts w:hint="eastAsia" w:ascii="宋体" w:hAnsi="宋体" w:eastAsia="宋体" w:cs="宋体"/>
          <w:kern w:val="0"/>
          <w:sz w:val="24"/>
          <w:szCs w:val="24"/>
          <w:lang w:val="en-US" w:eastAsia="zh-CN" w:bidi="ar"/>
        </w:rPr>
        <w:t>年</w:t>
      </w:r>
      <w:r>
        <w:rPr>
          <w:rFonts w:hint="eastAsia" w:ascii="宋体" w:hAnsi="宋体" w:eastAsia="宋体" w:cs="宋体"/>
          <w:kern w:val="0"/>
          <w:sz w:val="24"/>
          <w:szCs w:val="24"/>
          <w:u w:val="single"/>
          <w:lang w:val="en-US" w:eastAsia="zh-CN" w:bidi="ar"/>
        </w:rPr>
        <w:tab/>
      </w:r>
      <w:r>
        <w:rPr>
          <w:rFonts w:hint="eastAsia" w:ascii="宋体" w:hAnsi="宋体" w:eastAsia="宋体" w:cs="宋体"/>
          <w:kern w:val="0"/>
          <w:sz w:val="24"/>
          <w:szCs w:val="24"/>
          <w:lang w:val="en-US" w:eastAsia="zh-CN" w:bidi="ar"/>
        </w:rPr>
        <w:t>月</w:t>
      </w:r>
      <w:r>
        <w:rPr>
          <w:rFonts w:hint="eastAsia" w:ascii="宋体" w:hAnsi="宋体" w:eastAsia="宋体" w:cs="宋体"/>
          <w:kern w:val="0"/>
          <w:sz w:val="24"/>
          <w:szCs w:val="24"/>
          <w:u w:val="single"/>
          <w:lang w:val="en-US" w:eastAsia="zh-CN" w:bidi="ar"/>
        </w:rPr>
        <w:tab/>
      </w:r>
      <w:r>
        <w:rPr>
          <w:rFonts w:hint="eastAsia" w:ascii="宋体" w:hAnsi="宋体" w:eastAsia="宋体" w:cs="宋体"/>
          <w:kern w:val="0"/>
          <w:sz w:val="24"/>
          <w:szCs w:val="24"/>
          <w:lang w:val="en-US" w:eastAsia="zh-CN" w:bidi="ar"/>
        </w:rPr>
        <w:t>日</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抄送：</w:t>
      </w:r>
      <w:r>
        <w:rPr>
          <w:rFonts w:hint="eastAsia" w:ascii="宋体" w:hAnsi="宋体" w:eastAsia="宋体" w:cs="宋体"/>
          <w:kern w:val="0"/>
          <w:sz w:val="24"/>
          <w:szCs w:val="24"/>
          <w:u w:val="single"/>
          <w:lang w:val="en-US" w:eastAsia="zh-CN" w:bidi="ar"/>
        </w:rPr>
        <w:t>（监理人）</w:t>
      </w:r>
      <w:r>
        <w:rPr>
          <w:rFonts w:hint="eastAsia" w:ascii="宋体" w:hAnsi="宋体" w:eastAsia="宋体" w:cs="宋体"/>
          <w:kern w:val="0"/>
          <w:sz w:val="24"/>
          <w:szCs w:val="24"/>
          <w:u w:val="single"/>
          <w:lang w:val="en-US" w:eastAsia="zh-CN" w:bidi="ar"/>
        </w:rPr>
        <w:tab/>
      </w:r>
    </w:p>
    <w:p>
      <w:pPr>
        <w:pageBreakBefore w:val="0"/>
        <w:kinsoku/>
        <w:overflowPunct/>
        <w:bidi w:val="0"/>
        <w:spacing w:before="0" w:beforeLines="0" w:beforeAutospacing="0" w:after="0" w:afterLines="0" w:afterAutospacing="0" w:line="360" w:lineRule="auto"/>
        <w:ind w:left="0" w:leftChars="0" w:right="0"/>
        <w:rPr>
          <w:rFonts w:hint="eastAsia" w:ascii="宋体" w:hAnsi="宋体" w:eastAsia="宋体" w:cs="宋体"/>
          <w:kern w:val="2"/>
          <w:sz w:val="22"/>
          <w:szCs w:val="22"/>
        </w:rPr>
        <w:sectPr>
          <w:type w:val="continuous"/>
          <w:pgSz w:w="11910" w:h="16850"/>
          <w:pgMar w:top="1600" w:right="1200" w:bottom="280" w:left="1220" w:header="720" w:footer="720" w:gutter="0"/>
          <w:pgNumType w:fmt="decimal"/>
          <w:cols w:space="720" w:num="1"/>
          <w:docGrid w:type="lines" w:linePitch="312" w:charSpace="0"/>
        </w:sect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附件七履约保证金格式</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如采用银行保函，格式如下。</w:t>
      </w:r>
    </w:p>
    <w:p>
      <w:pPr>
        <w:keepNext w:val="0"/>
        <w:keepLines w:val="0"/>
        <w:pageBreakBefore w:val="0"/>
        <w:widowControl w:val="0"/>
        <w:suppressLineNumbers w:val="0"/>
        <w:kinsoku/>
        <w:overflowPunct/>
        <w:autoSpaceDE w:val="0"/>
        <w:autoSpaceDN w:val="0"/>
        <w:bidi w:val="0"/>
        <w:spacing w:beforeAutospacing="0" w:afterAutospacing="0" w:line="360" w:lineRule="auto"/>
        <w:ind w:left="0" w:leftChars="0" w:right="0"/>
        <w:jc w:val="center"/>
        <w:rPr>
          <w:rFonts w:hint="eastAsia" w:ascii="宋体" w:hAnsi="宋体" w:eastAsia="宋体" w:cs="宋体"/>
          <w:kern w:val="2"/>
          <w:sz w:val="28"/>
          <w:szCs w:val="28"/>
        </w:rPr>
      </w:pPr>
      <w:r>
        <w:rPr>
          <w:rFonts w:hint="eastAsia" w:ascii="宋体" w:hAnsi="宋体" w:eastAsia="宋体" w:cs="宋体"/>
          <w:kern w:val="0"/>
          <w:sz w:val="28"/>
          <w:szCs w:val="28"/>
          <w:lang w:val="en-US" w:eastAsia="zh-CN" w:bidi="ar"/>
        </w:rPr>
        <w:t>履约保证金</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r>
        <w:rPr>
          <w:rFonts w:hint="eastAsia" w:ascii="宋体" w:hAnsi="宋体" w:eastAsia="宋体" w:cs="宋体"/>
          <w:kern w:val="0"/>
          <w:sz w:val="24"/>
          <w:szCs w:val="24"/>
          <w:u w:val="single"/>
          <w:lang w:val="en-US" w:eastAsia="zh-CN" w:bidi="ar"/>
        </w:rPr>
        <w:tab/>
      </w:r>
      <w:r>
        <w:rPr>
          <w:rFonts w:hint="eastAsia" w:ascii="宋体" w:hAnsi="宋体" w:eastAsia="宋体" w:cs="宋体"/>
          <w:kern w:val="0"/>
          <w:sz w:val="24"/>
          <w:szCs w:val="24"/>
          <w:lang w:val="en-US" w:eastAsia="zh-CN" w:bidi="ar"/>
        </w:rPr>
        <w:t>（发包人名称</w:t>
      </w:r>
      <w:r>
        <w:rPr>
          <w:rFonts w:hint="eastAsia" w:ascii="宋体" w:hAnsi="宋体" w:eastAsia="宋体" w:cs="宋体"/>
          <w:spacing w:val="-120"/>
          <w:kern w:val="0"/>
          <w:sz w:val="24"/>
          <w:szCs w:val="24"/>
          <w:lang w:val="en-US" w:eastAsia="zh-CN" w:bidi="ar"/>
        </w:rPr>
        <w:t>）</w:t>
      </w:r>
      <w:r>
        <w:rPr>
          <w:rFonts w:hint="eastAsia" w:ascii="宋体" w:hAnsi="宋体" w:eastAsia="宋体" w:cs="宋体"/>
          <w:kern w:val="0"/>
          <w:sz w:val="24"/>
          <w:szCs w:val="24"/>
          <w:lang w:val="en-US" w:eastAsia="zh-CN" w:bidi="ar"/>
        </w:rPr>
        <w:t>：</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599"/>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鉴于</w:t>
      </w:r>
      <w:r>
        <w:rPr>
          <w:rFonts w:hint="eastAsia" w:ascii="宋体" w:hAnsi="宋体" w:eastAsia="宋体" w:cs="宋体"/>
          <w:kern w:val="0"/>
          <w:sz w:val="24"/>
          <w:szCs w:val="24"/>
          <w:u w:val="single"/>
          <w:lang w:val="en-US" w:eastAsia="zh-CN" w:bidi="ar"/>
        </w:rPr>
        <w:tab/>
      </w:r>
      <w:r>
        <w:rPr>
          <w:rFonts w:hint="eastAsia" w:ascii="宋体" w:hAnsi="宋体" w:eastAsia="宋体" w:cs="宋体"/>
          <w:kern w:val="0"/>
          <w:sz w:val="24"/>
          <w:szCs w:val="24"/>
          <w:u w:val="single"/>
          <w:lang w:val="en-US" w:eastAsia="zh-CN" w:bidi="ar"/>
        </w:rPr>
        <w:tab/>
      </w:r>
      <w:r>
        <w:rPr>
          <w:rFonts w:hint="eastAsia" w:ascii="宋体" w:hAnsi="宋体" w:eastAsia="宋体" w:cs="宋体"/>
          <w:kern w:val="0"/>
          <w:sz w:val="24"/>
          <w:szCs w:val="24"/>
          <w:lang w:val="en-US" w:eastAsia="zh-CN" w:bidi="ar"/>
        </w:rPr>
        <w:t>（发包人名称</w:t>
      </w:r>
      <w:r>
        <w:rPr>
          <w:rFonts w:hint="eastAsia" w:ascii="宋体" w:hAnsi="宋体" w:eastAsia="宋体" w:cs="宋体"/>
          <w:spacing w:val="-15"/>
          <w:kern w:val="0"/>
          <w:sz w:val="24"/>
          <w:szCs w:val="24"/>
          <w:lang w:val="en-US" w:eastAsia="zh-CN" w:bidi="ar"/>
        </w:rPr>
        <w:t>，</w:t>
      </w:r>
      <w:r>
        <w:rPr>
          <w:rFonts w:hint="eastAsia" w:ascii="宋体" w:hAnsi="宋体" w:eastAsia="宋体" w:cs="宋体"/>
          <w:kern w:val="0"/>
          <w:sz w:val="24"/>
          <w:szCs w:val="24"/>
          <w:lang w:val="en-US" w:eastAsia="zh-CN" w:bidi="ar"/>
        </w:rPr>
        <w:t>以下简称“发包人</w:t>
      </w:r>
      <w:r>
        <w:rPr>
          <w:rFonts w:hint="eastAsia" w:ascii="宋体" w:hAnsi="宋体" w:eastAsia="宋体" w:cs="宋体"/>
          <w:spacing w:val="-8"/>
          <w:kern w:val="0"/>
          <w:sz w:val="24"/>
          <w:szCs w:val="24"/>
          <w:lang w:val="en-US" w:eastAsia="zh-CN" w:bidi="ar"/>
        </w:rPr>
        <w:t>”）</w:t>
      </w:r>
      <w:r>
        <w:rPr>
          <w:rFonts w:hint="eastAsia" w:ascii="宋体" w:hAnsi="宋体" w:eastAsia="宋体" w:cs="宋体"/>
          <w:kern w:val="0"/>
          <w:sz w:val="24"/>
          <w:szCs w:val="24"/>
          <w:lang w:val="en-US" w:eastAsia="zh-CN" w:bidi="ar"/>
        </w:rPr>
        <w:t>接受</w:t>
      </w:r>
      <w:r>
        <w:rPr>
          <w:rFonts w:hint="eastAsia" w:ascii="宋体" w:hAnsi="宋体" w:eastAsia="宋体" w:cs="宋体"/>
          <w:kern w:val="0"/>
          <w:sz w:val="24"/>
          <w:szCs w:val="24"/>
          <w:u w:val="single"/>
          <w:lang w:val="en-US" w:eastAsia="zh-CN" w:bidi="ar"/>
        </w:rPr>
        <w:tab/>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（承包人名称，以下简称“承包人”）于</w:t>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年</w:t>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月</w:t>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日参加</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（项目名称）</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标段施工的投标。我方愿意无条件地、不可撤销地就承包人履行与你方订立的合同，向你方提供担保。</w:t>
      </w:r>
    </w:p>
    <w:p>
      <w:pPr>
        <w:pStyle w:val="17"/>
        <w:keepNext w:val="0"/>
        <w:keepLines w:val="0"/>
        <w:pageBreakBefore w:val="0"/>
        <w:widowControl/>
        <w:numPr>
          <w:ilvl w:val="0"/>
          <w:numId w:val="43"/>
        </w:numPr>
        <w:suppressLineNumbers w:val="0"/>
        <w:kinsoku/>
        <w:overflowPunct/>
        <w:autoSpaceDE w:val="0"/>
        <w:autoSpaceDN w:val="0"/>
        <w:bidi w:val="0"/>
        <w:spacing w:before="0" w:beforeLines="0" w:beforeAutospacing="0" w:after="0" w:afterLines="0" w:afterAutospacing="0" w:line="360" w:lineRule="auto"/>
        <w:ind w:left="0" w:leftChars="0" w:right="0" w:firstLine="48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担保金额人民币（大写）</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元（¥</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spacing w:val="-120"/>
          <w:kern w:val="0"/>
          <w:sz w:val="24"/>
          <w:szCs w:val="24"/>
          <w:lang w:val="en-US" w:eastAsia="zh-CN" w:bidi="ar"/>
        </w:rPr>
        <w:t>）</w:t>
      </w:r>
      <w:r>
        <w:rPr>
          <w:rFonts w:hint="eastAsia" w:ascii="宋体" w:hAnsi="宋体" w:eastAsia="宋体" w:cs="宋体"/>
          <w:kern w:val="0"/>
          <w:sz w:val="24"/>
          <w:szCs w:val="24"/>
          <w:lang w:val="en-US" w:eastAsia="zh-CN" w:bidi="ar"/>
        </w:rPr>
        <w:t>。</w:t>
      </w:r>
    </w:p>
    <w:p>
      <w:pPr>
        <w:pStyle w:val="17"/>
        <w:keepNext w:val="0"/>
        <w:keepLines w:val="0"/>
        <w:pageBreakBefore w:val="0"/>
        <w:widowControl/>
        <w:numPr>
          <w:ilvl w:val="0"/>
          <w:numId w:val="43"/>
        </w:numPr>
        <w:suppressLineNumbers w:val="0"/>
        <w:kinsoku/>
        <w:overflowPunct/>
        <w:autoSpaceDE w:val="0"/>
        <w:autoSpaceDN w:val="0"/>
        <w:bidi w:val="0"/>
        <w:spacing w:before="0" w:beforeLines="0" w:beforeAutospacing="0" w:after="0" w:afterLines="0" w:afterAutospacing="0" w:line="360" w:lineRule="auto"/>
        <w:ind w:left="0" w:leftChars="0" w:right="0" w:firstLine="480"/>
        <w:jc w:val="left"/>
        <w:rPr>
          <w:rFonts w:hint="eastAsia" w:ascii="宋体" w:hAnsi="宋体" w:eastAsia="宋体" w:cs="宋体"/>
          <w:kern w:val="0"/>
          <w:sz w:val="14"/>
          <w:szCs w:val="14"/>
        </w:rPr>
      </w:pPr>
      <w:r>
        <w:rPr>
          <w:rFonts w:hint="eastAsia" w:ascii="宋体" w:hAnsi="宋体" w:eastAsia="宋体" w:cs="宋体"/>
          <w:spacing w:val="2"/>
          <w:kern w:val="0"/>
          <w:sz w:val="24"/>
          <w:szCs w:val="24"/>
          <w:lang w:val="en-US" w:eastAsia="zh-CN" w:bidi="ar"/>
        </w:rPr>
        <w:t>担保有效期自发包人与承包人签订的合同生效之日起至发包人签发交工验</w:t>
      </w:r>
      <w:r>
        <w:rPr>
          <w:rFonts w:hint="eastAsia" w:ascii="宋体" w:hAnsi="宋体" w:eastAsia="宋体" w:cs="宋体"/>
          <w:kern w:val="0"/>
          <w:sz w:val="24"/>
          <w:szCs w:val="24"/>
          <w:lang w:val="en-US" w:eastAsia="zh-CN" w:bidi="ar"/>
        </w:rPr>
        <w:t>收证书且承包人按照合同约定缴纳质量保证金之日止。</w:t>
      </w:r>
      <w:r>
        <w:rPr>
          <w:rFonts w:hint="eastAsia" w:ascii="宋体" w:hAnsi="宋体" w:eastAsia="宋体" w:cs="宋体"/>
          <w:kern w:val="0"/>
          <w:position w:val="13"/>
          <w:sz w:val="14"/>
          <w:szCs w:val="14"/>
          <w:lang w:val="en-US" w:eastAsia="zh-CN" w:bidi="ar"/>
        </w:rPr>
        <w:t>①</w:t>
      </w:r>
    </w:p>
    <w:p>
      <w:pPr>
        <w:pStyle w:val="17"/>
        <w:keepNext w:val="0"/>
        <w:keepLines w:val="0"/>
        <w:pageBreakBefore w:val="0"/>
        <w:widowControl/>
        <w:numPr>
          <w:ilvl w:val="0"/>
          <w:numId w:val="43"/>
        </w:numPr>
        <w:suppressLineNumbers w:val="0"/>
        <w:kinsoku/>
        <w:overflowPunct/>
        <w:autoSpaceDE w:val="0"/>
        <w:autoSpaceDN w:val="0"/>
        <w:bidi w:val="0"/>
        <w:spacing w:before="0" w:beforeLines="0" w:beforeAutospacing="0" w:after="0" w:afterLines="0" w:afterAutospacing="0" w:line="360" w:lineRule="auto"/>
        <w:ind w:left="0" w:leftChars="0" w:right="0" w:firstLine="48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在本担保有效期内，因承包人违反合同约定的义务给你方造成经济损失时，</w:t>
      </w:r>
      <w:r>
        <w:rPr>
          <w:rFonts w:hint="eastAsia" w:ascii="宋体" w:hAnsi="宋体" w:eastAsia="宋体" w:cs="宋体"/>
          <w:spacing w:val="-2"/>
          <w:kern w:val="0"/>
          <w:sz w:val="24"/>
          <w:szCs w:val="24"/>
          <w:lang w:val="en-US" w:eastAsia="zh-CN" w:bidi="ar"/>
        </w:rPr>
        <w:t>我方在收到你方以书面形式提出的在担保金额内的赔偿要求后，在</w:t>
      </w:r>
      <w:r>
        <w:rPr>
          <w:rFonts w:hint="eastAsia" w:ascii="宋体" w:hAnsi="宋体" w:eastAsia="宋体" w:cs="宋体"/>
          <w:kern w:val="0"/>
          <w:sz w:val="24"/>
          <w:szCs w:val="24"/>
          <w:lang w:val="en-US" w:eastAsia="zh-CN" w:bidi="ar"/>
        </w:rPr>
        <w:t>7日内无条件支付，无须你方出具证明或陈述理由。</w:t>
      </w:r>
    </w:p>
    <w:p>
      <w:pPr>
        <w:pStyle w:val="17"/>
        <w:keepNext w:val="0"/>
        <w:keepLines w:val="0"/>
        <w:pageBreakBefore w:val="0"/>
        <w:widowControl/>
        <w:numPr>
          <w:ilvl w:val="0"/>
          <w:numId w:val="43"/>
        </w:numPr>
        <w:suppressLineNumbers w:val="0"/>
        <w:kinsoku/>
        <w:overflowPunct/>
        <w:autoSpaceDE w:val="0"/>
        <w:autoSpaceDN w:val="0"/>
        <w:bidi w:val="0"/>
        <w:spacing w:before="0" w:beforeLines="0" w:beforeAutospacing="0" w:after="0" w:afterLines="0" w:afterAutospacing="0" w:line="360" w:lineRule="auto"/>
        <w:ind w:left="0" w:leftChars="0" w:right="0" w:firstLine="480"/>
        <w:jc w:val="left"/>
        <w:rPr>
          <w:rFonts w:hint="eastAsia" w:ascii="宋体" w:hAnsi="宋体" w:eastAsia="宋体" w:cs="宋体"/>
          <w:kern w:val="0"/>
          <w:sz w:val="24"/>
          <w:szCs w:val="24"/>
        </w:rPr>
      </w:pPr>
      <w:r>
        <w:rPr>
          <w:rFonts w:hint="eastAsia" w:ascii="宋体" w:hAnsi="宋体" w:eastAsia="宋体" w:cs="宋体"/>
          <w:spacing w:val="-5"/>
          <w:kern w:val="0"/>
          <w:sz w:val="24"/>
          <w:szCs w:val="24"/>
          <w:lang w:val="en-US" w:eastAsia="zh-CN" w:bidi="ar"/>
        </w:rPr>
        <w:t>发包人和承包人按合同条款第</w:t>
      </w:r>
      <w:r>
        <w:rPr>
          <w:rFonts w:hint="eastAsia" w:ascii="宋体" w:hAnsi="宋体" w:eastAsia="宋体" w:cs="宋体"/>
          <w:kern w:val="0"/>
          <w:sz w:val="24"/>
          <w:szCs w:val="24"/>
          <w:lang w:val="en-US" w:eastAsia="zh-CN" w:bidi="ar"/>
        </w:rPr>
        <w:t>15</w:t>
      </w:r>
      <w:r>
        <w:rPr>
          <w:rFonts w:hint="eastAsia" w:ascii="宋体" w:hAnsi="宋体" w:eastAsia="宋体" w:cs="宋体"/>
          <w:spacing w:val="-4"/>
          <w:kern w:val="0"/>
          <w:sz w:val="24"/>
          <w:szCs w:val="24"/>
          <w:lang w:val="en-US" w:eastAsia="zh-CN" w:bidi="ar"/>
        </w:rPr>
        <w:t>条变更合同时，无论我方是否收到该变更，我方承担本担保规定的义务不变。</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right="0" w:firstLine="5520" w:firstLineChars="230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担保人名称：</w:t>
      </w:r>
      <w:r>
        <w:rPr>
          <w:rFonts w:hint="eastAsia" w:ascii="宋体" w:hAnsi="宋体" w:eastAsia="宋体" w:cs="宋体"/>
          <w:kern w:val="0"/>
          <w:sz w:val="24"/>
          <w:szCs w:val="24"/>
          <w:lang w:val="en-US" w:eastAsia="zh-CN" w:bidi="ar"/>
        </w:rPr>
        <w:tab/>
      </w:r>
      <w:r>
        <w:rPr>
          <w:rFonts w:hint="eastAsia" w:ascii="宋体" w:hAnsi="宋体" w:eastAsia="宋体" w:cs="宋体"/>
          <w:kern w:val="0"/>
          <w:sz w:val="24"/>
          <w:szCs w:val="24"/>
          <w:u w:val="single"/>
          <w:lang w:val="en-US" w:eastAsia="zh-CN" w:bidi="ar"/>
        </w:rPr>
        <w:t>（</w:t>
      </w:r>
      <w:r>
        <w:rPr>
          <w:rFonts w:hint="eastAsia" w:ascii="宋体" w:hAnsi="宋体" w:eastAsia="宋体" w:cs="宋体"/>
          <w:kern w:val="0"/>
          <w:sz w:val="24"/>
          <w:szCs w:val="24"/>
          <w:lang w:val="en-US" w:eastAsia="zh-CN" w:bidi="ar"/>
        </w:rPr>
        <w:t>盖单位章）</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5506" w:leftChars="2622" w:right="0" w:firstLine="0" w:firstLineChars="0"/>
        <w:jc w:val="both"/>
        <w:rPr>
          <w:rFonts w:hint="default" w:ascii="宋体" w:hAnsi="宋体" w:eastAsia="宋体" w:cs="宋体"/>
          <w:kern w:val="0"/>
          <w:sz w:val="24"/>
          <w:szCs w:val="24"/>
          <w:lang w:val="en-US"/>
        </w:rPr>
      </w:pPr>
      <w:r>
        <w:rPr>
          <w:rFonts w:hint="eastAsia" w:ascii="宋体" w:hAnsi="宋体" w:eastAsia="宋体" w:cs="宋体"/>
          <w:kern w:val="0"/>
          <w:sz w:val="24"/>
          <w:szCs w:val="24"/>
          <w:lang w:val="en-US" w:eastAsia="zh-CN" w:bidi="ar"/>
        </w:rPr>
        <w:t>法定代表人或其委托代理人</w:t>
      </w:r>
      <w:r>
        <w:rPr>
          <w:rFonts w:hint="eastAsia" w:ascii="宋体" w:hAnsi="宋体" w:eastAsia="宋体" w:cs="宋体"/>
          <w:kern w:val="0"/>
          <w:sz w:val="24"/>
          <w:szCs w:val="24"/>
          <w:u w:val="single"/>
          <w:lang w:val="en-US" w:eastAsia="zh-CN" w:bidi="ar"/>
        </w:rPr>
        <w:t>：（</w:t>
      </w:r>
      <w:r>
        <w:rPr>
          <w:rFonts w:hint="eastAsia" w:ascii="宋体" w:hAnsi="宋体" w:eastAsia="宋体" w:cs="宋体"/>
          <w:kern w:val="0"/>
          <w:sz w:val="24"/>
          <w:szCs w:val="24"/>
          <w:lang w:val="en-US" w:eastAsia="zh-CN" w:bidi="ar"/>
        </w:rPr>
        <w:t>签字）地址：</w:t>
      </w:r>
      <w:r>
        <w:rPr>
          <w:rFonts w:hint="eastAsia" w:ascii="宋体" w:hAnsi="宋体" w:eastAsia="宋体" w:cs="宋体"/>
          <w:kern w:val="0"/>
          <w:sz w:val="24"/>
          <w:szCs w:val="24"/>
          <w:u w:val="single"/>
          <w:lang w:val="en-US" w:eastAsia="zh-CN" w:bidi="ar"/>
        </w:rPr>
        <w:tab/>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5520" w:firstLineChars="2300"/>
        <w:jc w:val="left"/>
        <w:rPr>
          <w:rFonts w:hint="default" w:ascii="宋体" w:hAnsi="宋体" w:eastAsia="宋体" w:cs="宋体"/>
          <w:kern w:val="0"/>
          <w:sz w:val="24"/>
          <w:szCs w:val="24"/>
          <w:u w:val="single"/>
          <w:lang w:val="en-US" w:eastAsia="zh-CN" w:bidi="ar"/>
        </w:rPr>
      </w:pPr>
      <w:r>
        <w:rPr>
          <w:rFonts w:hint="eastAsia" w:ascii="宋体" w:hAnsi="宋体" w:eastAsia="宋体" w:cs="宋体"/>
          <w:kern w:val="0"/>
          <w:sz w:val="24"/>
          <w:szCs w:val="24"/>
          <w:lang w:val="en-US" w:eastAsia="zh-CN" w:bidi="ar"/>
        </w:rPr>
        <w:t>邮政编码：</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5520" w:firstLineChars="2300"/>
        <w:jc w:val="left"/>
        <w:rPr>
          <w:rFonts w:hint="default" w:ascii="宋体" w:hAnsi="宋体" w:eastAsia="宋体" w:cs="宋体"/>
          <w:kern w:val="0"/>
          <w:sz w:val="24"/>
          <w:szCs w:val="24"/>
          <w:u w:val="single"/>
          <w:lang w:val="en-US" w:eastAsia="zh-CN" w:bidi="ar"/>
        </w:rPr>
      </w:pPr>
      <w:r>
        <w:rPr>
          <w:rFonts w:hint="eastAsia" w:ascii="宋体" w:hAnsi="宋体" w:eastAsia="宋体" w:cs="宋体"/>
          <w:kern w:val="0"/>
          <w:sz w:val="24"/>
          <w:szCs w:val="24"/>
          <w:lang w:val="en-US" w:eastAsia="zh-CN" w:bidi="ar"/>
        </w:rPr>
        <w:t>电</w:t>
      </w:r>
      <w:r>
        <w:rPr>
          <w:rFonts w:hint="eastAsia" w:ascii="宋体" w:hAnsi="宋体" w:eastAsia="宋体" w:cs="宋体"/>
          <w:kern w:val="0"/>
          <w:sz w:val="24"/>
          <w:szCs w:val="24"/>
          <w:lang w:val="en-US" w:eastAsia="zh-CN" w:bidi="ar"/>
        </w:rPr>
        <w:tab/>
      </w:r>
      <w:r>
        <w:rPr>
          <w:rFonts w:hint="eastAsia" w:ascii="宋体" w:hAnsi="宋体" w:eastAsia="宋体" w:cs="宋体"/>
          <w:kern w:val="0"/>
          <w:sz w:val="24"/>
          <w:szCs w:val="24"/>
          <w:lang w:val="en-US" w:eastAsia="zh-CN" w:bidi="ar"/>
        </w:rPr>
        <w:t>话：</w:t>
      </w:r>
      <w:r>
        <w:rPr>
          <w:rFonts w:hint="eastAsia" w:ascii="宋体" w:hAnsi="宋体" w:eastAsia="宋体" w:cs="宋体"/>
          <w:kern w:val="0"/>
          <w:sz w:val="24"/>
          <w:szCs w:val="24"/>
          <w:u w:val="single"/>
          <w:lang w:val="en-US" w:eastAsia="zh-CN" w:bidi="ar"/>
        </w:rPr>
        <w:tab/>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5520" w:firstLineChars="2300"/>
        <w:jc w:val="left"/>
        <w:rPr>
          <w:rFonts w:hint="default" w:ascii="宋体" w:hAnsi="宋体" w:eastAsia="宋体" w:cs="宋体"/>
          <w:kern w:val="0"/>
          <w:sz w:val="24"/>
          <w:szCs w:val="24"/>
          <w:lang w:val="en-US"/>
        </w:rPr>
      </w:pPr>
      <w:r>
        <w:rPr>
          <w:rFonts w:hint="eastAsia" w:ascii="宋体" w:hAnsi="宋体" w:eastAsia="宋体" w:cs="宋体"/>
          <w:kern w:val="0"/>
          <w:sz w:val="24"/>
          <w:szCs w:val="24"/>
          <w:lang w:val="en-US" w:eastAsia="zh-CN" w:bidi="ar"/>
        </w:rPr>
        <w:t>传</w:t>
      </w:r>
      <w:r>
        <w:rPr>
          <w:rFonts w:hint="eastAsia" w:ascii="宋体" w:hAnsi="宋体" w:eastAsia="宋体" w:cs="宋体"/>
          <w:kern w:val="0"/>
          <w:sz w:val="24"/>
          <w:szCs w:val="24"/>
          <w:lang w:val="en-US" w:eastAsia="zh-CN" w:bidi="ar"/>
        </w:rPr>
        <w:tab/>
      </w:r>
      <w:r>
        <w:rPr>
          <w:rFonts w:hint="eastAsia" w:ascii="宋体" w:hAnsi="宋体" w:eastAsia="宋体" w:cs="宋体"/>
          <w:kern w:val="0"/>
          <w:sz w:val="24"/>
          <w:szCs w:val="24"/>
          <w:lang w:val="en-US" w:eastAsia="zh-CN" w:bidi="ar"/>
        </w:rPr>
        <w:t>真：</w:t>
      </w:r>
      <w:r>
        <w:rPr>
          <w:rFonts w:hint="eastAsia" w:ascii="宋体" w:hAnsi="宋体" w:eastAsia="宋体" w:cs="宋体"/>
          <w:kern w:val="0"/>
          <w:sz w:val="24"/>
          <w:szCs w:val="24"/>
          <w:u w:val="single"/>
          <w:lang w:val="en-US" w:eastAsia="zh-CN" w:bidi="ar"/>
        </w:rPr>
        <w:tab/>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7440" w:firstLineChars="31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年</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月</w:t>
      </w:r>
      <w:r>
        <w:rPr>
          <w:rFonts w:hint="eastAsia" w:ascii="宋体" w:hAnsi="宋体" w:eastAsia="宋体" w:cs="宋体"/>
          <w:kern w:val="0"/>
          <w:sz w:val="24"/>
          <w:szCs w:val="24"/>
          <w:u w:val="single"/>
          <w:lang w:val="en-US" w:eastAsia="zh-CN" w:bidi="ar"/>
        </w:rPr>
        <w:tab/>
      </w:r>
      <w:r>
        <w:rPr>
          <w:rFonts w:hint="eastAsia" w:ascii="宋体" w:hAnsi="宋体" w:eastAsia="宋体" w:cs="宋体"/>
          <w:kern w:val="0"/>
          <w:sz w:val="24"/>
          <w:szCs w:val="24"/>
          <w:lang w:val="en-US" w:eastAsia="zh-CN" w:bidi="ar"/>
        </w:rPr>
        <w:t>日</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7440" w:firstLineChars="3100"/>
        <w:jc w:val="left"/>
        <w:rPr>
          <w:rFonts w:hint="eastAsia" w:ascii="宋体" w:hAnsi="宋体" w:eastAsia="宋体" w:cs="宋体"/>
          <w:kern w:val="0"/>
          <w:sz w:val="24"/>
          <w:szCs w:val="24"/>
          <w:lang w:val="en-US" w:eastAsia="zh-CN" w:bidi="ar"/>
        </w:r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7440" w:firstLineChars="3100"/>
        <w:jc w:val="left"/>
        <w:rPr>
          <w:rFonts w:hint="eastAsia" w:ascii="宋体" w:hAnsi="宋体" w:eastAsia="宋体" w:cs="宋体"/>
          <w:kern w:val="0"/>
          <w:sz w:val="24"/>
          <w:szCs w:val="24"/>
          <w:lang w:val="en-US" w:eastAsia="zh-CN" w:bidi="ar"/>
        </w:rPr>
      </w:pPr>
    </w:p>
    <w:p>
      <w:pPr>
        <w:keepNext w:val="0"/>
        <w:keepLines w:val="0"/>
        <w:pageBreakBefore w:val="0"/>
        <w:widowControl w:val="0"/>
        <w:suppressLineNumbers w:val="0"/>
        <w:kinsoku/>
        <w:overflowPunct/>
        <w:autoSpaceDE w:val="0"/>
        <w:autoSpaceDN w:val="0"/>
        <w:bidi w:val="0"/>
        <w:spacing w:beforeAutospacing="0" w:afterAutospacing="0" w:line="360" w:lineRule="auto"/>
        <w:ind w:left="0" w:leftChars="0" w:right="0"/>
        <w:jc w:val="left"/>
        <w:rPr>
          <w:rFonts w:hint="eastAsia" w:ascii="宋体" w:hAnsi="宋体" w:eastAsia="宋体" w:cs="宋体"/>
          <w:kern w:val="2"/>
          <w:sz w:val="18"/>
          <w:szCs w:val="18"/>
        </w:rPr>
      </w:pPr>
      <w:r>
        <w:rPr>
          <w:rFonts w:hint="eastAsia" w:ascii="宋体" w:hAnsi="宋体" w:eastAsia="宋体" w:cs="宋体"/>
          <w:kern w:val="0"/>
          <w:position w:val="8"/>
          <w:sz w:val="9"/>
          <w:szCs w:val="9"/>
          <w:lang w:val="en-US" w:eastAsia="zh-CN" w:bidi="ar"/>
        </w:rPr>
        <w:t>①</w:t>
      </w:r>
      <w:r>
        <w:rPr>
          <w:rFonts w:hint="eastAsia" w:ascii="宋体" w:hAnsi="宋体" w:eastAsia="宋体" w:cs="宋体"/>
          <w:kern w:val="0"/>
          <w:sz w:val="18"/>
          <w:szCs w:val="18"/>
          <w:lang w:val="en-US" w:eastAsia="zh-CN" w:bidi="ar"/>
        </w:rPr>
        <w:t>本条内容可修改为：“本担保自</w:t>
      </w:r>
      <w:r>
        <w:rPr>
          <w:rFonts w:hint="eastAsia" w:ascii="宋体" w:hAnsi="宋体" w:eastAsia="宋体" w:cs="宋体"/>
          <w:kern w:val="0"/>
          <w:sz w:val="18"/>
          <w:szCs w:val="18"/>
          <w:u w:val="single"/>
          <w:lang w:val="en-US" w:eastAsia="zh-CN" w:bidi="ar"/>
        </w:rPr>
        <w:tab/>
      </w:r>
      <w:r>
        <w:rPr>
          <w:rFonts w:hint="eastAsia" w:ascii="宋体" w:hAnsi="宋体" w:cs="宋体"/>
          <w:kern w:val="0"/>
          <w:sz w:val="18"/>
          <w:szCs w:val="18"/>
          <w:u w:val="single"/>
          <w:lang w:val="en-US" w:eastAsia="zh-CN" w:bidi="ar"/>
        </w:rPr>
        <w:t xml:space="preserve">    </w:t>
      </w:r>
      <w:r>
        <w:rPr>
          <w:rFonts w:hint="eastAsia" w:ascii="宋体" w:hAnsi="宋体" w:eastAsia="宋体" w:cs="宋体"/>
          <w:kern w:val="0"/>
          <w:sz w:val="18"/>
          <w:szCs w:val="18"/>
          <w:lang w:val="en-US" w:eastAsia="zh-CN" w:bidi="ar"/>
        </w:rPr>
        <w:t>（生效日期</w:t>
      </w:r>
      <w:r>
        <w:rPr>
          <w:rFonts w:hint="eastAsia" w:ascii="宋体" w:hAnsi="宋体" w:eastAsia="宋体" w:cs="宋体"/>
          <w:spacing w:val="-15"/>
          <w:kern w:val="0"/>
          <w:sz w:val="18"/>
          <w:szCs w:val="18"/>
          <w:lang w:val="en-US" w:eastAsia="zh-CN" w:bidi="ar"/>
        </w:rPr>
        <w:t>）</w:t>
      </w:r>
      <w:r>
        <w:rPr>
          <w:rFonts w:hint="eastAsia" w:ascii="宋体" w:hAnsi="宋体" w:eastAsia="宋体" w:cs="宋体"/>
          <w:kern w:val="0"/>
          <w:sz w:val="18"/>
          <w:szCs w:val="18"/>
          <w:lang w:val="en-US" w:eastAsia="zh-CN" w:bidi="ar"/>
        </w:rPr>
        <w:t>之</w:t>
      </w:r>
      <w:r>
        <w:rPr>
          <w:rFonts w:hint="eastAsia" w:ascii="宋体" w:hAnsi="宋体" w:eastAsia="宋体" w:cs="宋体"/>
          <w:spacing w:val="-3"/>
          <w:kern w:val="0"/>
          <w:sz w:val="18"/>
          <w:szCs w:val="18"/>
          <w:lang w:val="en-US" w:eastAsia="zh-CN" w:bidi="ar"/>
        </w:rPr>
        <w:t>日</w:t>
      </w:r>
      <w:r>
        <w:rPr>
          <w:rFonts w:hint="eastAsia" w:ascii="宋体" w:hAnsi="宋体" w:eastAsia="宋体" w:cs="宋体"/>
          <w:kern w:val="0"/>
          <w:sz w:val="18"/>
          <w:szCs w:val="18"/>
          <w:lang w:val="en-US" w:eastAsia="zh-CN" w:bidi="ar"/>
        </w:rPr>
        <w:t>起生效，至</w:t>
      </w:r>
      <w:r>
        <w:rPr>
          <w:rFonts w:hint="eastAsia" w:ascii="宋体" w:hAnsi="宋体" w:eastAsia="宋体" w:cs="宋体"/>
          <w:kern w:val="0"/>
          <w:sz w:val="18"/>
          <w:szCs w:val="18"/>
          <w:u w:val="single"/>
          <w:lang w:val="en-US" w:eastAsia="zh-CN" w:bidi="ar"/>
        </w:rPr>
        <w:tab/>
      </w:r>
      <w:r>
        <w:rPr>
          <w:rFonts w:hint="eastAsia" w:ascii="宋体" w:hAnsi="宋体" w:cs="宋体"/>
          <w:kern w:val="0"/>
          <w:sz w:val="18"/>
          <w:szCs w:val="18"/>
          <w:u w:val="single"/>
          <w:lang w:val="en-US" w:eastAsia="zh-CN" w:bidi="ar"/>
        </w:rPr>
        <w:t xml:space="preserve">      </w:t>
      </w:r>
      <w:r>
        <w:rPr>
          <w:rFonts w:hint="eastAsia" w:ascii="宋体" w:hAnsi="宋体" w:eastAsia="宋体" w:cs="宋体"/>
          <w:kern w:val="0"/>
          <w:sz w:val="18"/>
          <w:szCs w:val="18"/>
          <w:lang w:val="en-US" w:eastAsia="zh-CN" w:bidi="ar"/>
        </w:rPr>
        <w:t>（失效</w:t>
      </w:r>
      <w:r>
        <w:rPr>
          <w:rFonts w:hint="eastAsia" w:ascii="宋体" w:hAnsi="宋体" w:eastAsia="宋体" w:cs="宋体"/>
          <w:spacing w:val="-3"/>
          <w:kern w:val="0"/>
          <w:sz w:val="18"/>
          <w:szCs w:val="18"/>
          <w:lang w:val="en-US" w:eastAsia="zh-CN" w:bidi="ar"/>
        </w:rPr>
        <w:t>日</w:t>
      </w:r>
      <w:r>
        <w:rPr>
          <w:rFonts w:hint="eastAsia" w:ascii="宋体" w:hAnsi="宋体" w:eastAsia="宋体" w:cs="宋体"/>
          <w:kern w:val="0"/>
          <w:sz w:val="18"/>
          <w:szCs w:val="18"/>
          <w:lang w:val="en-US" w:eastAsia="zh-CN" w:bidi="ar"/>
        </w:rPr>
        <w:t>期</w:t>
      </w:r>
      <w:r>
        <w:rPr>
          <w:rFonts w:hint="eastAsia" w:ascii="宋体" w:hAnsi="宋体" w:eastAsia="宋体" w:cs="宋体"/>
          <w:spacing w:val="-14"/>
          <w:kern w:val="0"/>
          <w:sz w:val="18"/>
          <w:szCs w:val="18"/>
          <w:lang w:val="en-US" w:eastAsia="zh-CN" w:bidi="ar"/>
        </w:rPr>
        <w:t>）</w:t>
      </w:r>
      <w:r>
        <w:rPr>
          <w:rFonts w:hint="eastAsia" w:ascii="宋体" w:hAnsi="宋体" w:eastAsia="宋体" w:cs="宋体"/>
          <w:kern w:val="0"/>
          <w:sz w:val="18"/>
          <w:szCs w:val="18"/>
          <w:lang w:val="en-US" w:eastAsia="zh-CN" w:bidi="ar"/>
        </w:rPr>
        <w:t>之日失效。”</w:t>
      </w:r>
    </w:p>
    <w:p>
      <w:pPr>
        <w:keepNext w:val="0"/>
        <w:keepLines w:val="0"/>
        <w:pageBreakBefore w:val="0"/>
        <w:widowControl w:val="0"/>
        <w:suppressLineNumbers w:val="0"/>
        <w:kinsoku/>
        <w:overflowPunct/>
        <w:autoSpaceDE w:val="0"/>
        <w:autoSpaceDN w:val="0"/>
        <w:bidi w:val="0"/>
        <w:spacing w:beforeAutospacing="0" w:afterAutospacing="0" w:line="360" w:lineRule="auto"/>
        <w:ind w:left="0" w:leftChars="0" w:right="0"/>
        <w:jc w:val="both"/>
        <w:rPr>
          <w:rFonts w:hint="eastAsia" w:ascii="宋体" w:hAnsi="宋体" w:eastAsia="宋体" w:cs="宋体"/>
          <w:kern w:val="2"/>
          <w:sz w:val="18"/>
          <w:szCs w:val="18"/>
        </w:rPr>
      </w:pPr>
      <w:r>
        <w:rPr>
          <w:rFonts w:hint="eastAsia" w:ascii="宋体" w:hAnsi="宋体" w:eastAsia="宋体" w:cs="宋体"/>
          <w:kern w:val="0"/>
          <w:sz w:val="18"/>
          <w:szCs w:val="18"/>
          <w:lang w:val="en-US" w:eastAsia="zh-CN" w:bidi="ar"/>
        </w:rPr>
        <w:t>如发包人接受履约保函采用固定有效期，在项目专用合同条款中应增加保证承包人在履约保函失效日前向发包人出具后续阶段履约保函的约束性条款，直至发包人签发交工验收证书且承包人按照合同约定缴纳质量保证金之日为止。</w:t>
      </w:r>
    </w:p>
    <w:p>
      <w:pPr>
        <w:pageBreakBefore w:val="0"/>
        <w:kinsoku/>
        <w:overflowPunct/>
        <w:bidi w:val="0"/>
        <w:spacing w:before="0" w:beforeLines="0" w:beforeAutospacing="0" w:after="0" w:afterLines="0" w:afterAutospacing="0" w:line="360" w:lineRule="auto"/>
        <w:ind w:left="0" w:leftChars="0" w:right="0"/>
        <w:rPr>
          <w:rFonts w:hint="eastAsia" w:ascii="宋体" w:hAnsi="宋体" w:eastAsia="宋体" w:cs="宋体"/>
          <w:kern w:val="2"/>
          <w:sz w:val="18"/>
          <w:szCs w:val="18"/>
        </w:rPr>
        <w:sectPr>
          <w:pgSz w:w="11910" w:h="16850"/>
          <w:pgMar w:top="1480" w:right="1200" w:bottom="1040" w:left="1220" w:header="876" w:footer="853" w:gutter="0"/>
          <w:pgNumType w:fmt="decimal"/>
          <w:cols w:space="720" w:num="1"/>
          <w:docGrid w:type="lines" w:linePitch="312" w:charSpace="0"/>
        </w:sectPr>
      </w:pP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bookmarkStart w:id="154" w:name="_bookmark276"/>
      <w:bookmarkEnd w:id="154"/>
      <w:r>
        <w:rPr>
          <w:rFonts w:hint="eastAsia" w:ascii="宋体" w:hAnsi="宋体" w:eastAsia="宋体" w:cs="宋体"/>
          <w:kern w:val="0"/>
          <w:sz w:val="24"/>
          <w:szCs w:val="24"/>
          <w:lang w:val="en-US" w:eastAsia="zh-CN" w:bidi="ar"/>
        </w:rPr>
        <w:t>附件八</w:t>
      </w:r>
      <w:r>
        <w:rPr>
          <w:rFonts w:hint="eastAsia" w:cs="宋体"/>
          <w:kern w:val="0"/>
          <w:sz w:val="24"/>
          <w:szCs w:val="24"/>
          <w:lang w:val="en-US" w:eastAsia="zh-CN" w:bidi="ar"/>
        </w:rPr>
        <w:t xml:space="preserve">  </w:t>
      </w:r>
      <w:r>
        <w:rPr>
          <w:rFonts w:hint="eastAsia" w:ascii="宋体" w:hAnsi="宋体" w:eastAsia="宋体" w:cs="宋体"/>
          <w:kern w:val="0"/>
          <w:sz w:val="24"/>
          <w:szCs w:val="24"/>
          <w:lang w:val="en-US" w:eastAsia="zh-CN" w:bidi="ar"/>
        </w:rPr>
        <w:t>工程资金监管协议格式</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479"/>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（发包人与承包人签订合同协议书时应与发包人指定的银行签署工程资金监管</w:t>
      </w:r>
      <w:r>
        <w:rPr>
          <w:rFonts w:hint="eastAsia" w:ascii="宋体" w:hAnsi="宋体" w:eastAsia="宋体" w:cs="宋体"/>
          <w:spacing w:val="-10"/>
          <w:kern w:val="0"/>
          <w:sz w:val="24"/>
          <w:szCs w:val="24"/>
          <w:lang w:val="en-US" w:eastAsia="zh-CN" w:bidi="ar"/>
        </w:rPr>
        <w:t>协议，工程资金监管协议内容在保证本项目资金有效监管的前提下由三方共同商定</w:t>
      </w:r>
      <w:r>
        <w:rPr>
          <w:rFonts w:hint="eastAsia" w:ascii="宋体" w:hAnsi="宋体" w:eastAsia="宋体" w:cs="宋体"/>
          <w:kern w:val="0"/>
          <w:sz w:val="24"/>
          <w:szCs w:val="24"/>
          <w:lang w:val="en-US" w:eastAsia="zh-CN" w:bidi="ar"/>
        </w:rPr>
        <w:t>）</w:t>
      </w:r>
    </w:p>
    <w:p>
      <w:pPr>
        <w:keepNext w:val="0"/>
        <w:keepLines w:val="0"/>
        <w:pageBreakBefore w:val="0"/>
        <w:widowControl w:val="0"/>
        <w:suppressLineNumbers w:val="0"/>
        <w:kinsoku/>
        <w:overflowPunct/>
        <w:autoSpaceDE w:val="0"/>
        <w:autoSpaceDN w:val="0"/>
        <w:bidi w:val="0"/>
        <w:spacing w:beforeAutospacing="0" w:afterAutospacing="0" w:line="360" w:lineRule="auto"/>
        <w:ind w:left="0" w:leftChars="0" w:right="0"/>
        <w:jc w:val="center"/>
        <w:rPr>
          <w:rFonts w:hint="eastAsia" w:ascii="宋体" w:hAnsi="宋体" w:eastAsia="宋体" w:cs="宋体"/>
          <w:kern w:val="2"/>
          <w:sz w:val="28"/>
          <w:szCs w:val="28"/>
        </w:rPr>
      </w:pPr>
      <w:r>
        <w:rPr>
          <w:rFonts w:hint="eastAsia" w:ascii="宋体" w:hAnsi="宋体" w:eastAsia="宋体" w:cs="宋体"/>
          <w:kern w:val="0"/>
          <w:sz w:val="28"/>
          <w:szCs w:val="28"/>
          <w:lang w:val="en-US" w:eastAsia="zh-CN" w:bidi="ar"/>
        </w:rPr>
        <w:t>工程资金监管协议</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发包人：</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（以下简称“甲方”）</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承包人：</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（以下简称“乙方”）</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经办银行：</w:t>
      </w:r>
      <w:r>
        <w:rPr>
          <w:rFonts w:hint="eastAsia" w:ascii="宋体" w:hAnsi="宋体" w:eastAsia="宋体" w:cs="宋体"/>
          <w:kern w:val="0"/>
          <w:sz w:val="24"/>
          <w:szCs w:val="24"/>
          <w:u w:val="single"/>
          <w:lang w:val="en-US" w:eastAsia="zh-CN" w:bidi="ar"/>
        </w:rPr>
        <w:tab/>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（以下简称“丙方”）</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479"/>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为了促进</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（项目名称）的顺利实施，管好用好建设资金，确保工程资金专款专用</w:t>
      </w:r>
      <w:r>
        <w:rPr>
          <w:rFonts w:hint="eastAsia" w:ascii="宋体" w:hAnsi="宋体" w:eastAsia="宋体" w:cs="宋体"/>
          <w:spacing w:val="-68"/>
          <w:kern w:val="0"/>
          <w:sz w:val="24"/>
          <w:szCs w:val="24"/>
          <w:lang w:val="en-US" w:eastAsia="zh-CN" w:bidi="ar"/>
        </w:rPr>
        <w:t>，</w:t>
      </w:r>
      <w:r>
        <w:rPr>
          <w:rFonts w:hint="eastAsia" w:ascii="宋体" w:hAnsi="宋体" w:eastAsia="宋体" w:cs="宋体"/>
          <w:kern w:val="0"/>
          <w:sz w:val="24"/>
          <w:szCs w:val="24"/>
          <w:lang w:val="en-US" w:eastAsia="zh-CN" w:bidi="ar"/>
        </w:rPr>
        <w:t>同时为承包人提供便捷有效的银行业务服务</w:t>
      </w:r>
      <w:r>
        <w:rPr>
          <w:rFonts w:hint="eastAsia" w:ascii="宋体" w:hAnsi="宋体" w:eastAsia="宋体" w:cs="宋体"/>
          <w:spacing w:val="-68"/>
          <w:kern w:val="0"/>
          <w:sz w:val="24"/>
          <w:szCs w:val="24"/>
          <w:lang w:val="en-US" w:eastAsia="zh-CN" w:bidi="ar"/>
        </w:rPr>
        <w:t>，</w:t>
      </w:r>
      <w:r>
        <w:rPr>
          <w:rFonts w:hint="eastAsia" w:ascii="宋体" w:hAnsi="宋体" w:eastAsia="宋体" w:cs="宋体"/>
          <w:kern w:val="0"/>
          <w:sz w:val="24"/>
          <w:szCs w:val="24"/>
          <w:lang w:val="en-US" w:eastAsia="zh-CN" w:bidi="ar"/>
        </w:rPr>
        <w:t>根据</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u w:val="single"/>
          <w:lang w:val="en-US" w:eastAsia="zh-CN" w:bidi="ar"/>
        </w:rPr>
        <w:t>（</w:t>
      </w:r>
      <w:r>
        <w:rPr>
          <w:rFonts w:hint="eastAsia" w:ascii="宋体" w:hAnsi="宋体" w:eastAsia="宋体" w:cs="宋体"/>
          <w:kern w:val="0"/>
          <w:sz w:val="24"/>
          <w:szCs w:val="24"/>
          <w:lang w:val="en-US" w:eastAsia="zh-CN" w:bidi="ar"/>
        </w:rPr>
        <w:t>项目名称）合同条款有关规定，经甲、乙、丙三方协商，达成协议如下：</w:t>
      </w:r>
    </w:p>
    <w:p>
      <w:pPr>
        <w:pStyle w:val="17"/>
        <w:keepNext w:val="0"/>
        <w:keepLines w:val="0"/>
        <w:pageBreakBefore w:val="0"/>
        <w:widowControl/>
        <w:numPr>
          <w:ilvl w:val="0"/>
          <w:numId w:val="44"/>
        </w:numPr>
        <w:suppressLineNumbers w:val="0"/>
        <w:kinsoku/>
        <w:overflowPunct/>
        <w:autoSpaceDE w:val="0"/>
        <w:autoSpaceDN w:val="0"/>
        <w:bidi w:val="0"/>
        <w:spacing w:before="0" w:beforeLines="0" w:beforeAutospacing="0" w:after="0" w:afterLines="0" w:afterAutospacing="0" w:line="360" w:lineRule="auto"/>
        <w:ind w:left="0" w:leftChars="0" w:right="0" w:firstLine="48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资金管理的内容</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479"/>
        <w:jc w:val="left"/>
        <w:rPr>
          <w:rFonts w:hint="eastAsia" w:ascii="宋体" w:hAnsi="宋体" w:eastAsia="宋体" w:cs="宋体"/>
          <w:kern w:val="0"/>
          <w:sz w:val="24"/>
          <w:szCs w:val="24"/>
        </w:rPr>
      </w:pPr>
      <w:r>
        <w:rPr>
          <w:rFonts w:hint="eastAsia" w:ascii="宋体" w:hAnsi="宋体" w:eastAsia="宋体" w:cs="宋体"/>
          <w:spacing w:val="-10"/>
          <w:kern w:val="0"/>
          <w:sz w:val="24"/>
          <w:szCs w:val="24"/>
          <w:lang w:val="en-US" w:eastAsia="zh-CN" w:bidi="ar"/>
        </w:rPr>
        <w:t>（1）</w:t>
      </w:r>
      <w:r>
        <w:rPr>
          <w:rFonts w:hint="eastAsia" w:ascii="宋体" w:hAnsi="宋体" w:eastAsia="宋体" w:cs="宋体"/>
          <w:kern w:val="0"/>
          <w:sz w:val="24"/>
          <w:szCs w:val="24"/>
          <w:lang w:val="en-US" w:eastAsia="zh-CN" w:bidi="ar"/>
        </w:rPr>
        <w:t>乙方为完成</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（项目名称</w:t>
      </w:r>
      <w:r>
        <w:rPr>
          <w:rFonts w:hint="eastAsia" w:ascii="宋体" w:hAnsi="宋体" w:eastAsia="宋体" w:cs="宋体"/>
          <w:spacing w:val="-29"/>
          <w:kern w:val="0"/>
          <w:sz w:val="24"/>
          <w:szCs w:val="24"/>
          <w:lang w:val="en-US" w:eastAsia="zh-CN" w:bidi="ar"/>
        </w:rPr>
        <w:t>）</w:t>
      </w:r>
      <w:r>
        <w:rPr>
          <w:rFonts w:hint="eastAsia" w:ascii="宋体" w:hAnsi="宋体" w:eastAsia="宋体" w:cs="宋体"/>
          <w:kern w:val="0"/>
          <w:sz w:val="24"/>
          <w:szCs w:val="24"/>
          <w:lang w:val="en-US" w:eastAsia="zh-CN" w:bidi="ar"/>
        </w:rPr>
        <w:t>工程成立的项目经理部在丙方开设基本结算户；</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（2）甲方应按合同规定将工程款汇入乙方在丙方开设的账户；</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（3）乙方应将流动资金及甲方所拨付资金专项用于</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（项目名称</w:t>
      </w:r>
      <w:r>
        <w:rPr>
          <w:rFonts w:hint="eastAsia" w:ascii="宋体" w:hAnsi="宋体" w:eastAsia="宋体" w:cs="宋体"/>
          <w:spacing w:val="-120"/>
          <w:kern w:val="0"/>
          <w:sz w:val="24"/>
          <w:szCs w:val="24"/>
          <w:lang w:val="en-US" w:eastAsia="zh-CN" w:bidi="ar"/>
        </w:rPr>
        <w:t>）</w:t>
      </w:r>
      <w:r>
        <w:rPr>
          <w:rFonts w:hint="eastAsia" w:ascii="宋体" w:hAnsi="宋体" w:eastAsia="宋体" w:cs="宋体"/>
          <w:kern w:val="0"/>
          <w:sz w:val="24"/>
          <w:szCs w:val="24"/>
          <w:lang w:val="en-US" w:eastAsia="zh-CN" w:bidi="ar"/>
        </w:rPr>
        <w:t>；</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479"/>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（4）丙方应为乙方提供便捷有效的银行业务服务，并接受甲方委托对乙方在丙方开设的基本结算户资金使用情况进行监督。</w:t>
      </w:r>
    </w:p>
    <w:p>
      <w:pPr>
        <w:pStyle w:val="17"/>
        <w:keepNext w:val="0"/>
        <w:keepLines w:val="0"/>
        <w:pageBreakBefore w:val="0"/>
        <w:widowControl/>
        <w:numPr>
          <w:ilvl w:val="0"/>
          <w:numId w:val="44"/>
        </w:numPr>
        <w:suppressLineNumbers w:val="0"/>
        <w:kinsoku/>
        <w:overflowPunct/>
        <w:autoSpaceDE w:val="0"/>
        <w:autoSpaceDN w:val="0"/>
        <w:bidi w:val="0"/>
        <w:spacing w:before="0" w:beforeLines="0" w:beforeAutospacing="0" w:after="0" w:afterLines="0" w:afterAutospacing="0" w:line="360" w:lineRule="auto"/>
        <w:ind w:left="0" w:leftChars="0" w:right="0" w:firstLine="48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甲方的权责</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479"/>
        <w:jc w:val="left"/>
        <w:rPr>
          <w:rFonts w:hint="eastAsia" w:ascii="宋体" w:hAnsi="宋体" w:eastAsia="宋体" w:cs="宋体"/>
          <w:kern w:val="0"/>
          <w:sz w:val="24"/>
          <w:szCs w:val="24"/>
        </w:rPr>
      </w:pPr>
      <w:r>
        <w:rPr>
          <w:rFonts w:hint="eastAsia" w:ascii="宋体" w:hAnsi="宋体" w:eastAsia="宋体" w:cs="宋体"/>
          <w:spacing w:val="-8"/>
          <w:kern w:val="0"/>
          <w:sz w:val="24"/>
          <w:szCs w:val="24"/>
          <w:lang w:val="en-US" w:eastAsia="zh-CN" w:bidi="ar"/>
        </w:rPr>
        <w:t>（1）</w:t>
      </w:r>
      <w:r>
        <w:rPr>
          <w:rFonts w:hint="eastAsia" w:ascii="宋体" w:hAnsi="宋体" w:eastAsia="宋体" w:cs="宋体"/>
          <w:kern w:val="0"/>
          <w:sz w:val="24"/>
          <w:szCs w:val="24"/>
          <w:lang w:val="en-US" w:eastAsia="zh-CN" w:bidi="ar"/>
        </w:rPr>
        <w:t>按照</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（项目名称</w:t>
      </w:r>
      <w:r>
        <w:rPr>
          <w:rFonts w:hint="eastAsia" w:ascii="宋体" w:hAnsi="宋体" w:eastAsia="宋体" w:cs="宋体"/>
          <w:spacing w:val="-22"/>
          <w:kern w:val="0"/>
          <w:sz w:val="24"/>
          <w:szCs w:val="24"/>
          <w:lang w:val="en-US" w:eastAsia="zh-CN" w:bidi="ar"/>
        </w:rPr>
        <w:t>）</w:t>
      </w:r>
      <w:r>
        <w:rPr>
          <w:rFonts w:hint="eastAsia" w:ascii="宋体" w:hAnsi="宋体" w:eastAsia="宋体" w:cs="宋体"/>
          <w:kern w:val="0"/>
          <w:sz w:val="24"/>
          <w:szCs w:val="24"/>
          <w:lang w:val="en-US" w:eastAsia="zh-CN" w:bidi="ar"/>
        </w:rPr>
        <w:t>合同有关条款规定的时间和方式</w:t>
      </w:r>
      <w:r>
        <w:rPr>
          <w:rFonts w:hint="eastAsia" w:ascii="宋体" w:hAnsi="宋体" w:eastAsia="宋体" w:cs="宋体"/>
          <w:spacing w:val="-22"/>
          <w:kern w:val="0"/>
          <w:sz w:val="24"/>
          <w:szCs w:val="24"/>
          <w:lang w:val="en-US" w:eastAsia="zh-CN" w:bidi="ar"/>
        </w:rPr>
        <w:t>，</w:t>
      </w:r>
      <w:r>
        <w:rPr>
          <w:rFonts w:hint="eastAsia" w:ascii="宋体" w:hAnsi="宋体" w:eastAsia="宋体" w:cs="宋体"/>
          <w:kern w:val="0"/>
          <w:sz w:val="24"/>
          <w:szCs w:val="24"/>
          <w:lang w:val="en-US" w:eastAsia="zh-CN" w:bidi="ar"/>
        </w:rPr>
        <w:t>向乙方支付工程款；</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479"/>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（2）在发现乙方将本项目资金挪用、转移时，甲方有权中止工程支付，直至乙方改正为止；</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479"/>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（3）不定期审查丙方对乙方的资金使用监督情况，如丙方不能履行其责任，甲方有权随时终止本协议；</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（4）在乙、丙双方发生争议时，甲方应负责协调、解决。</w:t>
      </w:r>
    </w:p>
    <w:p>
      <w:pPr>
        <w:pStyle w:val="17"/>
        <w:keepNext w:val="0"/>
        <w:keepLines w:val="0"/>
        <w:pageBreakBefore w:val="0"/>
        <w:widowControl/>
        <w:numPr>
          <w:ilvl w:val="0"/>
          <w:numId w:val="44"/>
        </w:numPr>
        <w:suppressLineNumbers w:val="0"/>
        <w:kinsoku/>
        <w:overflowPunct/>
        <w:autoSpaceDE w:val="0"/>
        <w:autoSpaceDN w:val="0"/>
        <w:bidi w:val="0"/>
        <w:spacing w:before="0" w:beforeLines="0" w:beforeAutospacing="0" w:after="0" w:afterLines="0" w:afterAutospacing="0" w:line="360" w:lineRule="auto"/>
        <w:ind w:left="0" w:leftChars="0" w:right="0" w:firstLine="48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乙方的权责</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（1）项目经理部成立以后，乙方应尽快在丙方开设基本结算户；</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479"/>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（2）确保本项目资金专款专用，不发生挪用、转移资金的现象；保证不通过权益转让、抵押、担保承担债务等任何其他方式使用基本结算户的资金；</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479"/>
        <w:jc w:val="both"/>
        <w:rPr>
          <w:rFonts w:hint="eastAsia" w:ascii="宋体" w:hAnsi="宋体" w:eastAsia="宋体" w:cs="宋体"/>
          <w:kern w:val="0"/>
          <w:sz w:val="24"/>
          <w:szCs w:val="24"/>
        </w:rPr>
      </w:pPr>
      <w:r>
        <w:rPr>
          <w:rFonts w:hint="eastAsia" w:ascii="宋体" w:hAnsi="宋体" w:eastAsia="宋体" w:cs="宋体"/>
          <w:spacing w:val="-8"/>
          <w:kern w:val="0"/>
          <w:sz w:val="24"/>
          <w:szCs w:val="24"/>
          <w:lang w:val="en-US" w:eastAsia="zh-CN" w:bidi="ar"/>
        </w:rPr>
        <w:t>（3）</w:t>
      </w:r>
      <w:r>
        <w:rPr>
          <w:rFonts w:hint="eastAsia" w:ascii="宋体" w:hAnsi="宋体" w:eastAsia="宋体" w:cs="宋体"/>
          <w:spacing w:val="-5"/>
          <w:kern w:val="0"/>
          <w:sz w:val="24"/>
          <w:szCs w:val="24"/>
          <w:lang w:val="en-US" w:eastAsia="zh-CN" w:bidi="ar"/>
        </w:rPr>
        <w:t>办理材料、设备等采购业务金额在</w:t>
      </w:r>
      <w:r>
        <w:rPr>
          <w:rFonts w:hint="eastAsia" w:cs="宋体"/>
          <w:spacing w:val="-5"/>
          <w:kern w:val="0"/>
          <w:sz w:val="24"/>
          <w:szCs w:val="24"/>
          <w:u w:val="single"/>
          <w:lang w:val="en-US" w:eastAsia="zh-CN" w:bidi="ar"/>
        </w:rPr>
        <w:t xml:space="preserve">   </w:t>
      </w:r>
      <w:r>
        <w:rPr>
          <w:rFonts w:hint="eastAsia" w:ascii="宋体" w:hAnsi="宋体" w:eastAsia="宋体" w:cs="宋体"/>
          <w:spacing w:val="-6"/>
          <w:kern w:val="0"/>
          <w:sz w:val="24"/>
          <w:szCs w:val="24"/>
          <w:lang w:val="en-US" w:eastAsia="zh-CN" w:bidi="ar"/>
        </w:rPr>
        <w:t>万元以上的，应出示购货合同、协议和发票；在办理总额超过</w:t>
      </w:r>
      <w:r>
        <w:rPr>
          <w:rFonts w:hint="eastAsia" w:cs="宋体"/>
          <w:spacing w:val="-6"/>
          <w:kern w:val="0"/>
          <w:sz w:val="24"/>
          <w:szCs w:val="24"/>
          <w:lang w:val="en-US" w:eastAsia="zh-CN" w:bidi="ar"/>
        </w:rPr>
        <w:t xml:space="preserve">  </w:t>
      </w:r>
      <w:r>
        <w:rPr>
          <w:rFonts w:hint="eastAsia" w:cs="宋体"/>
          <w:spacing w:val="-6"/>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万元以上的采购业务时，应将合同、协议和发票复印件</w:t>
      </w:r>
      <w:r>
        <w:rPr>
          <w:rFonts w:hint="eastAsia" w:ascii="宋体" w:hAnsi="宋体" w:eastAsia="宋体" w:cs="宋体"/>
          <w:spacing w:val="-8"/>
          <w:kern w:val="0"/>
          <w:sz w:val="24"/>
          <w:szCs w:val="24"/>
          <w:lang w:val="en-US" w:eastAsia="zh-CN" w:bidi="ar"/>
        </w:rPr>
        <w:t>送丙方备案；购买应急材料、设备时可先办理支付手续，但事后必须补备有关资料；</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（4）用银行转账支票办理支付款项时，必须将转账支票送交丙方，由丙方负责办理支票转付手续；</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（5）向分包单位支付工程进度款时，应附甲方批准分包的文件；</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479"/>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（6）向上级单位缴纳管理费、机械设备及周转材料租赁摊销费等款项时，应附上级单位出具的转账通知等有关资料，以确保资金专款专用。</w:t>
      </w:r>
    </w:p>
    <w:p>
      <w:pPr>
        <w:pStyle w:val="17"/>
        <w:keepNext w:val="0"/>
        <w:keepLines w:val="0"/>
        <w:pageBreakBefore w:val="0"/>
        <w:widowControl/>
        <w:numPr>
          <w:ilvl w:val="0"/>
          <w:numId w:val="44"/>
        </w:numPr>
        <w:suppressLineNumbers w:val="0"/>
        <w:kinsoku/>
        <w:overflowPunct/>
        <w:autoSpaceDE w:val="0"/>
        <w:autoSpaceDN w:val="0"/>
        <w:bidi w:val="0"/>
        <w:spacing w:before="0" w:beforeLines="0" w:beforeAutospacing="0" w:after="0" w:afterLines="0" w:afterAutospacing="0" w:line="360" w:lineRule="auto"/>
        <w:ind w:left="0" w:leftChars="0" w:right="0" w:firstLine="48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丙方的权责</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479"/>
        <w:jc w:val="left"/>
        <w:rPr>
          <w:rFonts w:hint="eastAsia" w:ascii="宋体" w:hAnsi="宋体" w:eastAsia="宋体" w:cs="宋体"/>
          <w:kern w:val="0"/>
          <w:sz w:val="24"/>
          <w:szCs w:val="24"/>
        </w:rPr>
      </w:pPr>
      <w:r>
        <w:rPr>
          <w:rFonts w:hint="eastAsia" w:ascii="宋体" w:hAnsi="宋体" w:eastAsia="宋体" w:cs="宋体"/>
          <w:spacing w:val="-6"/>
          <w:kern w:val="0"/>
          <w:sz w:val="24"/>
          <w:szCs w:val="24"/>
          <w:lang w:val="en-US" w:eastAsia="zh-CN" w:bidi="ar"/>
        </w:rPr>
        <w:t>（1）</w:t>
      </w:r>
      <w:r>
        <w:rPr>
          <w:rFonts w:hint="eastAsia" w:ascii="宋体" w:hAnsi="宋体" w:eastAsia="宋体" w:cs="宋体"/>
          <w:kern w:val="0"/>
          <w:sz w:val="24"/>
          <w:szCs w:val="24"/>
          <w:lang w:val="en-US" w:eastAsia="zh-CN" w:bidi="ar"/>
        </w:rPr>
        <w:t>成立</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（项目名称</w:t>
      </w:r>
      <w:r>
        <w:rPr>
          <w:rFonts w:hint="eastAsia" w:ascii="宋体" w:hAnsi="宋体" w:eastAsia="宋体" w:cs="宋体"/>
          <w:spacing w:val="-17"/>
          <w:kern w:val="0"/>
          <w:sz w:val="24"/>
          <w:szCs w:val="24"/>
          <w:lang w:val="en-US" w:eastAsia="zh-CN" w:bidi="ar"/>
        </w:rPr>
        <w:t>）</w:t>
      </w:r>
      <w:r>
        <w:rPr>
          <w:rFonts w:hint="eastAsia" w:ascii="宋体" w:hAnsi="宋体" w:eastAsia="宋体" w:cs="宋体"/>
          <w:kern w:val="0"/>
          <w:sz w:val="24"/>
          <w:szCs w:val="24"/>
          <w:lang w:val="en-US" w:eastAsia="zh-CN" w:bidi="ar"/>
        </w:rPr>
        <w:t>工程资金管理服务小组</w:t>
      </w:r>
      <w:r>
        <w:rPr>
          <w:rFonts w:hint="eastAsia" w:ascii="宋体" w:hAnsi="宋体" w:eastAsia="宋体" w:cs="宋体"/>
          <w:spacing w:val="-17"/>
          <w:kern w:val="0"/>
          <w:sz w:val="24"/>
          <w:szCs w:val="24"/>
          <w:lang w:val="en-US" w:eastAsia="zh-CN" w:bidi="ar"/>
        </w:rPr>
        <w:t>，</w:t>
      </w:r>
      <w:r>
        <w:rPr>
          <w:rFonts w:hint="eastAsia" w:ascii="宋体" w:hAnsi="宋体" w:eastAsia="宋体" w:cs="宋体"/>
          <w:kern w:val="0"/>
          <w:sz w:val="24"/>
          <w:szCs w:val="24"/>
          <w:lang w:val="en-US" w:eastAsia="zh-CN" w:bidi="ar"/>
        </w:rPr>
        <w:t>明确业务流程</w:t>
      </w:r>
      <w:r>
        <w:rPr>
          <w:rFonts w:hint="eastAsia" w:ascii="宋体" w:hAnsi="宋体" w:eastAsia="宋体" w:cs="宋体"/>
          <w:spacing w:val="-17"/>
          <w:kern w:val="0"/>
          <w:sz w:val="24"/>
          <w:szCs w:val="24"/>
          <w:lang w:val="en-US" w:eastAsia="zh-CN" w:bidi="ar"/>
        </w:rPr>
        <w:t>，</w:t>
      </w:r>
      <w:r>
        <w:rPr>
          <w:rFonts w:hint="eastAsia" w:ascii="宋体" w:hAnsi="宋体" w:eastAsia="宋体" w:cs="宋体"/>
          <w:kern w:val="0"/>
          <w:sz w:val="24"/>
          <w:szCs w:val="24"/>
          <w:lang w:val="en-US" w:eastAsia="zh-CN" w:bidi="ar"/>
        </w:rPr>
        <w:t>提高工作效率，杜绝“压票”现象；</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479"/>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（2</w:t>
      </w:r>
      <w:r>
        <w:rPr>
          <w:rFonts w:hint="eastAsia" w:ascii="宋体" w:hAnsi="宋体" w:eastAsia="宋体" w:cs="宋体"/>
          <w:spacing w:val="-106"/>
          <w:kern w:val="0"/>
          <w:sz w:val="24"/>
          <w:szCs w:val="24"/>
          <w:lang w:val="en-US" w:eastAsia="zh-CN" w:bidi="ar"/>
        </w:rPr>
        <w:t>）</w:t>
      </w:r>
      <w:r>
        <w:rPr>
          <w:rFonts w:hint="eastAsia" w:ascii="宋体" w:hAnsi="宋体" w:eastAsia="宋体" w:cs="宋体"/>
          <w:spacing w:val="-30"/>
          <w:kern w:val="0"/>
          <w:sz w:val="24"/>
          <w:szCs w:val="24"/>
          <w:lang w:val="en-US" w:eastAsia="zh-CN" w:bidi="ar"/>
        </w:rPr>
        <w:t>根据乙方提供的购货合同、协议和发票，检查其所购材料、设备是否用于</w:t>
      </w:r>
      <w:r>
        <w:rPr>
          <w:rFonts w:hint="eastAsia" w:cs="宋体"/>
          <w:spacing w:val="-30"/>
          <w:kern w:val="0"/>
          <w:sz w:val="24"/>
          <w:szCs w:val="24"/>
          <w:u w:val="single"/>
          <w:lang w:val="en-US" w:eastAsia="zh-CN" w:bidi="ar"/>
        </w:rPr>
        <w:t xml:space="preserve">             </w:t>
      </w:r>
      <w:r>
        <w:rPr>
          <w:rFonts w:hint="eastAsia" w:ascii="宋体" w:hAnsi="宋体" w:eastAsia="宋体" w:cs="宋体"/>
          <w:kern w:val="0"/>
          <w:sz w:val="24"/>
          <w:szCs w:val="24"/>
          <w:u w:val="single"/>
          <w:lang w:val="en-US" w:eastAsia="zh-CN" w:bidi="ar"/>
        </w:rPr>
        <w:t>（</w:t>
      </w:r>
      <w:r>
        <w:rPr>
          <w:rFonts w:hint="eastAsia" w:ascii="宋体" w:hAnsi="宋体" w:eastAsia="宋体" w:cs="宋体"/>
          <w:kern w:val="0"/>
          <w:sz w:val="24"/>
          <w:szCs w:val="24"/>
          <w:lang w:val="en-US" w:eastAsia="zh-CN" w:bidi="ar"/>
        </w:rPr>
        <w:t>项目名称）工程建设，对本标段以外的购货款项，有权拒绝办理，并及时报告甲方；</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479"/>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（3）根据乙方与分包单位签订的合同及支付文件，检查其支付款项是否符合有关条件，向分包单位以外单位的支付有权拒绝办理，并及时报告甲方；</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479"/>
        <w:jc w:val="left"/>
        <w:rPr>
          <w:rFonts w:hint="eastAsia" w:ascii="宋体" w:hAnsi="宋体" w:eastAsia="宋体" w:cs="宋体"/>
          <w:kern w:val="0"/>
          <w:sz w:val="24"/>
          <w:szCs w:val="24"/>
        </w:rPr>
      </w:pPr>
      <w:r>
        <w:rPr>
          <w:rFonts w:hint="eastAsia" w:ascii="宋体" w:hAnsi="宋体" w:eastAsia="宋体" w:cs="宋体"/>
          <w:spacing w:val="-10"/>
          <w:kern w:val="0"/>
          <w:sz w:val="24"/>
          <w:szCs w:val="24"/>
          <w:lang w:val="en-US" w:eastAsia="zh-CN" w:bidi="ar"/>
        </w:rPr>
        <w:t>（4）</w:t>
      </w:r>
      <w:r>
        <w:rPr>
          <w:rFonts w:hint="eastAsia" w:ascii="宋体" w:hAnsi="宋体" w:eastAsia="宋体" w:cs="宋体"/>
          <w:spacing w:val="-3"/>
          <w:kern w:val="0"/>
          <w:sz w:val="24"/>
          <w:szCs w:val="24"/>
          <w:lang w:val="en-US" w:eastAsia="zh-CN" w:bidi="ar"/>
        </w:rPr>
        <w:t>根据乙方提供的上级单位出具的转账通知等有关资料，办理管理费、机械</w:t>
      </w:r>
      <w:r>
        <w:rPr>
          <w:rFonts w:hint="eastAsia" w:ascii="宋体" w:hAnsi="宋体" w:eastAsia="宋体" w:cs="宋体"/>
          <w:spacing w:val="-8"/>
          <w:kern w:val="0"/>
          <w:sz w:val="24"/>
          <w:szCs w:val="24"/>
          <w:lang w:val="en-US" w:eastAsia="zh-CN" w:bidi="ar"/>
        </w:rPr>
        <w:t>设备及周转材料租赁摊销费等款项的支付；对超出转账通知等有关资料以外的支付，有权拒绝办理，并及时报告甲方；</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firstLine="479"/>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（5）定期将乙方前一个周期的支付情况，整理后书面报送甲方；乙方复印备案的材料一并送甲方。</w:t>
      </w:r>
    </w:p>
    <w:p>
      <w:pPr>
        <w:pStyle w:val="17"/>
        <w:keepNext w:val="0"/>
        <w:keepLines w:val="0"/>
        <w:pageBreakBefore w:val="0"/>
        <w:widowControl/>
        <w:numPr>
          <w:ilvl w:val="0"/>
          <w:numId w:val="44"/>
        </w:numPr>
        <w:suppressLineNumbers w:val="0"/>
        <w:kinsoku/>
        <w:overflowPunct/>
        <w:autoSpaceDE w:val="0"/>
        <w:autoSpaceDN w:val="0"/>
        <w:bidi w:val="0"/>
        <w:spacing w:before="0" w:beforeLines="0" w:beforeAutospacing="0" w:after="0" w:afterLines="0" w:afterAutospacing="0" w:line="360" w:lineRule="auto"/>
        <w:ind w:left="0" w:leftChars="0" w:right="0" w:firstLine="480"/>
        <w:jc w:val="left"/>
        <w:rPr>
          <w:rFonts w:hint="eastAsia" w:ascii="宋体" w:hAnsi="宋体" w:eastAsia="宋体" w:cs="宋体"/>
          <w:kern w:val="0"/>
          <w:sz w:val="24"/>
          <w:szCs w:val="24"/>
        </w:rPr>
      </w:pPr>
      <w:r>
        <w:rPr>
          <w:rFonts w:hint="eastAsia" w:ascii="宋体" w:hAnsi="宋体" w:eastAsia="宋体" w:cs="宋体"/>
          <w:spacing w:val="-5"/>
          <w:kern w:val="0"/>
          <w:sz w:val="24"/>
          <w:szCs w:val="24"/>
          <w:lang w:val="en-US" w:eastAsia="zh-CN" w:bidi="ar"/>
        </w:rPr>
        <w:t>甲、乙、丙三方都应履行保密责任，不得将其他两方的业务情况透露给三方以外的其他单位或个人。</w:t>
      </w:r>
    </w:p>
    <w:p>
      <w:pPr>
        <w:pStyle w:val="17"/>
        <w:keepNext w:val="0"/>
        <w:keepLines w:val="0"/>
        <w:pageBreakBefore w:val="0"/>
        <w:widowControl/>
        <w:numPr>
          <w:ilvl w:val="0"/>
          <w:numId w:val="44"/>
        </w:numPr>
        <w:suppressLineNumbers w:val="0"/>
        <w:kinsoku/>
        <w:overflowPunct/>
        <w:autoSpaceDE w:val="0"/>
        <w:autoSpaceDN w:val="0"/>
        <w:bidi w:val="0"/>
        <w:spacing w:before="0" w:beforeLines="0" w:beforeAutospacing="0" w:after="0" w:afterLines="0" w:afterAutospacing="0" w:line="360" w:lineRule="auto"/>
        <w:ind w:left="0" w:leftChars="0" w:right="0" w:firstLine="480"/>
        <w:jc w:val="left"/>
        <w:rPr>
          <w:rFonts w:hint="eastAsia" w:ascii="宋体" w:hAnsi="宋体" w:eastAsia="宋体" w:cs="宋体"/>
          <w:kern w:val="0"/>
          <w:sz w:val="24"/>
          <w:szCs w:val="24"/>
        </w:rPr>
      </w:pPr>
      <w:r>
        <w:rPr>
          <w:rFonts w:hint="eastAsia" w:ascii="宋体" w:hAnsi="宋体" w:eastAsia="宋体" w:cs="宋体"/>
          <w:spacing w:val="-2"/>
          <w:kern w:val="0"/>
          <w:sz w:val="24"/>
          <w:szCs w:val="24"/>
          <w:lang w:val="en-US" w:eastAsia="zh-CN" w:bidi="ar"/>
        </w:rPr>
        <w:t>本协议有效期自乙方在丙方开户起，至工程交工验收甲方向乙方颁发交工验收证书后结束。</w:t>
      </w:r>
    </w:p>
    <w:p>
      <w:pPr>
        <w:pStyle w:val="17"/>
        <w:keepNext w:val="0"/>
        <w:keepLines w:val="0"/>
        <w:pageBreakBefore w:val="0"/>
        <w:widowControl/>
        <w:numPr>
          <w:ilvl w:val="0"/>
          <w:numId w:val="44"/>
        </w:numPr>
        <w:suppressLineNumbers w:val="0"/>
        <w:kinsoku/>
        <w:overflowPunct/>
        <w:autoSpaceDE w:val="0"/>
        <w:autoSpaceDN w:val="0"/>
        <w:bidi w:val="0"/>
        <w:spacing w:before="0" w:beforeLines="0" w:beforeAutospacing="0" w:after="0" w:afterLines="0" w:afterAutospacing="0" w:line="360" w:lineRule="auto"/>
        <w:ind w:left="0" w:leftChars="0" w:right="0" w:firstLine="48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本协议未尽事宜，由甲方牵头，三方协商解决。</w:t>
      </w:r>
    </w:p>
    <w:p>
      <w:pPr>
        <w:pStyle w:val="17"/>
        <w:keepNext w:val="0"/>
        <w:keepLines w:val="0"/>
        <w:pageBreakBefore w:val="0"/>
        <w:widowControl/>
        <w:numPr>
          <w:ilvl w:val="0"/>
          <w:numId w:val="44"/>
        </w:numPr>
        <w:suppressLineNumbers w:val="0"/>
        <w:kinsoku/>
        <w:overflowPunct/>
        <w:autoSpaceDE w:val="0"/>
        <w:autoSpaceDN w:val="0"/>
        <w:bidi w:val="0"/>
        <w:spacing w:before="0" w:beforeLines="0" w:beforeAutospacing="0" w:after="0" w:afterLines="0" w:afterAutospacing="0" w:line="360" w:lineRule="auto"/>
        <w:ind w:left="0" w:leftChars="0" w:right="0" w:firstLine="480"/>
        <w:jc w:val="left"/>
        <w:rPr>
          <w:rFonts w:hint="eastAsia" w:ascii="宋体" w:hAnsi="宋体" w:eastAsia="宋体" w:cs="宋体"/>
          <w:kern w:val="0"/>
          <w:sz w:val="24"/>
          <w:szCs w:val="24"/>
        </w:rPr>
      </w:pPr>
      <w:r>
        <w:rPr>
          <w:rFonts w:hint="eastAsia" w:ascii="宋体" w:hAnsi="宋体" w:eastAsia="宋体" w:cs="宋体"/>
          <w:spacing w:val="-1"/>
          <w:kern w:val="0"/>
          <w:sz w:val="24"/>
          <w:szCs w:val="24"/>
          <w:lang w:val="en-US" w:eastAsia="zh-CN" w:bidi="ar"/>
        </w:rPr>
        <w:t>本协议正本三份、副本</w:t>
      </w:r>
      <w:r>
        <w:rPr>
          <w:rFonts w:hint="eastAsia" w:cs="宋体"/>
          <w:spacing w:val="-1"/>
          <w:kern w:val="0"/>
          <w:sz w:val="24"/>
          <w:szCs w:val="24"/>
          <w:u w:val="single"/>
          <w:lang w:val="en-US" w:eastAsia="zh-CN" w:bidi="ar"/>
        </w:rPr>
        <w:t xml:space="preserve">   </w:t>
      </w:r>
      <w:r>
        <w:rPr>
          <w:rFonts w:hint="eastAsia" w:ascii="宋体" w:hAnsi="宋体" w:eastAsia="宋体" w:cs="宋体"/>
          <w:spacing w:val="-4"/>
          <w:kern w:val="0"/>
          <w:sz w:val="24"/>
          <w:szCs w:val="24"/>
          <w:lang w:val="en-US" w:eastAsia="zh-CN" w:bidi="ar"/>
        </w:rPr>
        <w:t>份。合同三方各执正本一份、副本</w:t>
      </w:r>
      <w:r>
        <w:rPr>
          <w:rFonts w:hint="eastAsia" w:cs="宋体"/>
          <w:spacing w:val="-4"/>
          <w:kern w:val="0"/>
          <w:sz w:val="24"/>
          <w:szCs w:val="24"/>
          <w:u w:val="single"/>
          <w:lang w:val="en-US" w:eastAsia="zh-CN" w:bidi="ar"/>
        </w:rPr>
        <w:t xml:space="preserve">   </w:t>
      </w:r>
      <w:r>
        <w:rPr>
          <w:rFonts w:hint="eastAsia" w:ascii="宋体" w:hAnsi="宋体" w:eastAsia="宋体" w:cs="宋体"/>
          <w:spacing w:val="-2"/>
          <w:kern w:val="0"/>
          <w:sz w:val="24"/>
          <w:szCs w:val="24"/>
          <w:lang w:val="en-US" w:eastAsia="zh-CN" w:bidi="ar"/>
        </w:rPr>
        <w:t>份，当正本与副本内容不一致时，以正本为准。</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发包人：</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（盖单位章）</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法定代表人或其委托代理人：</w:t>
      </w:r>
      <w:r>
        <w:rPr>
          <w:rFonts w:hint="eastAsia" w:ascii="宋体" w:hAnsi="宋体" w:eastAsia="宋体" w:cs="宋体"/>
          <w:kern w:val="0"/>
          <w:sz w:val="24"/>
          <w:szCs w:val="24"/>
          <w:u w:val="single"/>
          <w:lang w:val="en-US" w:eastAsia="zh-CN" w:bidi="ar"/>
        </w:rPr>
        <w:tab/>
      </w:r>
      <w:r>
        <w:rPr>
          <w:rFonts w:hint="eastAsia" w:ascii="宋体" w:hAnsi="宋体" w:eastAsia="宋体" w:cs="宋体"/>
          <w:kern w:val="0"/>
          <w:sz w:val="24"/>
          <w:szCs w:val="24"/>
          <w:u w:val="single"/>
          <w:lang w:val="en-US" w:eastAsia="zh-CN" w:bidi="ar"/>
        </w:rPr>
        <w:tab/>
      </w:r>
      <w:r>
        <w:rPr>
          <w:rFonts w:hint="eastAsia" w:ascii="宋体" w:hAnsi="宋体" w:eastAsia="宋体" w:cs="宋体"/>
          <w:kern w:val="0"/>
          <w:sz w:val="24"/>
          <w:szCs w:val="24"/>
          <w:lang w:val="en-US" w:eastAsia="zh-CN" w:bidi="ar"/>
        </w:rPr>
        <w:t>（签字）</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年</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月</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日</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承包人：</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（盖单位章）</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法定代表人或其委托代理人：</w:t>
      </w:r>
      <w:r>
        <w:rPr>
          <w:rFonts w:hint="eastAsia" w:ascii="宋体" w:hAnsi="宋体" w:eastAsia="宋体" w:cs="宋体"/>
          <w:kern w:val="0"/>
          <w:sz w:val="24"/>
          <w:szCs w:val="24"/>
          <w:u w:val="single"/>
          <w:lang w:val="en-US" w:eastAsia="zh-CN" w:bidi="ar"/>
        </w:rPr>
        <w:tab/>
      </w:r>
      <w:r>
        <w:rPr>
          <w:rFonts w:hint="eastAsia" w:ascii="宋体" w:hAnsi="宋体" w:eastAsia="宋体" w:cs="宋体"/>
          <w:kern w:val="0"/>
          <w:sz w:val="24"/>
          <w:szCs w:val="24"/>
          <w:u w:val="single"/>
          <w:lang w:val="en-US" w:eastAsia="zh-CN" w:bidi="ar"/>
        </w:rPr>
        <w:tab/>
      </w:r>
      <w:r>
        <w:rPr>
          <w:rFonts w:hint="eastAsia" w:ascii="宋体" w:hAnsi="宋体" w:eastAsia="宋体" w:cs="宋体"/>
          <w:kern w:val="0"/>
          <w:sz w:val="24"/>
          <w:szCs w:val="24"/>
          <w:lang w:val="en-US" w:eastAsia="zh-CN" w:bidi="ar"/>
        </w:rPr>
        <w:t>（签字）</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年</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月</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日</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经办银行：</w:t>
      </w:r>
      <w:r>
        <w:rPr>
          <w:rFonts w:hint="eastAsia" w:ascii="宋体" w:hAnsi="宋体" w:eastAsia="宋体" w:cs="宋体"/>
          <w:kern w:val="0"/>
          <w:sz w:val="24"/>
          <w:szCs w:val="24"/>
          <w:u w:val="single"/>
          <w:lang w:val="en-US" w:eastAsia="zh-CN" w:bidi="ar"/>
        </w:rPr>
        <w:tab/>
      </w:r>
      <w:r>
        <w:rPr>
          <w:rFonts w:hint="eastAsia"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（盖单位章）</w:t>
      </w:r>
    </w:p>
    <w:p>
      <w:pPr>
        <w:pStyle w:val="17"/>
        <w:keepNext w:val="0"/>
        <w:keepLines w:val="0"/>
        <w:pageBreakBefore w:val="0"/>
        <w:widowControl/>
        <w:suppressLineNumbers w:val="0"/>
        <w:kinsoku/>
        <w:overflowPunct/>
        <w:autoSpaceDE w:val="0"/>
        <w:autoSpaceDN w:val="0"/>
        <w:bidi w:val="0"/>
        <w:spacing w:before="0" w:beforeLines="0" w:beforeAutospacing="0" w:after="0" w:afterLines="0" w:afterAutospacing="0" w:line="360" w:lineRule="auto"/>
        <w:ind w:left="0" w:leftChars="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法定代表人或其委托代理人：</w:t>
      </w:r>
      <w:r>
        <w:rPr>
          <w:rFonts w:hint="eastAsia" w:ascii="宋体" w:hAnsi="宋体" w:eastAsia="宋体" w:cs="宋体"/>
          <w:kern w:val="0"/>
          <w:sz w:val="24"/>
          <w:szCs w:val="24"/>
          <w:u w:val="single"/>
          <w:lang w:val="en-US" w:eastAsia="zh-CN" w:bidi="ar"/>
        </w:rPr>
        <w:tab/>
      </w:r>
      <w:r>
        <w:rPr>
          <w:rFonts w:hint="eastAsia" w:ascii="宋体" w:hAnsi="宋体" w:eastAsia="宋体" w:cs="宋体"/>
          <w:kern w:val="0"/>
          <w:sz w:val="24"/>
          <w:szCs w:val="24"/>
          <w:u w:val="single"/>
          <w:lang w:val="en-US" w:eastAsia="zh-CN" w:bidi="ar"/>
        </w:rPr>
        <w:tab/>
      </w:r>
      <w:r>
        <w:rPr>
          <w:rFonts w:hint="eastAsia" w:ascii="宋体" w:hAnsi="宋体" w:eastAsia="宋体" w:cs="宋体"/>
          <w:kern w:val="0"/>
          <w:sz w:val="24"/>
          <w:szCs w:val="24"/>
          <w:lang w:val="en-US" w:eastAsia="zh-CN" w:bidi="ar"/>
        </w:rPr>
        <w:t>（签字）</w:t>
      </w:r>
    </w:p>
    <w:p>
      <w:pPr>
        <w:keepNext w:val="0"/>
        <w:keepLines w:val="0"/>
        <w:pageBreakBefore w:val="0"/>
        <w:widowControl w:val="0"/>
        <w:suppressLineNumbers w:val="0"/>
        <w:kinsoku/>
        <w:overflowPunct/>
        <w:autoSpaceDE w:val="0"/>
        <w:autoSpaceDN w:val="0"/>
        <w:bidi w:val="0"/>
        <w:spacing w:beforeAutospacing="0" w:afterAutospacing="0" w:line="360" w:lineRule="auto"/>
        <w:ind w:left="0" w:leftChars="0" w:right="0" w:firstLine="440" w:firstLineChars="200"/>
        <w:jc w:val="left"/>
        <w:rPr>
          <w:rFonts w:hint="eastAsia" w:ascii="宋体" w:hAnsi="宋体" w:eastAsia="宋体" w:cs="宋体"/>
          <w:kern w:val="2"/>
          <w:sz w:val="21"/>
          <w:szCs w:val="21"/>
        </w:rPr>
      </w:pPr>
      <w:r>
        <w:rPr>
          <w:rFonts w:hint="eastAsia" w:ascii="宋体" w:hAnsi="宋体" w:eastAsia="宋体" w:cs="宋体"/>
          <w:kern w:val="0"/>
          <w:sz w:val="22"/>
          <w:szCs w:val="22"/>
          <w:u w:val="single"/>
          <w:lang w:val="en-US" w:eastAsia="zh-CN" w:bidi="ar"/>
        </w:rPr>
        <w:tab/>
      </w:r>
      <w:r>
        <w:rPr>
          <w:rFonts w:hint="eastAsia" w:ascii="宋体" w:hAnsi="宋体" w:cs="宋体"/>
          <w:kern w:val="0"/>
          <w:sz w:val="22"/>
          <w:szCs w:val="22"/>
          <w:u w:val="single"/>
          <w:lang w:val="en-US" w:eastAsia="zh-CN" w:bidi="ar"/>
        </w:rPr>
        <w:t xml:space="preserve">    </w:t>
      </w:r>
      <w:r>
        <w:rPr>
          <w:rFonts w:hint="eastAsia" w:ascii="宋体" w:hAnsi="宋体" w:eastAsia="宋体" w:cs="宋体"/>
          <w:kern w:val="0"/>
          <w:sz w:val="22"/>
          <w:szCs w:val="22"/>
          <w:lang w:val="en-US" w:eastAsia="zh-CN" w:bidi="ar"/>
        </w:rPr>
        <w:t>年</w:t>
      </w:r>
      <w:r>
        <w:rPr>
          <w:rFonts w:hint="eastAsia" w:ascii="宋体" w:hAnsi="宋体" w:eastAsia="宋体" w:cs="宋体"/>
          <w:kern w:val="0"/>
          <w:sz w:val="22"/>
          <w:szCs w:val="22"/>
          <w:u w:val="single"/>
          <w:lang w:val="en-US" w:eastAsia="zh-CN" w:bidi="ar"/>
        </w:rPr>
        <w:tab/>
      </w:r>
      <w:r>
        <w:rPr>
          <w:rFonts w:hint="eastAsia" w:ascii="宋体" w:hAnsi="宋体" w:cs="宋体"/>
          <w:kern w:val="0"/>
          <w:sz w:val="22"/>
          <w:szCs w:val="22"/>
          <w:u w:val="single"/>
          <w:lang w:val="en-US" w:eastAsia="zh-CN" w:bidi="ar"/>
        </w:rPr>
        <w:t xml:space="preserve">     </w:t>
      </w:r>
      <w:r>
        <w:rPr>
          <w:rFonts w:hint="eastAsia" w:ascii="宋体" w:hAnsi="宋体" w:eastAsia="宋体" w:cs="宋体"/>
          <w:kern w:val="0"/>
          <w:sz w:val="22"/>
          <w:szCs w:val="22"/>
          <w:lang w:val="en-US" w:eastAsia="zh-CN" w:bidi="ar"/>
        </w:rPr>
        <w:t>月</w:t>
      </w:r>
      <w:r>
        <w:rPr>
          <w:rFonts w:hint="eastAsia" w:ascii="宋体" w:hAnsi="宋体" w:eastAsia="宋体" w:cs="宋体"/>
          <w:kern w:val="0"/>
          <w:sz w:val="22"/>
          <w:szCs w:val="22"/>
          <w:u w:val="single"/>
          <w:lang w:val="en-US" w:eastAsia="zh-CN" w:bidi="ar"/>
        </w:rPr>
        <w:tab/>
      </w:r>
      <w:r>
        <w:rPr>
          <w:rFonts w:hint="eastAsia" w:ascii="宋体" w:hAnsi="宋体" w:cs="宋体"/>
          <w:kern w:val="0"/>
          <w:sz w:val="22"/>
          <w:szCs w:val="22"/>
          <w:u w:val="single"/>
          <w:lang w:val="en-US" w:eastAsia="zh-CN" w:bidi="ar"/>
        </w:rPr>
        <w:t xml:space="preserve">      </w:t>
      </w:r>
      <w:r>
        <w:rPr>
          <w:rFonts w:hint="eastAsia" w:ascii="宋体" w:hAnsi="宋体" w:eastAsia="宋体" w:cs="宋体"/>
          <w:kern w:val="0"/>
          <w:sz w:val="22"/>
          <w:szCs w:val="22"/>
          <w:lang w:val="en-US" w:eastAsia="zh-CN" w:bidi="ar"/>
        </w:rPr>
        <w:t>日</w:t>
      </w:r>
    </w:p>
    <w:p>
      <w:pPr>
        <w:keepNext w:val="0"/>
        <w:keepLines w:val="0"/>
        <w:pageBreakBefore w:val="0"/>
        <w:widowControl w:val="0"/>
        <w:suppressLineNumbers w:val="0"/>
        <w:kinsoku/>
        <w:overflowPunct/>
        <w:bidi w:val="0"/>
        <w:spacing w:beforeAutospacing="0" w:afterAutospacing="0" w:line="360" w:lineRule="auto"/>
        <w:ind w:left="0" w:leftChars="0" w:right="0"/>
        <w:jc w:val="both"/>
        <w:rPr>
          <w:rFonts w:hint="eastAsia" w:ascii="宋体" w:hAnsi="宋体" w:eastAsia="宋体" w:cs="宋体"/>
          <w:kern w:val="2"/>
          <w:sz w:val="21"/>
          <w:szCs w:val="21"/>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bookmarkStart w:id="155" w:name="_Toc10547"/>
      <w:bookmarkStart w:id="156" w:name="_Toc5346"/>
      <w:bookmarkStart w:id="157" w:name="_Toc15455"/>
      <w:bookmarkStart w:id="158" w:name="_Toc10070"/>
      <w:bookmarkStart w:id="159" w:name="_Toc490748555"/>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Style w:val="3"/>
        <w:numPr>
          <w:ilvl w:val="1"/>
          <w:numId w:val="0"/>
        </w:numPr>
        <w:rPr>
          <w:rFonts w:ascii="宋体" w:hAnsi="宋体" w:eastAsia="宋体" w:cs="宋体"/>
          <w:b/>
          <w:bCs/>
          <w:color w:val="000000"/>
          <w:sz w:val="24"/>
          <w:szCs w:val="24"/>
        </w:rPr>
      </w:pPr>
      <w:r>
        <w:rPr>
          <w:rFonts w:ascii="宋体" w:hAnsi="宋体" w:eastAsia="宋体" w:cs="宋体"/>
          <w:b/>
          <w:bCs/>
          <w:color w:val="000000"/>
          <w:sz w:val="24"/>
          <w:szCs w:val="24"/>
        </w:rPr>
        <w:t xml:space="preserve">附件九：农民工工资支付承诺书格式 </w:t>
      </w:r>
    </w:p>
    <w:p>
      <w:pPr>
        <w:pStyle w:val="3"/>
        <w:numPr>
          <w:ilvl w:val="1"/>
          <w:numId w:val="0"/>
        </w:numPr>
        <w:jc w:val="center"/>
        <w:rPr>
          <w:rFonts w:ascii="宋体" w:hAnsi="宋体" w:eastAsia="宋体" w:cs="宋体"/>
          <w:b w:val="0"/>
          <w:bCs w:val="0"/>
          <w:color w:val="000000"/>
          <w:sz w:val="24"/>
          <w:szCs w:val="24"/>
        </w:rPr>
      </w:pPr>
      <w:r>
        <w:rPr>
          <w:rFonts w:ascii="宋体" w:hAnsi="宋体" w:eastAsia="宋体" w:cs="宋体"/>
          <w:b w:val="0"/>
          <w:bCs w:val="0"/>
          <w:color w:val="000000"/>
          <w:sz w:val="24"/>
          <w:szCs w:val="24"/>
        </w:rPr>
        <w:t>(承包人全称）</w:t>
      </w:r>
    </w:p>
    <w:p>
      <w:pPr>
        <w:pStyle w:val="3"/>
        <w:numPr>
          <w:ilvl w:val="1"/>
          <w:numId w:val="0"/>
        </w:numPr>
        <w:jc w:val="center"/>
        <w:rPr>
          <w:rFonts w:ascii="宋体" w:hAnsi="宋体" w:eastAsia="宋体" w:cs="宋体"/>
          <w:b w:val="0"/>
          <w:bCs w:val="0"/>
          <w:color w:val="000000"/>
          <w:sz w:val="24"/>
          <w:szCs w:val="24"/>
        </w:rPr>
      </w:pPr>
      <w:r>
        <w:rPr>
          <w:rFonts w:ascii="宋体" w:hAnsi="宋体" w:eastAsia="宋体" w:cs="宋体"/>
          <w:b w:val="0"/>
          <w:bCs w:val="0"/>
          <w:color w:val="000000"/>
          <w:sz w:val="24"/>
          <w:szCs w:val="24"/>
        </w:rPr>
        <w:t xml:space="preserve"> （合同工程名称）农民工工资支付承诺书</w:t>
      </w:r>
    </w:p>
    <w:p>
      <w:pPr>
        <w:pStyle w:val="3"/>
        <w:numPr>
          <w:ilvl w:val="1"/>
          <w:numId w:val="0"/>
        </w:numPr>
        <w:jc w:val="both"/>
        <w:rPr>
          <w:rFonts w:ascii="宋体" w:hAnsi="宋体" w:eastAsia="宋体" w:cs="宋体"/>
          <w:b w:val="0"/>
          <w:bCs w:val="0"/>
          <w:color w:val="000000"/>
          <w:sz w:val="24"/>
          <w:szCs w:val="24"/>
        </w:rPr>
      </w:pPr>
      <w:r>
        <w:rPr>
          <w:rFonts w:ascii="宋体" w:hAnsi="宋体" w:eastAsia="宋体" w:cs="宋体"/>
          <w:b w:val="0"/>
          <w:bCs w:val="0"/>
          <w:color w:val="000000"/>
          <w:sz w:val="24"/>
          <w:szCs w:val="24"/>
        </w:rPr>
        <w:t xml:space="preserve"> </w:t>
      </w:r>
      <w:r>
        <w:rPr>
          <w:rFonts w:hint="eastAsia" w:ascii="宋体" w:hAnsi="宋体" w:eastAsia="宋体" w:cs="宋体"/>
          <w:b w:val="0"/>
          <w:bCs w:val="0"/>
          <w:color w:val="000000"/>
          <w:sz w:val="24"/>
          <w:szCs w:val="24"/>
          <w:lang w:val="en-US" w:eastAsia="zh-CN"/>
        </w:rPr>
        <w:t xml:space="preserve">   </w:t>
      </w:r>
      <w:r>
        <w:rPr>
          <w:rFonts w:ascii="宋体" w:hAnsi="宋体" w:eastAsia="宋体" w:cs="宋体"/>
          <w:b w:val="0"/>
          <w:bCs w:val="0"/>
          <w:color w:val="000000"/>
          <w:sz w:val="24"/>
          <w:szCs w:val="24"/>
        </w:rPr>
        <w:t>我单位在此郑重承诺：</w:t>
      </w:r>
    </w:p>
    <w:p>
      <w:pPr>
        <w:rPr>
          <w:rFonts w:hint="eastAsia" w:eastAsia="宋体"/>
          <w:sz w:val="24"/>
          <w:szCs w:val="24"/>
          <w:lang w:val="en-US" w:eastAsia="zh-CN"/>
        </w:rPr>
      </w:pPr>
      <w:r>
        <w:rPr>
          <w:rFonts w:hint="eastAsia"/>
          <w:sz w:val="24"/>
          <w:szCs w:val="24"/>
          <w:lang w:val="en-US" w:eastAsia="zh-CN"/>
        </w:rPr>
        <w:t xml:space="preserve"> </w:t>
      </w:r>
    </w:p>
    <w:p>
      <w:pPr>
        <w:pStyle w:val="3"/>
        <w:numPr>
          <w:ilvl w:val="1"/>
          <w:numId w:val="0"/>
        </w:numPr>
        <w:ind w:firstLine="720" w:firstLineChars="300"/>
        <w:jc w:val="both"/>
        <w:rPr>
          <w:rFonts w:ascii="宋体" w:hAnsi="宋体" w:eastAsia="宋体" w:cs="宋体"/>
          <w:b w:val="0"/>
          <w:bCs w:val="0"/>
          <w:color w:val="000000"/>
          <w:sz w:val="24"/>
          <w:szCs w:val="24"/>
        </w:rPr>
      </w:pPr>
      <w:r>
        <w:rPr>
          <w:rFonts w:hint="eastAsia" w:ascii="宋体" w:hAnsi="宋体" w:eastAsia="宋体" w:cs="宋体"/>
          <w:b w:val="0"/>
          <w:bCs w:val="0"/>
          <w:color w:val="000000"/>
          <w:sz w:val="24"/>
          <w:szCs w:val="24"/>
          <w:lang w:eastAsia="zh-CN"/>
        </w:rPr>
        <w:t>一、</w:t>
      </w:r>
      <w:r>
        <w:rPr>
          <w:rFonts w:ascii="宋体" w:hAnsi="宋体" w:eastAsia="宋体" w:cs="宋体"/>
          <w:b w:val="0"/>
          <w:bCs w:val="0"/>
          <w:color w:val="000000"/>
          <w:sz w:val="24"/>
          <w:szCs w:val="24"/>
        </w:rPr>
        <w:t>开工前与农民工签定劳动合同。</w:t>
      </w:r>
    </w:p>
    <w:p>
      <w:pPr>
        <w:pStyle w:val="3"/>
        <w:numPr>
          <w:ilvl w:val="1"/>
          <w:numId w:val="0"/>
        </w:numPr>
        <w:ind w:firstLine="240" w:firstLineChars="100"/>
        <w:jc w:val="both"/>
        <w:rPr>
          <w:rFonts w:ascii="宋体" w:hAnsi="宋体" w:eastAsia="宋体" w:cs="宋体"/>
          <w:b w:val="0"/>
          <w:bCs w:val="0"/>
          <w:color w:val="000000"/>
          <w:sz w:val="24"/>
          <w:szCs w:val="24"/>
        </w:rPr>
      </w:pPr>
      <w:r>
        <w:rPr>
          <w:rFonts w:ascii="宋体" w:hAnsi="宋体" w:eastAsia="宋体" w:cs="宋体"/>
          <w:b w:val="0"/>
          <w:bCs w:val="0"/>
          <w:color w:val="000000"/>
          <w:sz w:val="24"/>
          <w:szCs w:val="24"/>
        </w:rPr>
        <w:t xml:space="preserve"> </w:t>
      </w:r>
      <w:r>
        <w:rPr>
          <w:rFonts w:hint="eastAsia" w:ascii="宋体" w:hAnsi="宋体" w:eastAsia="宋体" w:cs="宋体"/>
          <w:b w:val="0"/>
          <w:bCs w:val="0"/>
          <w:color w:val="000000"/>
          <w:sz w:val="24"/>
          <w:szCs w:val="24"/>
          <w:lang w:val="en-US" w:eastAsia="zh-CN"/>
        </w:rPr>
        <w:t xml:space="preserve"> </w:t>
      </w:r>
      <w:r>
        <w:rPr>
          <w:rFonts w:ascii="宋体" w:hAnsi="宋体" w:eastAsia="宋体" w:cs="宋体"/>
          <w:b w:val="0"/>
          <w:bCs w:val="0"/>
          <w:color w:val="000000"/>
          <w:sz w:val="24"/>
          <w:szCs w:val="24"/>
        </w:rPr>
        <w:t xml:space="preserve">二、按时支付农民工工资、加班加点工资。 </w:t>
      </w:r>
    </w:p>
    <w:p>
      <w:pPr>
        <w:pStyle w:val="3"/>
        <w:numPr>
          <w:ilvl w:val="1"/>
          <w:numId w:val="0"/>
        </w:numPr>
        <w:ind w:firstLine="480" w:firstLineChars="200"/>
        <w:jc w:val="both"/>
        <w:rPr>
          <w:rFonts w:ascii="宋体" w:hAnsi="宋体" w:eastAsia="宋体" w:cs="宋体"/>
          <w:b w:val="0"/>
          <w:bCs w:val="0"/>
          <w:color w:val="000000"/>
          <w:sz w:val="24"/>
          <w:szCs w:val="24"/>
        </w:rPr>
      </w:pPr>
      <w:r>
        <w:rPr>
          <w:rFonts w:ascii="宋体" w:hAnsi="宋体" w:eastAsia="宋体" w:cs="宋体"/>
          <w:b w:val="0"/>
          <w:bCs w:val="0"/>
          <w:color w:val="000000"/>
          <w:sz w:val="24"/>
          <w:szCs w:val="24"/>
        </w:rPr>
        <w:t>三、支付农民工工资不低于河南省工程所在地最低工资标准</w:t>
      </w:r>
      <w:r>
        <w:rPr>
          <w:rFonts w:hint="eastAsia" w:ascii="宋体" w:hAnsi="宋体" w:eastAsia="宋体" w:cs="宋体"/>
          <w:b w:val="0"/>
          <w:bCs w:val="0"/>
          <w:color w:val="000000"/>
          <w:sz w:val="24"/>
          <w:szCs w:val="24"/>
          <w:u w:val="single"/>
          <w:lang w:val="en-US" w:eastAsia="zh-CN"/>
        </w:rPr>
        <w:t xml:space="preserve">  </w:t>
      </w:r>
      <w:r>
        <w:rPr>
          <w:rFonts w:ascii="宋体" w:hAnsi="宋体" w:eastAsia="宋体" w:cs="宋体"/>
          <w:b w:val="0"/>
          <w:bCs w:val="0"/>
          <w:color w:val="000000"/>
          <w:sz w:val="24"/>
          <w:szCs w:val="24"/>
          <w:u w:val="single"/>
        </w:rPr>
        <w:t xml:space="preserve"> </w:t>
      </w:r>
      <w:r>
        <w:rPr>
          <w:rFonts w:ascii="宋体" w:hAnsi="宋体" w:eastAsia="宋体" w:cs="宋体"/>
          <w:b w:val="0"/>
          <w:bCs w:val="0"/>
          <w:color w:val="000000"/>
          <w:sz w:val="24"/>
          <w:szCs w:val="24"/>
        </w:rPr>
        <w:t>元。</w:t>
      </w:r>
    </w:p>
    <w:p>
      <w:pPr>
        <w:pStyle w:val="3"/>
        <w:numPr>
          <w:ilvl w:val="1"/>
          <w:numId w:val="0"/>
        </w:numPr>
        <w:ind w:firstLine="480" w:firstLineChars="200"/>
        <w:jc w:val="both"/>
        <w:rPr>
          <w:rFonts w:ascii="宋体" w:hAnsi="宋体" w:eastAsia="宋体" w:cs="宋体"/>
          <w:b w:val="0"/>
          <w:bCs w:val="0"/>
          <w:color w:val="000000"/>
          <w:sz w:val="24"/>
          <w:szCs w:val="24"/>
        </w:rPr>
      </w:pPr>
      <w:r>
        <w:rPr>
          <w:rFonts w:ascii="宋体" w:hAnsi="宋体" w:eastAsia="宋体" w:cs="宋体"/>
          <w:b w:val="0"/>
          <w:bCs w:val="0"/>
          <w:color w:val="000000"/>
          <w:sz w:val="24"/>
          <w:szCs w:val="24"/>
        </w:rPr>
        <w:t xml:space="preserve"> 四、不无故拖欠、克扣农民工工资。 </w:t>
      </w:r>
    </w:p>
    <w:p>
      <w:pPr>
        <w:pStyle w:val="3"/>
        <w:numPr>
          <w:ilvl w:val="1"/>
          <w:numId w:val="0"/>
        </w:numPr>
        <w:ind w:firstLine="480" w:firstLineChars="200"/>
        <w:jc w:val="both"/>
        <w:rPr>
          <w:rFonts w:ascii="宋体" w:hAnsi="宋体" w:eastAsia="宋体" w:cs="宋体"/>
          <w:b w:val="0"/>
          <w:bCs w:val="0"/>
          <w:color w:val="000000"/>
          <w:sz w:val="24"/>
          <w:szCs w:val="24"/>
        </w:rPr>
      </w:pPr>
      <w:r>
        <w:rPr>
          <w:rFonts w:ascii="宋体" w:hAnsi="宋体" w:eastAsia="宋体" w:cs="宋体"/>
          <w:b w:val="0"/>
          <w:bCs w:val="0"/>
          <w:color w:val="000000"/>
          <w:sz w:val="24"/>
          <w:szCs w:val="24"/>
        </w:rPr>
        <w:t>五、坚决不侵害农民工劳动报酬的合法权益。</w:t>
      </w:r>
    </w:p>
    <w:p>
      <w:pPr>
        <w:pStyle w:val="3"/>
        <w:numPr>
          <w:ilvl w:val="1"/>
          <w:numId w:val="0"/>
        </w:numPr>
        <w:ind w:firstLine="480" w:firstLineChars="200"/>
        <w:jc w:val="both"/>
        <w:rPr>
          <w:rFonts w:ascii="宋体" w:hAnsi="宋体" w:eastAsia="宋体" w:cs="宋体"/>
          <w:b w:val="0"/>
          <w:bCs w:val="0"/>
          <w:color w:val="000000"/>
          <w:sz w:val="21"/>
          <w:szCs w:val="21"/>
        </w:rPr>
      </w:pPr>
      <w:r>
        <w:rPr>
          <w:rFonts w:ascii="宋体" w:hAnsi="宋体" w:eastAsia="宋体" w:cs="宋体"/>
          <w:b w:val="0"/>
          <w:bCs w:val="0"/>
          <w:color w:val="000000"/>
          <w:sz w:val="24"/>
          <w:szCs w:val="24"/>
        </w:rPr>
        <w:t xml:space="preserve"> 六、若有拖欠、克扣农民工工资、加班加点工资及侵害农民工劳动报酬权益的行为，经有关部门查证属 实后，自愿从工资保障金中支付，且在一个星期内补足保障金。</w:t>
      </w:r>
    </w:p>
    <w:p>
      <w:pPr>
        <w:rPr>
          <w:rFonts w:ascii="宋体" w:hAnsi="宋体" w:eastAsia="宋体" w:cs="宋体"/>
          <w:b w:val="0"/>
          <w:bCs w:val="0"/>
          <w:color w:val="000000"/>
          <w:sz w:val="21"/>
          <w:szCs w:val="21"/>
        </w:rPr>
      </w:pPr>
    </w:p>
    <w:p>
      <w:pPr>
        <w:rPr>
          <w:rFonts w:ascii="宋体" w:hAnsi="宋体" w:eastAsia="宋体" w:cs="宋体"/>
          <w:b w:val="0"/>
          <w:bCs w:val="0"/>
          <w:color w:val="000000"/>
          <w:sz w:val="21"/>
          <w:szCs w:val="21"/>
        </w:rPr>
      </w:pPr>
    </w:p>
    <w:p>
      <w:pPr>
        <w:pStyle w:val="3"/>
        <w:numPr>
          <w:ilvl w:val="1"/>
          <w:numId w:val="0"/>
        </w:numPr>
        <w:ind w:left="420" w:leftChars="0"/>
        <w:rPr>
          <w:rFonts w:hint="eastAsia"/>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bookmarkStart w:id="160" w:name="_Toc10761"/>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rPr>
        <w:t>第五章、工程量清单</w:t>
      </w:r>
      <w:bookmarkEnd w:id="155"/>
      <w:bookmarkEnd w:id="156"/>
      <w:bookmarkEnd w:id="157"/>
      <w:bookmarkEnd w:id="158"/>
      <w:bookmarkEnd w:id="159"/>
      <w:r>
        <w:rPr>
          <w:rFonts w:hint="eastAsia" w:ascii="宋体" w:hAnsi="宋体" w:eastAsia="宋体" w:cs="宋体"/>
          <w:b/>
          <w:color w:val="auto"/>
          <w:sz w:val="28"/>
          <w:szCs w:val="28"/>
          <w:highlight w:val="none"/>
          <w:lang w:eastAsia="zh-CN"/>
        </w:rPr>
        <w:t>（</w:t>
      </w:r>
      <w:r>
        <w:rPr>
          <w:rFonts w:hint="eastAsia" w:ascii="宋体" w:hAnsi="宋体" w:eastAsia="宋体" w:cs="宋体"/>
          <w:b/>
          <w:color w:val="auto"/>
          <w:sz w:val="28"/>
          <w:szCs w:val="28"/>
          <w:highlight w:val="none"/>
          <w:lang w:val="en-US" w:eastAsia="zh-CN"/>
        </w:rPr>
        <w:t>另附）</w:t>
      </w:r>
      <w:bookmarkEnd w:id="160"/>
    </w:p>
    <w:p>
      <w:pPr>
        <w:keepNext w:val="0"/>
        <w:keepLines w:val="0"/>
        <w:widowControl/>
        <w:suppressLineNumbers w:val="0"/>
        <w:kinsoku w:val="0"/>
        <w:autoSpaceDE w:val="0"/>
        <w:autoSpaceDN w:val="0"/>
        <w:adjustRightInd w:val="0"/>
        <w:snapToGrid w:val="0"/>
        <w:spacing w:before="297" w:beforeAutospacing="0" w:after="0" w:afterAutospacing="0"/>
        <w:ind w:left="436"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2"/>
          <w:kern w:val="0"/>
          <w:sz w:val="21"/>
          <w:szCs w:val="21"/>
          <w:lang w:val="en-US" w:eastAsia="zh-CN" w:bidi="ar"/>
        </w:rPr>
        <w:t>1．工程量清单说明</w:t>
      </w:r>
    </w:p>
    <w:p>
      <w:pPr>
        <w:pStyle w:val="17"/>
        <w:keepNext w:val="0"/>
        <w:keepLines w:val="0"/>
        <w:widowControl/>
        <w:suppressLineNumbers w:val="0"/>
        <w:kinsoku w:val="0"/>
        <w:autoSpaceDE w:val="0"/>
        <w:autoSpaceDN w:val="0"/>
        <w:adjustRightInd w:val="0"/>
        <w:snapToGrid w:val="0"/>
        <w:spacing w:before="0" w:beforeAutospacing="0" w:after="0" w:afterAutospacing="0" w:line="408" w:lineRule="auto"/>
        <w:ind w:left="0" w:right="0"/>
        <w:jc w:val="left"/>
        <w:textAlignment w:val="baseline"/>
        <w:rPr>
          <w:rFonts w:hint="eastAsia" w:ascii="宋体" w:hAnsi="宋体" w:eastAsia="宋体" w:cs="宋体"/>
          <w:color w:val="000000"/>
          <w:kern w:val="0"/>
          <w:sz w:val="21"/>
          <w:szCs w:val="21"/>
        </w:rPr>
      </w:pPr>
    </w:p>
    <w:p>
      <w:pPr>
        <w:keepNext w:val="0"/>
        <w:keepLines w:val="0"/>
        <w:widowControl/>
        <w:suppressLineNumbers w:val="0"/>
        <w:kinsoku w:val="0"/>
        <w:autoSpaceDE w:val="0"/>
        <w:autoSpaceDN w:val="0"/>
        <w:adjustRightInd w:val="0"/>
        <w:snapToGrid w:val="0"/>
        <w:spacing w:before="68" w:beforeAutospacing="0" w:after="0" w:afterAutospacing="0" w:line="360" w:lineRule="auto"/>
        <w:ind w:left="0" w:right="74" w:firstLine="438"/>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2"/>
          <w:kern w:val="0"/>
          <w:sz w:val="21"/>
          <w:szCs w:val="21"/>
          <w:lang w:val="en-US" w:eastAsia="zh-CN" w:bidi="ar"/>
        </w:rPr>
        <w:t>1.1本工程量清单是根据招标文件中包括的有合同约束力的工程量清单计量规则</w:t>
      </w:r>
      <w:r>
        <w:rPr>
          <w:rFonts w:hint="eastAsia" w:ascii="宋体" w:hAnsi="宋体" w:eastAsia="宋体" w:cs="宋体"/>
          <w:snapToGrid/>
          <w:color w:val="000000"/>
          <w:spacing w:val="-3"/>
          <w:kern w:val="0"/>
          <w:sz w:val="21"/>
          <w:szCs w:val="21"/>
          <w:lang w:val="en-US" w:eastAsia="zh-CN" w:bidi="ar"/>
        </w:rPr>
        <w:t>、图纸以及有关工程量</w:t>
      </w:r>
      <w:r>
        <w:rPr>
          <w:rFonts w:hint="eastAsia" w:ascii="宋体" w:hAnsi="宋体" w:eastAsia="宋体" w:cs="宋体"/>
          <w:snapToGrid/>
          <w:color w:val="000000"/>
          <w:kern w:val="0"/>
          <w:sz w:val="21"/>
          <w:szCs w:val="21"/>
          <w:lang w:val="en-US" w:eastAsia="zh-CN" w:bidi="ar"/>
        </w:rPr>
        <w:t>清单的国家标准、行业标准、合同条款中约定的其他规则编制。约定计量规则中没有的子目，其工程量按</w:t>
      </w:r>
    </w:p>
    <w:p>
      <w:pPr>
        <w:keepNext w:val="0"/>
        <w:keepLines w:val="0"/>
        <w:widowControl/>
        <w:suppressLineNumbers w:val="0"/>
        <w:kinsoku w:val="0"/>
        <w:autoSpaceDE w:val="0"/>
        <w:autoSpaceDN w:val="0"/>
        <w:adjustRightInd w:val="0"/>
        <w:snapToGrid w:val="0"/>
        <w:spacing w:before="0" w:beforeAutospacing="0" w:after="0" w:afterAutospacing="0"/>
        <w:ind w:left="6"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kern w:val="0"/>
          <w:sz w:val="21"/>
          <w:szCs w:val="21"/>
          <w:lang w:val="en-US" w:eastAsia="zh-CN" w:bidi="ar"/>
        </w:rPr>
        <w:t>照有合同约束力的图纸所标示尺寸的理论净量计算。计量采用中华人民共和</w:t>
      </w:r>
      <w:r>
        <w:rPr>
          <w:rFonts w:hint="eastAsia" w:ascii="宋体" w:hAnsi="宋体" w:eastAsia="宋体" w:cs="宋体"/>
          <w:snapToGrid/>
          <w:color w:val="000000"/>
          <w:spacing w:val="-1"/>
          <w:kern w:val="0"/>
          <w:sz w:val="21"/>
          <w:szCs w:val="21"/>
          <w:lang w:val="en-US" w:eastAsia="zh-CN" w:bidi="ar"/>
        </w:rPr>
        <w:t>国法定计量单位。</w:t>
      </w:r>
    </w:p>
    <w:p>
      <w:pPr>
        <w:keepNext w:val="0"/>
        <w:keepLines w:val="0"/>
        <w:widowControl/>
        <w:suppressLineNumbers w:val="0"/>
        <w:kinsoku w:val="0"/>
        <w:autoSpaceDE w:val="0"/>
        <w:autoSpaceDN w:val="0"/>
        <w:adjustRightInd w:val="0"/>
        <w:snapToGrid w:val="0"/>
        <w:spacing w:before="158" w:beforeAutospacing="0" w:after="0" w:afterAutospacing="0" w:line="408" w:lineRule="exact"/>
        <w:ind w:left="0" w:right="0"/>
        <w:jc w:val="center"/>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5"/>
          <w:kern w:val="0"/>
          <w:position w:val="14"/>
          <w:sz w:val="21"/>
          <w:szCs w:val="21"/>
          <w:lang w:val="en-US" w:eastAsia="zh-CN" w:bidi="ar"/>
        </w:rPr>
        <w:t>1.2本工程量清单应与招标文件中的投标人须知、通用合同条款、专用合同条款、工程量清单计量规</w:t>
      </w:r>
      <w:r>
        <w:rPr>
          <w:rFonts w:hint="eastAsia" w:ascii="宋体" w:hAnsi="宋体" w:eastAsia="宋体" w:cs="宋体"/>
          <w:snapToGrid/>
          <w:color w:val="000000"/>
          <w:spacing w:val="-6"/>
          <w:kern w:val="0"/>
          <w:position w:val="14"/>
          <w:sz w:val="21"/>
          <w:szCs w:val="21"/>
          <w:lang w:val="en-US" w:eastAsia="zh-CN" w:bidi="ar"/>
        </w:rPr>
        <w:t>则、</w:t>
      </w:r>
    </w:p>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2"/>
          <w:kern w:val="0"/>
          <w:sz w:val="21"/>
          <w:szCs w:val="21"/>
          <w:lang w:val="en-US" w:eastAsia="zh-CN" w:bidi="ar"/>
        </w:rPr>
        <w:t>技术规范及图纸等一起阅读和理解。</w:t>
      </w:r>
    </w:p>
    <w:p>
      <w:pPr>
        <w:keepNext w:val="0"/>
        <w:keepLines w:val="0"/>
        <w:widowControl/>
        <w:suppressLineNumbers w:val="0"/>
        <w:kinsoku w:val="0"/>
        <w:autoSpaceDE w:val="0"/>
        <w:autoSpaceDN w:val="0"/>
        <w:adjustRightInd w:val="0"/>
        <w:snapToGrid w:val="0"/>
        <w:spacing w:before="158" w:beforeAutospacing="0" w:after="0" w:afterAutospacing="0" w:line="360" w:lineRule="auto"/>
        <w:ind w:left="2" w:right="74" w:firstLine="435"/>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2"/>
          <w:kern w:val="0"/>
          <w:sz w:val="21"/>
          <w:szCs w:val="21"/>
          <w:lang w:val="en-US" w:eastAsia="zh-CN" w:bidi="ar"/>
        </w:rPr>
        <w:t>1.3本工程量清单中所列工程数量是估算的或设计的预计数量，仅作为投标报价</w:t>
      </w:r>
      <w:r>
        <w:rPr>
          <w:rFonts w:hint="eastAsia" w:ascii="宋体" w:hAnsi="宋体" w:eastAsia="宋体" w:cs="宋体"/>
          <w:snapToGrid/>
          <w:color w:val="000000"/>
          <w:spacing w:val="-3"/>
          <w:kern w:val="0"/>
          <w:sz w:val="21"/>
          <w:szCs w:val="21"/>
          <w:lang w:val="en-US" w:eastAsia="zh-CN" w:bidi="ar"/>
        </w:rPr>
        <w:t>的共同基础，不能作为</w:t>
      </w:r>
      <w:r>
        <w:rPr>
          <w:rFonts w:hint="eastAsia" w:ascii="宋体" w:hAnsi="宋体" w:eastAsia="宋体" w:cs="宋体"/>
          <w:snapToGrid/>
          <w:color w:val="000000"/>
          <w:kern w:val="0"/>
          <w:sz w:val="21"/>
          <w:szCs w:val="21"/>
          <w:lang w:val="en-US" w:eastAsia="zh-CN" w:bidi="ar"/>
        </w:rPr>
        <w:t>最终结算与支付的依据。实际支付应按实际完成的工程量，由承包人按工程量清单计量规则规定的</w:t>
      </w:r>
      <w:r>
        <w:rPr>
          <w:rFonts w:hint="eastAsia" w:ascii="宋体" w:hAnsi="宋体" w:eastAsia="宋体" w:cs="宋体"/>
          <w:snapToGrid/>
          <w:color w:val="000000"/>
          <w:spacing w:val="-1"/>
          <w:kern w:val="0"/>
          <w:sz w:val="21"/>
          <w:szCs w:val="21"/>
          <w:lang w:val="en-US" w:eastAsia="zh-CN" w:bidi="ar"/>
        </w:rPr>
        <w:t>计量方</w:t>
      </w:r>
    </w:p>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2"/>
          <w:kern w:val="0"/>
          <w:sz w:val="21"/>
          <w:szCs w:val="21"/>
          <w:lang w:val="en-US" w:eastAsia="zh-CN" w:bidi="ar"/>
        </w:rPr>
        <w:t>法，以监理人认可的尺寸、断面计量，按本工程量清单的单</w:t>
      </w:r>
      <w:r>
        <w:rPr>
          <w:rFonts w:hint="eastAsia" w:ascii="宋体" w:hAnsi="宋体" w:eastAsia="宋体" w:cs="宋体"/>
          <w:snapToGrid/>
          <w:color w:val="000000"/>
          <w:spacing w:val="-3"/>
          <w:kern w:val="0"/>
          <w:sz w:val="21"/>
          <w:szCs w:val="21"/>
          <w:lang w:val="en-US" w:eastAsia="zh-CN" w:bidi="ar"/>
        </w:rPr>
        <w:t>价或总额价计算支付金额；或根据具体情况，</w:t>
      </w:r>
    </w:p>
    <w:p>
      <w:pPr>
        <w:keepNext w:val="0"/>
        <w:keepLines w:val="0"/>
        <w:widowControl/>
        <w:suppressLineNumbers w:val="0"/>
        <w:kinsoku w:val="0"/>
        <w:autoSpaceDE w:val="0"/>
        <w:autoSpaceDN w:val="0"/>
        <w:adjustRightInd w:val="0"/>
        <w:snapToGrid w:val="0"/>
        <w:spacing w:before="159" w:beforeAutospacing="0" w:after="0" w:afterAutospacing="0"/>
        <w:ind w:left="1"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1"/>
          <w:kern w:val="0"/>
          <w:sz w:val="21"/>
          <w:szCs w:val="21"/>
          <w:lang w:val="en-US" w:eastAsia="zh-CN" w:bidi="ar"/>
        </w:rPr>
        <w:t>按合同条款第15.4款的规定，按监理人确定的单价或总额价计算支</w:t>
      </w:r>
      <w:r>
        <w:rPr>
          <w:rFonts w:hint="eastAsia" w:ascii="宋体" w:hAnsi="宋体" w:eastAsia="宋体" w:cs="宋体"/>
          <w:snapToGrid/>
          <w:color w:val="000000"/>
          <w:spacing w:val="-2"/>
          <w:kern w:val="0"/>
          <w:sz w:val="21"/>
          <w:szCs w:val="21"/>
          <w:lang w:val="en-US" w:eastAsia="zh-CN" w:bidi="ar"/>
        </w:rPr>
        <w:t>付额。</w:t>
      </w:r>
    </w:p>
    <w:p>
      <w:pPr>
        <w:keepNext w:val="0"/>
        <w:keepLines w:val="0"/>
        <w:widowControl/>
        <w:suppressLineNumbers w:val="0"/>
        <w:kinsoku w:val="0"/>
        <w:autoSpaceDE w:val="0"/>
        <w:autoSpaceDN w:val="0"/>
        <w:adjustRightInd w:val="0"/>
        <w:snapToGrid w:val="0"/>
        <w:spacing w:before="158" w:beforeAutospacing="0" w:after="0" w:afterAutospacing="0" w:line="360" w:lineRule="auto"/>
        <w:ind w:left="16" w:right="155" w:firstLine="422"/>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2"/>
          <w:kern w:val="0"/>
          <w:sz w:val="21"/>
          <w:szCs w:val="21"/>
          <w:lang w:val="en-US" w:eastAsia="zh-CN" w:bidi="ar"/>
        </w:rPr>
        <w:t>1.4工程量清单各章是按第八章“工程量清单计量规则”、第七章“技术规范”的相应章次编号的，因此，工程量清单中各章的工程子目的范</w:t>
      </w:r>
      <w:r>
        <w:rPr>
          <w:rFonts w:hint="eastAsia" w:ascii="宋体" w:hAnsi="宋体" w:eastAsia="宋体" w:cs="宋体"/>
          <w:snapToGrid/>
          <w:color w:val="000000"/>
          <w:spacing w:val="-3"/>
          <w:kern w:val="0"/>
          <w:sz w:val="21"/>
          <w:szCs w:val="21"/>
          <w:lang w:val="en-US" w:eastAsia="zh-CN" w:bidi="ar"/>
        </w:rPr>
        <w:t>围与计量等应与“工程量清单计量规则”“技术规范”相应章节</w:t>
      </w:r>
    </w:p>
    <w:p>
      <w:pPr>
        <w:keepNext w:val="0"/>
        <w:keepLines w:val="0"/>
        <w:widowControl/>
        <w:suppressLineNumbers w:val="0"/>
        <w:kinsoku w:val="0"/>
        <w:autoSpaceDE w:val="0"/>
        <w:autoSpaceDN w:val="0"/>
        <w:adjustRightInd w:val="0"/>
        <w:snapToGrid w:val="0"/>
        <w:spacing w:before="0" w:beforeAutospacing="0" w:after="0" w:afterAutospacing="0"/>
        <w:ind w:left="17"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1"/>
          <w:kern w:val="0"/>
          <w:sz w:val="21"/>
          <w:szCs w:val="21"/>
          <w:lang w:val="en-US" w:eastAsia="zh-CN" w:bidi="ar"/>
        </w:rPr>
        <w:t>的范围、计量与支付条款结合起来理解或解释。</w:t>
      </w:r>
    </w:p>
    <w:p>
      <w:pPr>
        <w:keepNext w:val="0"/>
        <w:keepLines w:val="0"/>
        <w:widowControl/>
        <w:suppressLineNumbers w:val="0"/>
        <w:kinsoku w:val="0"/>
        <w:autoSpaceDE w:val="0"/>
        <w:autoSpaceDN w:val="0"/>
        <w:adjustRightInd w:val="0"/>
        <w:snapToGrid w:val="0"/>
        <w:spacing w:before="158" w:beforeAutospacing="0" w:after="0" w:afterAutospacing="0" w:line="408" w:lineRule="exact"/>
        <w:ind w:left="438"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3"/>
          <w:kern w:val="0"/>
          <w:position w:val="15"/>
          <w:sz w:val="21"/>
          <w:szCs w:val="21"/>
          <w:lang w:val="en-US" w:eastAsia="zh-CN" w:bidi="ar"/>
        </w:rPr>
        <w:t>1.5对作业和材料的一般说明或规定，未重复写入工程量清</w:t>
      </w:r>
      <w:r>
        <w:rPr>
          <w:rFonts w:hint="eastAsia" w:ascii="宋体" w:hAnsi="宋体" w:eastAsia="宋体" w:cs="宋体"/>
          <w:snapToGrid/>
          <w:color w:val="000000"/>
          <w:spacing w:val="-4"/>
          <w:kern w:val="0"/>
          <w:position w:val="15"/>
          <w:sz w:val="21"/>
          <w:szCs w:val="21"/>
          <w:lang w:val="en-US" w:eastAsia="zh-CN" w:bidi="ar"/>
        </w:rPr>
        <w:t>单内，在给工程量清单各子目标价前，应参</w:t>
      </w:r>
    </w:p>
    <w:p>
      <w:pPr>
        <w:keepNext w:val="0"/>
        <w:keepLines w:val="0"/>
        <w:widowControl/>
        <w:suppressLineNumbers w:val="0"/>
        <w:kinsoku w:val="0"/>
        <w:autoSpaceDE w:val="0"/>
        <w:autoSpaceDN w:val="0"/>
        <w:adjustRightInd w:val="0"/>
        <w:snapToGrid w:val="0"/>
        <w:spacing w:before="1" w:beforeAutospacing="0" w:after="0" w:afterAutospacing="0"/>
        <w:ind w:left="18"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3"/>
          <w:kern w:val="0"/>
          <w:sz w:val="21"/>
          <w:szCs w:val="21"/>
          <w:lang w:val="en-US" w:eastAsia="zh-CN" w:bidi="ar"/>
        </w:rPr>
        <w:t>阅第七章“技术规范”的有关内容。</w:t>
      </w:r>
    </w:p>
    <w:p>
      <w:pPr>
        <w:keepNext w:val="0"/>
        <w:keepLines w:val="0"/>
        <w:widowControl/>
        <w:suppressLineNumbers w:val="0"/>
        <w:kinsoku w:val="0"/>
        <w:autoSpaceDE w:val="0"/>
        <w:autoSpaceDN w:val="0"/>
        <w:adjustRightInd w:val="0"/>
        <w:snapToGrid w:val="0"/>
        <w:spacing w:before="158" w:beforeAutospacing="0" w:after="0" w:afterAutospacing="0" w:line="410" w:lineRule="exact"/>
        <w:ind w:left="438"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4"/>
          <w:kern w:val="0"/>
          <w:position w:val="15"/>
          <w:sz w:val="21"/>
          <w:szCs w:val="21"/>
          <w:lang w:val="en-US" w:eastAsia="zh-CN" w:bidi="ar"/>
        </w:rPr>
        <w:t>1.6工程量清单中所列工程量的变动，丝毫不会降低或影响合同条款的效力，也不免除承包人按规定的</w:t>
      </w:r>
    </w:p>
    <w:p>
      <w:pPr>
        <w:keepNext w:val="0"/>
        <w:keepLines w:val="0"/>
        <w:widowControl/>
        <w:suppressLineNumbers w:val="0"/>
        <w:kinsoku w:val="0"/>
        <w:autoSpaceDE w:val="0"/>
        <w:autoSpaceDN w:val="0"/>
        <w:adjustRightInd w:val="0"/>
        <w:snapToGrid w:val="0"/>
        <w:spacing w:before="1" w:beforeAutospacing="0" w:after="0" w:afterAutospacing="0"/>
        <w:ind w:left="0"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1"/>
          <w:kern w:val="0"/>
          <w:sz w:val="21"/>
          <w:szCs w:val="21"/>
          <w:lang w:val="en-US" w:eastAsia="zh-CN" w:bidi="ar"/>
        </w:rPr>
        <w:t>标准进行施工和修复缺陷的责任。</w:t>
      </w:r>
    </w:p>
    <w:p>
      <w:pPr>
        <w:keepNext w:val="0"/>
        <w:keepLines w:val="0"/>
        <w:widowControl/>
        <w:suppressLineNumbers w:val="0"/>
        <w:kinsoku w:val="0"/>
        <w:autoSpaceDE w:val="0"/>
        <w:autoSpaceDN w:val="0"/>
        <w:adjustRightInd w:val="0"/>
        <w:snapToGrid w:val="0"/>
        <w:spacing w:before="157" w:beforeAutospacing="0" w:after="0" w:afterAutospacing="0" w:line="408" w:lineRule="exact"/>
        <w:ind w:left="438"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3"/>
          <w:kern w:val="0"/>
          <w:position w:val="15"/>
          <w:sz w:val="21"/>
          <w:szCs w:val="21"/>
          <w:lang w:val="en-US" w:eastAsia="zh-CN" w:bidi="ar"/>
        </w:rPr>
        <w:t>1.7图纸中所列的工程数量表及数量汇总表仅是提供资料，不是工程量清单的外延。当图纸与工程量清</w:t>
      </w:r>
    </w:p>
    <w:p>
      <w:pPr>
        <w:keepNext w:val="0"/>
        <w:keepLines w:val="0"/>
        <w:widowControl/>
        <w:suppressLineNumbers w:val="0"/>
        <w:kinsoku w:val="0"/>
        <w:autoSpaceDE w:val="0"/>
        <w:autoSpaceDN w:val="0"/>
        <w:adjustRightInd w:val="0"/>
        <w:snapToGrid w:val="0"/>
        <w:spacing w:before="0" w:beforeAutospacing="0" w:after="0" w:afterAutospacing="0"/>
        <w:ind w:left="1"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kern w:val="0"/>
          <w:sz w:val="21"/>
          <w:szCs w:val="21"/>
          <w:lang w:val="en-US" w:eastAsia="zh-CN" w:bidi="ar"/>
        </w:rPr>
        <w:t>单所列数量不一致时，以工程量清单所列数量作为报价</w:t>
      </w:r>
      <w:r>
        <w:rPr>
          <w:rFonts w:hint="eastAsia" w:ascii="宋体" w:hAnsi="宋体" w:eastAsia="宋体" w:cs="宋体"/>
          <w:snapToGrid/>
          <w:color w:val="000000"/>
          <w:spacing w:val="-1"/>
          <w:kern w:val="0"/>
          <w:sz w:val="21"/>
          <w:szCs w:val="21"/>
          <w:lang w:val="en-US" w:eastAsia="zh-CN" w:bidi="ar"/>
        </w:rPr>
        <w:t>的依据。</w:t>
      </w:r>
    </w:p>
    <w:p>
      <w:pPr>
        <w:pStyle w:val="17"/>
        <w:keepNext w:val="0"/>
        <w:keepLines w:val="0"/>
        <w:widowControl/>
        <w:suppressLineNumbers w:val="0"/>
        <w:kinsoku w:val="0"/>
        <w:autoSpaceDE w:val="0"/>
        <w:autoSpaceDN w:val="0"/>
        <w:adjustRightInd w:val="0"/>
        <w:snapToGrid w:val="0"/>
        <w:spacing w:before="0" w:beforeAutospacing="0" w:after="0" w:afterAutospacing="0" w:line="345" w:lineRule="auto"/>
        <w:ind w:left="0" w:right="0"/>
        <w:jc w:val="left"/>
        <w:textAlignment w:val="baseline"/>
        <w:rPr>
          <w:rFonts w:hint="eastAsia" w:ascii="宋体" w:hAnsi="宋体" w:eastAsia="宋体" w:cs="宋体"/>
          <w:color w:val="000000"/>
          <w:kern w:val="0"/>
          <w:sz w:val="21"/>
          <w:szCs w:val="21"/>
        </w:rPr>
      </w:pPr>
    </w:p>
    <w:p>
      <w:pPr>
        <w:keepNext w:val="0"/>
        <w:keepLines w:val="0"/>
        <w:widowControl/>
        <w:suppressLineNumbers w:val="0"/>
        <w:kinsoku w:val="0"/>
        <w:autoSpaceDE w:val="0"/>
        <w:autoSpaceDN w:val="0"/>
        <w:adjustRightInd w:val="0"/>
        <w:snapToGrid w:val="0"/>
        <w:spacing w:before="69" w:beforeAutospacing="0" w:after="0" w:afterAutospacing="0"/>
        <w:ind w:left="2"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1"/>
          <w:kern w:val="0"/>
          <w:sz w:val="21"/>
          <w:szCs w:val="21"/>
          <w:lang w:val="en-US" w:eastAsia="zh-CN" w:bidi="ar"/>
        </w:rPr>
        <w:t>2．投标报价说明</w:t>
      </w:r>
    </w:p>
    <w:p>
      <w:pPr>
        <w:pStyle w:val="17"/>
        <w:keepNext w:val="0"/>
        <w:keepLines w:val="0"/>
        <w:widowControl/>
        <w:suppressLineNumbers w:val="0"/>
        <w:kinsoku w:val="0"/>
        <w:autoSpaceDE w:val="0"/>
        <w:autoSpaceDN w:val="0"/>
        <w:adjustRightInd w:val="0"/>
        <w:snapToGrid w:val="0"/>
        <w:spacing w:before="0" w:beforeAutospacing="0" w:after="0" w:afterAutospacing="0" w:line="412" w:lineRule="auto"/>
        <w:ind w:left="0" w:right="0"/>
        <w:jc w:val="left"/>
        <w:textAlignment w:val="baseline"/>
        <w:rPr>
          <w:rFonts w:hint="eastAsia" w:ascii="宋体" w:hAnsi="宋体" w:eastAsia="宋体" w:cs="宋体"/>
          <w:color w:val="000000"/>
          <w:kern w:val="0"/>
          <w:sz w:val="21"/>
          <w:szCs w:val="21"/>
        </w:rPr>
      </w:pPr>
    </w:p>
    <w:p>
      <w:pPr>
        <w:keepNext w:val="0"/>
        <w:keepLines w:val="0"/>
        <w:widowControl/>
        <w:suppressLineNumbers w:val="0"/>
        <w:kinsoku w:val="0"/>
        <w:autoSpaceDE w:val="0"/>
        <w:autoSpaceDN w:val="0"/>
        <w:adjustRightInd w:val="0"/>
        <w:snapToGrid w:val="0"/>
        <w:spacing w:before="68" w:beforeAutospacing="0" w:after="0" w:afterAutospacing="0"/>
        <w:ind w:left="425"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1"/>
          <w:kern w:val="0"/>
          <w:sz w:val="21"/>
          <w:szCs w:val="21"/>
          <w:lang w:val="en-US" w:eastAsia="zh-CN" w:bidi="ar"/>
        </w:rPr>
        <w:t>2.1工程量清单中的每一子目须填入单价或价格，且只允许有一个报价。</w:t>
      </w:r>
    </w:p>
    <w:p>
      <w:pPr>
        <w:keepNext w:val="0"/>
        <w:keepLines w:val="0"/>
        <w:widowControl/>
        <w:suppressLineNumbers w:val="0"/>
        <w:kinsoku w:val="0"/>
        <w:autoSpaceDE w:val="0"/>
        <w:autoSpaceDN w:val="0"/>
        <w:adjustRightInd w:val="0"/>
        <w:snapToGrid w:val="0"/>
        <w:spacing w:before="158" w:beforeAutospacing="0" w:after="0" w:afterAutospacing="0" w:line="357" w:lineRule="auto"/>
        <w:ind w:left="5" w:right="74" w:firstLine="42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2"/>
          <w:kern w:val="0"/>
          <w:sz w:val="21"/>
          <w:szCs w:val="21"/>
          <w:lang w:val="en-US" w:eastAsia="zh-CN" w:bidi="ar"/>
        </w:rPr>
        <w:t>2.2除非合同另有规定，工程量清单中有标价的单价和总额价均已包括了为实施和</w:t>
      </w:r>
      <w:r>
        <w:rPr>
          <w:rFonts w:hint="eastAsia" w:ascii="宋体" w:hAnsi="宋体" w:eastAsia="宋体" w:cs="宋体"/>
          <w:snapToGrid/>
          <w:color w:val="000000"/>
          <w:spacing w:val="-3"/>
          <w:kern w:val="0"/>
          <w:sz w:val="21"/>
          <w:szCs w:val="21"/>
          <w:lang w:val="en-US" w:eastAsia="zh-CN" w:bidi="ar"/>
        </w:rPr>
        <w:t>完成合同工程所需的</w:t>
      </w:r>
      <w:r>
        <w:rPr>
          <w:rFonts w:hint="eastAsia" w:ascii="宋体" w:hAnsi="宋体" w:eastAsia="宋体" w:cs="宋体"/>
          <w:snapToGrid/>
          <w:color w:val="000000"/>
          <w:kern w:val="0"/>
          <w:sz w:val="21"/>
          <w:szCs w:val="21"/>
          <w:lang w:val="en-US" w:eastAsia="zh-CN" w:bidi="ar"/>
        </w:rPr>
        <w:t>劳务、材料、机械、质检（自检）、安装、缺陷修复、管理、保险、税费、利润等费用，以</w:t>
      </w:r>
      <w:r>
        <w:rPr>
          <w:rFonts w:hint="eastAsia" w:ascii="宋体" w:hAnsi="宋体" w:eastAsia="宋体" w:cs="宋体"/>
          <w:snapToGrid/>
          <w:color w:val="000000"/>
          <w:spacing w:val="-1"/>
          <w:kern w:val="0"/>
          <w:sz w:val="21"/>
          <w:szCs w:val="21"/>
          <w:lang w:val="en-US" w:eastAsia="zh-CN" w:bidi="ar"/>
        </w:rPr>
        <w:t>及合同明示或</w:t>
      </w:r>
    </w:p>
    <w:p>
      <w:pPr>
        <w:keepNext w:val="0"/>
        <w:keepLines w:val="0"/>
        <w:widowControl/>
        <w:suppressLineNumbers w:val="0"/>
        <w:kinsoku w:val="0"/>
        <w:autoSpaceDE w:val="0"/>
        <w:autoSpaceDN w:val="0"/>
        <w:adjustRightInd w:val="0"/>
        <w:snapToGrid w:val="0"/>
        <w:spacing w:before="1" w:beforeAutospacing="0" w:after="0" w:afterAutospacing="0"/>
        <w:ind w:left="9"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2"/>
          <w:kern w:val="0"/>
          <w:sz w:val="21"/>
          <w:szCs w:val="21"/>
          <w:lang w:val="en-US" w:eastAsia="zh-CN" w:bidi="ar"/>
        </w:rPr>
        <w:t>暗示的所有责任、义务和一般风险。</w:t>
      </w:r>
    </w:p>
    <w:p>
      <w:pPr>
        <w:keepNext w:val="0"/>
        <w:keepLines w:val="0"/>
        <w:widowControl/>
        <w:suppressLineNumbers w:val="0"/>
        <w:kinsoku w:val="0"/>
        <w:autoSpaceDE w:val="0"/>
        <w:autoSpaceDN w:val="0"/>
        <w:adjustRightInd w:val="0"/>
        <w:snapToGrid w:val="0"/>
        <w:spacing w:before="156" w:beforeAutospacing="0" w:after="0" w:afterAutospacing="0" w:line="360" w:lineRule="auto"/>
        <w:ind w:left="17" w:right="74" w:firstLine="408"/>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2"/>
          <w:kern w:val="0"/>
          <w:sz w:val="21"/>
          <w:szCs w:val="21"/>
          <w:lang w:val="en-US" w:eastAsia="zh-CN" w:bidi="ar"/>
        </w:rPr>
        <w:t>2.3工程量清单中投标人没有填入单价或价格的子目，其费用视为已分摊在工程量清单中其他相关子目的单价或价格之中。承包人必须按监理人指令完成工程量清单中未填入单价或价格的子目，</w:t>
      </w:r>
      <w:r>
        <w:rPr>
          <w:rFonts w:hint="eastAsia" w:ascii="宋体" w:hAnsi="宋体" w:eastAsia="宋体" w:cs="宋体"/>
          <w:snapToGrid/>
          <w:color w:val="000000"/>
          <w:spacing w:val="-3"/>
          <w:kern w:val="0"/>
          <w:sz w:val="21"/>
          <w:szCs w:val="21"/>
          <w:lang w:val="en-US" w:eastAsia="zh-CN" w:bidi="ar"/>
        </w:rPr>
        <w:t>但不能得到结</w:t>
      </w:r>
    </w:p>
    <w:p>
      <w:pPr>
        <w:keepNext w:val="0"/>
        <w:keepLines w:val="0"/>
        <w:widowControl/>
        <w:suppressLineNumbers w:val="0"/>
        <w:kinsoku w:val="0"/>
        <w:autoSpaceDE w:val="0"/>
        <w:autoSpaceDN w:val="0"/>
        <w:adjustRightInd w:val="0"/>
        <w:snapToGrid w:val="0"/>
        <w:spacing w:before="1" w:beforeAutospacing="0" w:after="0" w:afterAutospacing="0"/>
        <w:ind w:left="1"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5"/>
          <w:kern w:val="0"/>
          <w:sz w:val="21"/>
          <w:szCs w:val="21"/>
          <w:lang w:val="en-US" w:eastAsia="zh-CN" w:bidi="ar"/>
        </w:rPr>
        <w:t>算与支付。</w:t>
      </w:r>
    </w:p>
    <w:p>
      <w:pPr>
        <w:keepNext w:val="0"/>
        <w:keepLines w:val="0"/>
        <w:widowControl/>
        <w:suppressLineNumbers w:val="0"/>
        <w:kinsoku w:val="0"/>
        <w:autoSpaceDE w:val="0"/>
        <w:autoSpaceDN w:val="0"/>
        <w:adjustRightInd w:val="0"/>
        <w:snapToGrid w:val="0"/>
        <w:spacing w:before="158" w:beforeAutospacing="0" w:after="0" w:afterAutospacing="0" w:line="408" w:lineRule="exact"/>
        <w:ind w:left="425"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2"/>
          <w:kern w:val="0"/>
          <w:position w:val="15"/>
          <w:sz w:val="21"/>
          <w:szCs w:val="21"/>
          <w:lang w:val="en-US" w:eastAsia="zh-CN" w:bidi="ar"/>
        </w:rPr>
        <w:t>2.4符合合同条款规定的全部费用应认为己被计入有标价的工程量清单所列各子目之中，未列子目不予</w:t>
      </w:r>
    </w:p>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1"/>
          <w:kern w:val="0"/>
          <w:sz w:val="21"/>
          <w:szCs w:val="21"/>
          <w:lang w:val="en-US" w:eastAsia="zh-CN" w:bidi="ar"/>
        </w:rPr>
        <w:t>计量的工作，其费用应视为己分摊在本合同工程的有关子目的单价或总额价之中。</w:t>
      </w:r>
    </w:p>
    <w:p>
      <w:pPr>
        <w:keepNext w:val="0"/>
        <w:keepLines w:val="0"/>
        <w:widowControl/>
        <w:suppressLineNumbers w:val="0"/>
        <w:kinsoku w:val="0"/>
        <w:autoSpaceDE w:val="0"/>
        <w:autoSpaceDN w:val="0"/>
        <w:adjustRightInd w:val="0"/>
        <w:snapToGrid w:val="0"/>
        <w:spacing w:before="161" w:beforeAutospacing="0" w:after="0" w:afterAutospacing="0" w:line="408" w:lineRule="exact"/>
        <w:ind w:left="425"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2"/>
          <w:kern w:val="0"/>
          <w:position w:val="15"/>
          <w:sz w:val="21"/>
          <w:szCs w:val="21"/>
          <w:lang w:val="en-US" w:eastAsia="zh-CN" w:bidi="ar"/>
        </w:rPr>
        <w:t>2.5承包人用于本合同工程的各类装备的提供、运输、维护、拆卸、拼装等支付的费用，已包括在工程</w:t>
      </w:r>
    </w:p>
    <w:p>
      <w:pPr>
        <w:keepNext w:val="0"/>
        <w:keepLines w:val="0"/>
        <w:widowControl/>
        <w:suppressLineNumbers w:val="0"/>
        <w:kinsoku w:val="0"/>
        <w:autoSpaceDE w:val="0"/>
        <w:autoSpaceDN w:val="0"/>
        <w:adjustRightInd w:val="0"/>
        <w:snapToGrid w:val="0"/>
        <w:spacing w:before="42" w:beforeAutospacing="0" w:after="0" w:afterAutospacing="0"/>
        <w:ind w:left="483" w:right="0"/>
        <w:jc w:val="left"/>
        <w:textAlignment w:val="baseline"/>
        <w:rPr>
          <w:rFonts w:hint="eastAsia" w:ascii="宋体" w:hAnsi="宋体" w:eastAsia="宋体" w:cs="宋体"/>
          <w:snapToGrid/>
          <w:color w:val="000000"/>
          <w:spacing w:val="-2"/>
          <w:kern w:val="0"/>
          <w:sz w:val="21"/>
          <w:szCs w:val="21"/>
          <w:lang w:val="en-US" w:eastAsia="zh-CN" w:bidi="ar"/>
        </w:rPr>
      </w:pPr>
      <w:r>
        <w:rPr>
          <w:rFonts w:hint="eastAsia" w:ascii="宋体" w:hAnsi="宋体" w:eastAsia="宋体" w:cs="宋体"/>
          <w:snapToGrid/>
          <w:color w:val="000000"/>
          <w:spacing w:val="-2"/>
          <w:kern w:val="0"/>
          <w:sz w:val="21"/>
          <w:szCs w:val="21"/>
          <w:lang w:val="en-US" w:eastAsia="zh-CN" w:bidi="ar"/>
        </w:rPr>
        <w:t>量清单的单价与总额价之中。</w:t>
      </w:r>
    </w:p>
    <w:p>
      <w:pPr>
        <w:keepNext w:val="0"/>
        <w:keepLines w:val="0"/>
        <w:widowControl/>
        <w:suppressLineNumbers w:val="0"/>
        <w:kinsoku w:val="0"/>
        <w:autoSpaceDE w:val="0"/>
        <w:autoSpaceDN w:val="0"/>
        <w:adjustRightInd w:val="0"/>
        <w:snapToGrid w:val="0"/>
        <w:spacing w:before="42" w:beforeAutospacing="0" w:after="0" w:afterAutospacing="0"/>
        <w:ind w:left="483"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5"/>
          <w:kern w:val="0"/>
          <w:sz w:val="21"/>
          <w:szCs w:val="21"/>
          <w:lang w:val="en-US" w:eastAsia="zh-CN" w:bidi="ar"/>
        </w:rPr>
        <w:t>2.6工程量清单中各项金额均以人民币（元）结算。</w:t>
      </w:r>
    </w:p>
    <w:p>
      <w:pPr>
        <w:keepNext w:val="0"/>
        <w:keepLines w:val="0"/>
        <w:widowControl/>
        <w:suppressLineNumbers w:val="0"/>
        <w:kinsoku w:val="0"/>
        <w:autoSpaceDE w:val="0"/>
        <w:autoSpaceDN w:val="0"/>
        <w:adjustRightInd w:val="0"/>
        <w:snapToGrid w:val="0"/>
        <w:spacing w:before="157" w:beforeAutospacing="0" w:after="0" w:afterAutospacing="0" w:line="288" w:lineRule="auto"/>
        <w:ind w:left="426" w:right="5258" w:firstLine="57"/>
        <w:jc w:val="left"/>
        <w:textAlignment w:val="baseline"/>
        <w:rPr>
          <w:rFonts w:hint="eastAsia" w:ascii="宋体" w:hAnsi="宋体" w:eastAsia="宋体" w:cs="宋体"/>
          <w:snapToGrid/>
          <w:color w:val="000000"/>
          <w:spacing w:val="-6"/>
          <w:kern w:val="0"/>
          <w:sz w:val="21"/>
          <w:szCs w:val="21"/>
          <w:lang w:val="en-US" w:eastAsia="zh-CN" w:bidi="ar"/>
        </w:rPr>
      </w:pPr>
      <w:r>
        <w:rPr>
          <w:rFonts w:hint="eastAsia" w:ascii="宋体" w:hAnsi="宋体" w:eastAsia="宋体" w:cs="宋体"/>
          <w:snapToGrid/>
          <w:color w:val="000000"/>
          <w:spacing w:val="-6"/>
          <w:kern w:val="0"/>
          <w:sz w:val="21"/>
          <w:szCs w:val="21"/>
          <w:lang w:val="en-US" w:eastAsia="zh-CN" w:bidi="ar"/>
        </w:rPr>
        <w:t>2.7暂列金额的数量及拟用子目的说明：</w:t>
      </w:r>
      <w:r>
        <w:rPr>
          <w:rFonts w:hint="eastAsia" w:ascii="宋体" w:hAnsi="宋体" w:eastAsia="宋体" w:cs="宋体"/>
          <w:snapToGrid/>
          <w:color w:val="000000"/>
          <w:spacing w:val="-6"/>
          <w:kern w:val="0"/>
          <w:sz w:val="21"/>
          <w:szCs w:val="21"/>
          <w:u w:val="single"/>
          <w:lang w:val="en-US" w:eastAsia="zh-CN" w:bidi="ar"/>
        </w:rPr>
        <w:t>/</w:t>
      </w:r>
      <w:r>
        <w:rPr>
          <w:rFonts w:hint="eastAsia" w:ascii="宋体" w:hAnsi="宋体" w:eastAsia="宋体" w:cs="宋体"/>
          <w:snapToGrid/>
          <w:color w:val="000000"/>
          <w:spacing w:val="-6"/>
          <w:kern w:val="0"/>
          <w:sz w:val="21"/>
          <w:szCs w:val="21"/>
          <w:lang w:val="en-US" w:eastAsia="zh-CN" w:bidi="ar"/>
        </w:rPr>
        <w:t>。</w:t>
      </w:r>
    </w:p>
    <w:p>
      <w:pPr>
        <w:keepNext w:val="0"/>
        <w:keepLines w:val="0"/>
        <w:widowControl/>
        <w:suppressLineNumbers w:val="0"/>
        <w:kinsoku w:val="0"/>
        <w:autoSpaceDE w:val="0"/>
        <w:autoSpaceDN w:val="0"/>
        <w:adjustRightInd w:val="0"/>
        <w:snapToGrid w:val="0"/>
        <w:spacing w:before="157" w:beforeAutospacing="0" w:after="0" w:afterAutospacing="0" w:line="288" w:lineRule="auto"/>
        <w:ind w:left="426" w:right="5258" w:firstLine="57"/>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2"/>
          <w:kern w:val="0"/>
          <w:sz w:val="21"/>
          <w:szCs w:val="21"/>
          <w:lang w:val="en-US" w:eastAsia="zh-CN" w:bidi="ar"/>
        </w:rPr>
        <w:t>2.8暂估价的数量及拟用子目的说明：</w:t>
      </w:r>
      <w:r>
        <w:rPr>
          <w:rFonts w:hint="eastAsia" w:ascii="宋体" w:hAnsi="宋体" w:eastAsia="宋体" w:cs="宋体"/>
          <w:snapToGrid/>
          <w:color w:val="000000"/>
          <w:spacing w:val="-2"/>
          <w:kern w:val="0"/>
          <w:sz w:val="21"/>
          <w:szCs w:val="21"/>
          <w:u w:val="single"/>
          <w:lang w:val="en-US" w:eastAsia="zh-CN" w:bidi="ar"/>
        </w:rPr>
        <w:t>/</w:t>
      </w:r>
      <w:r>
        <w:rPr>
          <w:rFonts w:hint="eastAsia" w:ascii="宋体" w:hAnsi="宋体" w:eastAsia="宋体" w:cs="宋体"/>
          <w:snapToGrid/>
          <w:color w:val="000000"/>
          <w:spacing w:val="-2"/>
          <w:kern w:val="0"/>
          <w:sz w:val="21"/>
          <w:szCs w:val="21"/>
          <w:lang w:val="en-US" w:eastAsia="zh-CN" w:bidi="ar"/>
        </w:rPr>
        <w:t>。</w:t>
      </w:r>
    </w:p>
    <w:p>
      <w:pPr>
        <w:pStyle w:val="17"/>
        <w:keepNext w:val="0"/>
        <w:keepLines w:val="0"/>
        <w:widowControl/>
        <w:suppressLineNumbers w:val="0"/>
        <w:kinsoku w:val="0"/>
        <w:autoSpaceDE w:val="0"/>
        <w:autoSpaceDN w:val="0"/>
        <w:adjustRightInd w:val="0"/>
        <w:snapToGrid w:val="0"/>
        <w:spacing w:before="0" w:beforeAutospacing="0" w:after="0" w:afterAutospacing="0" w:line="348" w:lineRule="auto"/>
        <w:ind w:left="0" w:right="0"/>
        <w:jc w:val="left"/>
        <w:textAlignment w:val="baseline"/>
        <w:rPr>
          <w:rFonts w:hint="eastAsia" w:ascii="宋体" w:hAnsi="宋体" w:eastAsia="宋体" w:cs="宋体"/>
          <w:color w:val="000000"/>
          <w:kern w:val="0"/>
          <w:sz w:val="21"/>
          <w:szCs w:val="21"/>
        </w:rPr>
      </w:pPr>
    </w:p>
    <w:p>
      <w:pPr>
        <w:keepNext w:val="0"/>
        <w:keepLines w:val="0"/>
        <w:widowControl/>
        <w:suppressLineNumbers w:val="0"/>
        <w:kinsoku w:val="0"/>
        <w:autoSpaceDE w:val="0"/>
        <w:autoSpaceDN w:val="0"/>
        <w:adjustRightInd w:val="0"/>
        <w:snapToGrid w:val="0"/>
        <w:spacing w:before="68" w:beforeAutospacing="0" w:after="0" w:afterAutospacing="0"/>
        <w:ind w:left="5"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1"/>
          <w:kern w:val="0"/>
          <w:sz w:val="21"/>
          <w:szCs w:val="21"/>
          <w:lang w:val="en-US" w:eastAsia="zh-CN" w:bidi="ar"/>
        </w:rPr>
        <w:t>3．计日工说明</w:t>
      </w:r>
    </w:p>
    <w:p>
      <w:pPr>
        <w:pStyle w:val="17"/>
        <w:keepNext w:val="0"/>
        <w:keepLines w:val="0"/>
        <w:widowControl/>
        <w:suppressLineNumbers w:val="0"/>
        <w:kinsoku w:val="0"/>
        <w:autoSpaceDE w:val="0"/>
        <w:autoSpaceDN w:val="0"/>
        <w:adjustRightInd w:val="0"/>
        <w:snapToGrid w:val="0"/>
        <w:spacing w:before="0" w:beforeAutospacing="0" w:after="0" w:afterAutospacing="0" w:line="408" w:lineRule="auto"/>
        <w:ind w:left="0" w:right="0"/>
        <w:jc w:val="left"/>
        <w:textAlignment w:val="baseline"/>
        <w:rPr>
          <w:rFonts w:hint="eastAsia" w:ascii="宋体" w:hAnsi="宋体" w:eastAsia="宋体" w:cs="宋体"/>
          <w:color w:val="000000"/>
          <w:kern w:val="0"/>
          <w:sz w:val="21"/>
          <w:szCs w:val="21"/>
        </w:rPr>
      </w:pPr>
    </w:p>
    <w:p>
      <w:pPr>
        <w:keepNext w:val="0"/>
        <w:keepLines w:val="0"/>
        <w:widowControl/>
        <w:suppressLineNumbers w:val="0"/>
        <w:kinsoku w:val="0"/>
        <w:autoSpaceDE w:val="0"/>
        <w:autoSpaceDN w:val="0"/>
        <w:adjustRightInd w:val="0"/>
        <w:snapToGrid w:val="0"/>
        <w:spacing w:before="68" w:beforeAutospacing="0" w:after="0" w:afterAutospacing="0"/>
        <w:ind w:left="427"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4"/>
          <w:kern w:val="0"/>
          <w:sz w:val="21"/>
          <w:szCs w:val="21"/>
          <w:lang w:val="en-US" w:eastAsia="zh-CN" w:bidi="ar"/>
        </w:rPr>
        <w:t>3.1总则</w:t>
      </w:r>
    </w:p>
    <w:p>
      <w:pPr>
        <w:keepNext w:val="0"/>
        <w:keepLines w:val="0"/>
        <w:widowControl/>
        <w:suppressLineNumbers w:val="0"/>
        <w:kinsoku w:val="0"/>
        <w:autoSpaceDE w:val="0"/>
        <w:autoSpaceDN w:val="0"/>
        <w:adjustRightInd w:val="0"/>
        <w:snapToGrid w:val="0"/>
        <w:spacing w:before="156" w:beforeAutospacing="0" w:after="0" w:afterAutospacing="0"/>
        <w:ind w:left="430"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3"/>
          <w:kern w:val="0"/>
          <w:sz w:val="21"/>
          <w:szCs w:val="21"/>
          <w:lang w:val="en-US" w:eastAsia="zh-CN" w:bidi="ar"/>
        </w:rPr>
        <w:t>（1）本说明应参照通用合同条款第15.7款一并理解。</w:t>
      </w:r>
    </w:p>
    <w:p>
      <w:pPr>
        <w:keepNext w:val="0"/>
        <w:keepLines w:val="0"/>
        <w:widowControl/>
        <w:suppressLineNumbers w:val="0"/>
        <w:kinsoku w:val="0"/>
        <w:autoSpaceDE w:val="0"/>
        <w:autoSpaceDN w:val="0"/>
        <w:adjustRightInd w:val="0"/>
        <w:snapToGrid w:val="0"/>
        <w:spacing w:before="159" w:beforeAutospacing="0" w:after="0" w:afterAutospacing="0" w:line="410" w:lineRule="exact"/>
        <w:ind w:left="425"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1"/>
          <w:kern w:val="0"/>
          <w:position w:val="15"/>
          <w:sz w:val="21"/>
          <w:szCs w:val="21"/>
          <w:lang w:val="en-US" w:eastAsia="zh-CN" w:bidi="ar"/>
        </w:rPr>
        <w:t>（2）未经监理人书面指令，任何工程不得按计日工施工；接到监理人按计日工施工的书面指令，承包</w:t>
      </w:r>
    </w:p>
    <w:p>
      <w:pPr>
        <w:keepNext w:val="0"/>
        <w:keepLines w:val="0"/>
        <w:widowControl/>
        <w:suppressLineNumbers w:val="0"/>
        <w:kinsoku w:val="0"/>
        <w:autoSpaceDE w:val="0"/>
        <w:autoSpaceDN w:val="0"/>
        <w:adjustRightInd w:val="0"/>
        <w:snapToGrid w:val="0"/>
        <w:spacing w:before="1" w:beforeAutospacing="0" w:after="0" w:afterAutospacing="0"/>
        <w:ind w:left="2"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4"/>
          <w:kern w:val="0"/>
          <w:sz w:val="21"/>
          <w:szCs w:val="21"/>
          <w:lang w:val="en-US" w:eastAsia="zh-CN" w:bidi="ar"/>
        </w:rPr>
        <w:t>人也不得拒绝。</w:t>
      </w:r>
    </w:p>
    <w:p>
      <w:pPr>
        <w:keepNext w:val="0"/>
        <w:keepLines w:val="0"/>
        <w:widowControl/>
        <w:suppressLineNumbers w:val="0"/>
        <w:kinsoku w:val="0"/>
        <w:autoSpaceDE w:val="0"/>
        <w:autoSpaceDN w:val="0"/>
        <w:adjustRightInd w:val="0"/>
        <w:snapToGrid w:val="0"/>
        <w:spacing w:before="156" w:beforeAutospacing="0" w:after="0" w:afterAutospacing="0" w:line="357" w:lineRule="auto"/>
        <w:ind w:left="3" w:right="210" w:firstLine="419"/>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kern w:val="0"/>
          <w:sz w:val="21"/>
          <w:szCs w:val="21"/>
          <w:lang w:val="en-US" w:eastAsia="zh-CN" w:bidi="ar"/>
        </w:rPr>
        <w:t>（3）投标人应在计日工单价表中填列计日工子目</w:t>
      </w:r>
      <w:r>
        <w:rPr>
          <w:rFonts w:hint="eastAsia" w:ascii="宋体" w:hAnsi="宋体" w:eastAsia="宋体" w:cs="宋体"/>
          <w:snapToGrid/>
          <w:color w:val="000000"/>
          <w:spacing w:val="-1"/>
          <w:kern w:val="0"/>
          <w:sz w:val="21"/>
          <w:szCs w:val="21"/>
          <w:lang w:val="en-US" w:eastAsia="zh-CN" w:bidi="ar"/>
        </w:rPr>
        <w:t>的基本单价或租价，该基本单价或租价适用于监理人指令的任何数量的计日工的结算与支付。计</w:t>
      </w:r>
      <w:r>
        <w:rPr>
          <w:rFonts w:hint="eastAsia" w:ascii="宋体" w:hAnsi="宋体" w:eastAsia="宋体" w:cs="宋体"/>
          <w:snapToGrid/>
          <w:color w:val="000000"/>
          <w:spacing w:val="-2"/>
          <w:kern w:val="0"/>
          <w:sz w:val="21"/>
          <w:szCs w:val="21"/>
          <w:lang w:val="en-US" w:eastAsia="zh-CN" w:bidi="ar"/>
        </w:rPr>
        <w:t>日工的劳务、材料和施工机械由招标人（或发包人）列出正常</w:t>
      </w:r>
    </w:p>
    <w:p>
      <w:pPr>
        <w:keepNext w:val="0"/>
        <w:keepLines w:val="0"/>
        <w:widowControl/>
        <w:suppressLineNumbers w:val="0"/>
        <w:kinsoku w:val="0"/>
        <w:autoSpaceDE w:val="0"/>
        <w:autoSpaceDN w:val="0"/>
        <w:adjustRightInd w:val="0"/>
        <w:snapToGrid w:val="0"/>
        <w:spacing w:before="0" w:beforeAutospacing="0" w:after="0" w:afterAutospacing="0"/>
        <w:ind w:left="18"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4"/>
          <w:kern w:val="0"/>
          <w:sz w:val="21"/>
          <w:szCs w:val="21"/>
          <w:lang w:val="en-US" w:eastAsia="zh-CN" w:bidi="ar"/>
        </w:rPr>
        <w:t>的估计数量，投标人报出单价，计算出计日工总额后列入工程量清单汇总表中。</w:t>
      </w:r>
    </w:p>
    <w:p>
      <w:pPr>
        <w:keepNext w:val="0"/>
        <w:keepLines w:val="0"/>
        <w:widowControl/>
        <w:suppressLineNumbers w:val="0"/>
        <w:kinsoku w:val="0"/>
        <w:autoSpaceDE w:val="0"/>
        <w:autoSpaceDN w:val="0"/>
        <w:adjustRightInd w:val="0"/>
        <w:snapToGrid w:val="0"/>
        <w:spacing w:before="161" w:beforeAutospacing="0" w:after="0" w:afterAutospacing="0"/>
        <w:ind w:left="430"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2"/>
          <w:kern w:val="0"/>
          <w:sz w:val="21"/>
          <w:szCs w:val="21"/>
          <w:lang w:val="en-US" w:eastAsia="zh-CN" w:bidi="ar"/>
        </w:rPr>
        <w:t>（4）计日工不调价。</w:t>
      </w:r>
    </w:p>
    <w:p>
      <w:pPr>
        <w:keepNext w:val="0"/>
        <w:keepLines w:val="0"/>
        <w:widowControl/>
        <w:suppressLineNumbers w:val="0"/>
        <w:kinsoku w:val="0"/>
        <w:autoSpaceDE w:val="0"/>
        <w:autoSpaceDN w:val="0"/>
        <w:adjustRightInd w:val="0"/>
        <w:snapToGrid w:val="0"/>
        <w:spacing w:before="159" w:beforeAutospacing="0" w:after="0" w:afterAutospacing="0"/>
        <w:ind w:left="427"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3"/>
          <w:kern w:val="0"/>
          <w:sz w:val="21"/>
          <w:szCs w:val="21"/>
          <w:lang w:val="en-US" w:eastAsia="zh-CN" w:bidi="ar"/>
        </w:rPr>
        <w:t>3.2计日工劳务</w:t>
      </w:r>
    </w:p>
    <w:p>
      <w:pPr>
        <w:keepNext w:val="0"/>
        <w:keepLines w:val="0"/>
        <w:widowControl/>
        <w:suppressLineNumbers w:val="0"/>
        <w:kinsoku w:val="0"/>
        <w:autoSpaceDE w:val="0"/>
        <w:autoSpaceDN w:val="0"/>
        <w:adjustRightInd w:val="0"/>
        <w:snapToGrid w:val="0"/>
        <w:spacing w:before="156" w:beforeAutospacing="0" w:after="0" w:afterAutospacing="0" w:line="357" w:lineRule="auto"/>
        <w:ind w:left="6" w:right="152" w:firstLine="392"/>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3"/>
          <w:kern w:val="0"/>
          <w:sz w:val="21"/>
          <w:szCs w:val="21"/>
          <w:lang w:val="en-US" w:eastAsia="zh-CN" w:bidi="ar"/>
        </w:rPr>
        <w:t>（1）在计算应付给承包人的计日工工资时，工时应从工人到达施工现场</w:t>
      </w:r>
      <w:r>
        <w:rPr>
          <w:rFonts w:hint="eastAsia" w:ascii="宋体" w:hAnsi="宋体" w:eastAsia="宋体" w:cs="宋体"/>
          <w:snapToGrid/>
          <w:color w:val="000000"/>
          <w:spacing w:val="-4"/>
          <w:kern w:val="0"/>
          <w:sz w:val="21"/>
          <w:szCs w:val="21"/>
          <w:lang w:val="en-US" w:eastAsia="zh-CN" w:bidi="ar"/>
        </w:rPr>
        <w:t>，并开始从事指定的工作算起，</w:t>
      </w:r>
      <w:r>
        <w:rPr>
          <w:rFonts w:hint="eastAsia" w:ascii="宋体" w:hAnsi="宋体" w:eastAsia="宋体" w:cs="宋体"/>
          <w:snapToGrid/>
          <w:color w:val="000000"/>
          <w:spacing w:val="-2"/>
          <w:kern w:val="0"/>
          <w:sz w:val="21"/>
          <w:szCs w:val="21"/>
          <w:lang w:val="en-US" w:eastAsia="zh-CN" w:bidi="ar"/>
        </w:rPr>
        <w:t>到返回原出发地点为止，扣去用餐和休息的时间。只有直接从事指定的工作，且能胜任该工作的工人才能</w:t>
      </w:r>
    </w:p>
    <w:p>
      <w:pPr>
        <w:keepNext w:val="0"/>
        <w:keepLines w:val="0"/>
        <w:widowControl/>
        <w:suppressLineNumbers w:val="0"/>
        <w:kinsoku w:val="0"/>
        <w:autoSpaceDE w:val="0"/>
        <w:autoSpaceDN w:val="0"/>
        <w:adjustRightInd w:val="0"/>
        <w:snapToGrid w:val="0"/>
        <w:spacing w:before="1" w:beforeAutospacing="0" w:after="0" w:afterAutospacing="0"/>
        <w:ind w:left="0"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5"/>
          <w:kern w:val="0"/>
          <w:sz w:val="21"/>
          <w:szCs w:val="21"/>
          <w:lang w:val="en-US" w:eastAsia="zh-CN" w:bidi="ar"/>
        </w:rPr>
        <w:t>计工，随同工人一起做工的班长应计算在内，但不包括领工（工长）和其他质检管理人员。</w:t>
      </w:r>
    </w:p>
    <w:p>
      <w:pPr>
        <w:keepNext w:val="0"/>
        <w:keepLines w:val="0"/>
        <w:widowControl/>
        <w:suppressLineNumbers w:val="0"/>
        <w:kinsoku w:val="0"/>
        <w:autoSpaceDE w:val="0"/>
        <w:autoSpaceDN w:val="0"/>
        <w:adjustRightInd w:val="0"/>
        <w:snapToGrid w:val="0"/>
        <w:spacing w:before="160" w:beforeAutospacing="0" w:after="0" w:afterAutospacing="0" w:line="408" w:lineRule="exact"/>
        <w:ind w:left="0" w:right="0"/>
        <w:jc w:val="righ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1"/>
          <w:kern w:val="0"/>
          <w:position w:val="15"/>
          <w:sz w:val="21"/>
          <w:szCs w:val="21"/>
          <w:lang w:val="en-US" w:eastAsia="zh-CN" w:bidi="ar"/>
        </w:rPr>
        <w:t>（2）承包人可以得到用于计日工劳务的全部工时的支付，此支付按承包人填报的“计日工劳</w:t>
      </w:r>
      <w:r>
        <w:rPr>
          <w:rFonts w:hint="eastAsia" w:ascii="宋体" w:hAnsi="宋体" w:eastAsia="宋体" w:cs="宋体"/>
          <w:snapToGrid/>
          <w:color w:val="000000"/>
          <w:spacing w:val="-2"/>
          <w:kern w:val="0"/>
          <w:position w:val="15"/>
          <w:sz w:val="21"/>
          <w:szCs w:val="21"/>
          <w:lang w:val="en-US" w:eastAsia="zh-CN" w:bidi="ar"/>
        </w:rPr>
        <w:t>务单价表”</w:t>
      </w:r>
    </w:p>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4"/>
          <w:kern w:val="0"/>
          <w:sz w:val="21"/>
          <w:szCs w:val="21"/>
          <w:lang w:val="en-US" w:eastAsia="zh-CN" w:bidi="ar"/>
        </w:rPr>
        <w:t>所列单价计算，该单价应包括基本单价及承包人的管理费、税费、利润等所有附加费，说明如下：</w:t>
      </w:r>
    </w:p>
    <w:p>
      <w:pPr>
        <w:keepNext w:val="0"/>
        <w:keepLines w:val="0"/>
        <w:widowControl/>
        <w:suppressLineNumbers w:val="0"/>
        <w:kinsoku w:val="0"/>
        <w:autoSpaceDE w:val="0"/>
        <w:autoSpaceDN w:val="0"/>
        <w:adjustRightInd w:val="0"/>
        <w:snapToGrid w:val="0"/>
        <w:spacing w:before="158" w:beforeAutospacing="0" w:after="0" w:afterAutospacing="0" w:line="408" w:lineRule="exact"/>
        <w:ind w:left="424"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4"/>
          <w:kern w:val="0"/>
          <w:position w:val="15"/>
          <w:sz w:val="21"/>
          <w:szCs w:val="21"/>
          <w:lang w:val="en-US" w:eastAsia="zh-CN" w:bidi="ar"/>
        </w:rPr>
        <w:t>a.劳务基本单价包括：承包人劳务的全部直接费用，如：工资、加班费、津贴、福利费</w:t>
      </w:r>
      <w:r>
        <w:rPr>
          <w:rFonts w:hint="eastAsia" w:ascii="宋体" w:hAnsi="宋体" w:eastAsia="宋体" w:cs="宋体"/>
          <w:snapToGrid/>
          <w:color w:val="000000"/>
          <w:spacing w:val="-5"/>
          <w:kern w:val="0"/>
          <w:position w:val="15"/>
          <w:sz w:val="21"/>
          <w:szCs w:val="21"/>
          <w:lang w:val="en-US" w:eastAsia="zh-CN" w:bidi="ar"/>
        </w:rPr>
        <w:t>及劳动保护费</w:t>
      </w:r>
    </w:p>
    <w:p>
      <w:pPr>
        <w:keepNext w:val="0"/>
        <w:keepLines w:val="0"/>
        <w:widowControl/>
        <w:suppressLineNumbers w:val="0"/>
        <w:kinsoku w:val="0"/>
        <w:autoSpaceDE w:val="0"/>
        <w:autoSpaceDN w:val="0"/>
        <w:adjustRightInd w:val="0"/>
        <w:snapToGrid w:val="0"/>
        <w:spacing w:before="1" w:beforeAutospacing="0" w:after="0" w:afterAutospacing="0"/>
        <w:ind w:left="2"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10"/>
          <w:kern w:val="0"/>
          <w:sz w:val="21"/>
          <w:szCs w:val="21"/>
          <w:lang w:val="en-US" w:eastAsia="zh-CN" w:bidi="ar"/>
        </w:rPr>
        <w:t>等。</w:t>
      </w:r>
    </w:p>
    <w:p>
      <w:pPr>
        <w:keepNext w:val="0"/>
        <w:keepLines w:val="0"/>
        <w:widowControl/>
        <w:suppressLineNumbers w:val="0"/>
        <w:kinsoku w:val="0"/>
        <w:autoSpaceDE w:val="0"/>
        <w:autoSpaceDN w:val="0"/>
        <w:adjustRightInd w:val="0"/>
        <w:snapToGrid w:val="0"/>
        <w:spacing w:before="157" w:beforeAutospacing="0" w:after="0" w:afterAutospacing="0" w:line="411" w:lineRule="exact"/>
        <w:ind w:left="420"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2"/>
          <w:kern w:val="0"/>
          <w:position w:val="15"/>
          <w:sz w:val="21"/>
          <w:szCs w:val="21"/>
          <w:lang w:val="en-US" w:eastAsia="zh-CN" w:bidi="ar"/>
        </w:rPr>
        <w:t>b.承包人的利润、管理、质检、保险、税费；易耗品的使用、水电及照</w:t>
      </w:r>
      <w:r>
        <w:rPr>
          <w:rFonts w:hint="eastAsia" w:ascii="宋体" w:hAnsi="宋体" w:eastAsia="宋体" w:cs="宋体"/>
          <w:snapToGrid/>
          <w:color w:val="000000"/>
          <w:spacing w:val="-3"/>
          <w:kern w:val="0"/>
          <w:position w:val="15"/>
          <w:sz w:val="21"/>
          <w:szCs w:val="21"/>
          <w:lang w:val="en-US" w:eastAsia="zh-CN" w:bidi="ar"/>
        </w:rPr>
        <w:t>明费、工作台、脚手架、临时</w:t>
      </w:r>
    </w:p>
    <w:p>
      <w:pPr>
        <w:keepNext w:val="0"/>
        <w:keepLines w:val="0"/>
        <w:widowControl/>
        <w:suppressLineNumbers w:val="0"/>
        <w:kinsoku w:val="0"/>
        <w:autoSpaceDE w:val="0"/>
        <w:autoSpaceDN w:val="0"/>
        <w:adjustRightInd w:val="0"/>
        <w:snapToGrid w:val="0"/>
        <w:spacing w:before="1" w:beforeAutospacing="0" w:after="0" w:afterAutospacing="0"/>
        <w:ind w:left="4"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4"/>
          <w:kern w:val="0"/>
          <w:sz w:val="21"/>
          <w:szCs w:val="21"/>
          <w:lang w:val="en-US" w:eastAsia="zh-CN" w:bidi="ar"/>
        </w:rPr>
        <w:t>设施费、手动机具与工具的使用及维修，以及上述各项伴随而来的费用。</w:t>
      </w:r>
    </w:p>
    <w:p>
      <w:pPr>
        <w:keepNext w:val="0"/>
        <w:keepLines w:val="0"/>
        <w:widowControl/>
        <w:suppressLineNumbers w:val="0"/>
        <w:kinsoku w:val="0"/>
        <w:autoSpaceDE w:val="0"/>
        <w:autoSpaceDN w:val="0"/>
        <w:adjustRightInd w:val="0"/>
        <w:snapToGrid w:val="0"/>
        <w:spacing w:before="158" w:beforeAutospacing="0" w:after="0" w:afterAutospacing="0"/>
        <w:ind w:left="427"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3"/>
          <w:kern w:val="0"/>
          <w:sz w:val="21"/>
          <w:szCs w:val="21"/>
          <w:lang w:val="en-US" w:eastAsia="zh-CN" w:bidi="ar"/>
        </w:rPr>
        <w:t>3.3计日工材料</w:t>
      </w:r>
    </w:p>
    <w:p>
      <w:pPr>
        <w:keepNext w:val="0"/>
        <w:keepLines w:val="0"/>
        <w:widowControl/>
        <w:suppressLineNumbers w:val="0"/>
        <w:kinsoku w:val="0"/>
        <w:autoSpaceDE w:val="0"/>
        <w:autoSpaceDN w:val="0"/>
        <w:adjustRightInd w:val="0"/>
        <w:snapToGrid w:val="0"/>
        <w:spacing w:before="157" w:beforeAutospacing="0" w:after="0" w:afterAutospacing="0" w:line="360" w:lineRule="auto"/>
        <w:ind w:left="1" w:right="241" w:firstLine="428"/>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4"/>
          <w:kern w:val="0"/>
          <w:sz w:val="21"/>
          <w:szCs w:val="21"/>
          <w:lang w:val="en-US" w:eastAsia="zh-CN" w:bidi="ar"/>
        </w:rPr>
        <w:t>（1）承包人可以得到计日工使用的材料费用（上述3.2款已计入劳务费内的材料费用除外）的支付，</w:t>
      </w:r>
      <w:r>
        <w:rPr>
          <w:rFonts w:hint="eastAsia" w:ascii="宋体" w:hAnsi="宋体" w:eastAsia="宋体" w:cs="宋体"/>
          <w:snapToGrid/>
          <w:color w:val="000000"/>
          <w:spacing w:val="-2"/>
          <w:kern w:val="0"/>
          <w:sz w:val="21"/>
          <w:szCs w:val="21"/>
          <w:lang w:val="en-US" w:eastAsia="zh-CN" w:bidi="ar"/>
        </w:rPr>
        <w:t>此费用按承包人“计日工材料单价表”中所填报的单价计算，该单价应包括基本</w:t>
      </w:r>
      <w:r>
        <w:rPr>
          <w:rFonts w:hint="eastAsia" w:ascii="宋体" w:hAnsi="宋体" w:eastAsia="宋体" w:cs="宋体"/>
          <w:snapToGrid/>
          <w:color w:val="000000"/>
          <w:spacing w:val="-3"/>
          <w:kern w:val="0"/>
          <w:sz w:val="21"/>
          <w:szCs w:val="21"/>
          <w:lang w:val="en-US" w:eastAsia="zh-CN" w:bidi="ar"/>
        </w:rPr>
        <w:t>单价及承包人的管理费、</w:t>
      </w:r>
      <w:r>
        <w:rPr>
          <w:rFonts w:hint="eastAsia" w:ascii="宋体" w:hAnsi="宋体" w:eastAsia="宋体" w:cs="宋体"/>
          <w:snapToGrid/>
          <w:color w:val="000000"/>
          <w:spacing w:val="-1"/>
          <w:kern w:val="0"/>
          <w:sz w:val="21"/>
          <w:szCs w:val="21"/>
          <w:lang w:val="en-US" w:eastAsia="zh-CN" w:bidi="ar"/>
        </w:rPr>
        <w:t>税费、利润等所有附加费，说明如下：</w:t>
      </w:r>
    </w:p>
    <w:p>
      <w:pPr>
        <w:keepNext w:val="0"/>
        <w:keepLines w:val="0"/>
        <w:widowControl/>
        <w:suppressLineNumbers w:val="0"/>
        <w:kinsoku w:val="0"/>
        <w:autoSpaceDE w:val="0"/>
        <w:autoSpaceDN w:val="0"/>
        <w:adjustRightInd w:val="0"/>
        <w:snapToGrid w:val="0"/>
        <w:spacing w:before="158" w:beforeAutospacing="0" w:after="0" w:afterAutospacing="0" w:line="408" w:lineRule="exact"/>
        <w:ind w:left="424"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kern w:val="0"/>
          <w:position w:val="15"/>
          <w:sz w:val="21"/>
          <w:szCs w:val="21"/>
          <w:lang w:val="en-US" w:eastAsia="zh-CN" w:bidi="ar"/>
        </w:rPr>
        <w:t>a.材料基本单价按供货价加运杂费（到达承包人现场仓库）、保险费、仓库管理费以及运输</w:t>
      </w:r>
      <w:r>
        <w:rPr>
          <w:rFonts w:hint="eastAsia" w:ascii="宋体" w:hAnsi="宋体" w:eastAsia="宋体" w:cs="宋体"/>
          <w:snapToGrid/>
          <w:color w:val="000000"/>
          <w:spacing w:val="-1"/>
          <w:kern w:val="0"/>
          <w:position w:val="15"/>
          <w:sz w:val="21"/>
          <w:szCs w:val="21"/>
          <w:lang w:val="en-US" w:eastAsia="zh-CN" w:bidi="ar"/>
        </w:rPr>
        <w:t>损耗等计</w:t>
      </w:r>
    </w:p>
    <w:p>
      <w:pPr>
        <w:keepNext w:val="0"/>
        <w:keepLines w:val="0"/>
        <w:widowControl/>
        <w:suppressLineNumbers w:val="0"/>
        <w:kinsoku w:val="0"/>
        <w:autoSpaceDE w:val="0"/>
        <w:autoSpaceDN w:val="0"/>
        <w:adjustRightInd w:val="0"/>
        <w:snapToGrid w:val="0"/>
        <w:spacing w:before="1" w:beforeAutospacing="0" w:after="0" w:afterAutospacing="0"/>
        <w:ind w:left="2"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10"/>
          <w:kern w:val="0"/>
          <w:sz w:val="21"/>
          <w:szCs w:val="21"/>
          <w:lang w:val="en-US" w:eastAsia="zh-CN" w:bidi="ar"/>
        </w:rPr>
        <w:t>算。</w:t>
      </w:r>
    </w:p>
    <w:p>
      <w:pPr>
        <w:keepNext w:val="0"/>
        <w:keepLines w:val="0"/>
        <w:widowControl/>
        <w:suppressLineNumbers w:val="0"/>
        <w:kinsoku w:val="0"/>
        <w:autoSpaceDE w:val="0"/>
        <w:autoSpaceDN w:val="0"/>
        <w:adjustRightInd w:val="0"/>
        <w:snapToGrid w:val="0"/>
        <w:spacing w:before="157" w:beforeAutospacing="0" w:after="0" w:afterAutospacing="0"/>
        <w:ind w:left="420"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kern w:val="0"/>
          <w:sz w:val="21"/>
          <w:szCs w:val="21"/>
          <w:lang w:val="en-US" w:eastAsia="zh-CN" w:bidi="ar"/>
        </w:rPr>
        <w:t>b.承包人的利润、管理、质检、保险、税费及其他附加</w:t>
      </w:r>
      <w:r>
        <w:rPr>
          <w:rFonts w:hint="eastAsia" w:ascii="宋体" w:hAnsi="宋体" w:eastAsia="宋体" w:cs="宋体"/>
          <w:snapToGrid/>
          <w:color w:val="000000"/>
          <w:spacing w:val="-1"/>
          <w:kern w:val="0"/>
          <w:sz w:val="21"/>
          <w:szCs w:val="21"/>
          <w:lang w:val="en-US" w:eastAsia="zh-CN" w:bidi="ar"/>
        </w:rPr>
        <w:t>费；</w:t>
      </w:r>
    </w:p>
    <w:p>
      <w:pPr>
        <w:keepNext w:val="0"/>
        <w:keepLines w:val="0"/>
        <w:widowControl/>
        <w:suppressLineNumbers w:val="0"/>
        <w:kinsoku w:val="0"/>
        <w:autoSpaceDE w:val="0"/>
        <w:autoSpaceDN w:val="0"/>
        <w:adjustRightInd w:val="0"/>
        <w:snapToGrid w:val="0"/>
        <w:spacing w:before="158" w:beforeAutospacing="0" w:after="0" w:afterAutospacing="0"/>
        <w:ind w:left="427"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1"/>
          <w:kern w:val="0"/>
          <w:sz w:val="21"/>
          <w:szCs w:val="21"/>
          <w:lang w:val="en-US" w:eastAsia="zh-CN" w:bidi="ar"/>
        </w:rPr>
        <w:t>c.从现场运至使用地点的人工费和施工机械使用费不包括在上述基本单价内。</w:t>
      </w:r>
    </w:p>
    <w:p>
      <w:pPr>
        <w:keepNext w:val="0"/>
        <w:keepLines w:val="0"/>
        <w:widowControl/>
        <w:suppressLineNumbers w:val="0"/>
        <w:kinsoku w:val="0"/>
        <w:autoSpaceDE w:val="0"/>
        <w:autoSpaceDN w:val="0"/>
        <w:adjustRightInd w:val="0"/>
        <w:snapToGrid w:val="0"/>
        <w:spacing w:before="41" w:beforeAutospacing="0" w:after="0" w:afterAutospacing="0" w:line="357" w:lineRule="auto"/>
        <w:ind w:right="0" w:firstLine="408" w:firstLineChars="200"/>
        <w:jc w:val="both"/>
        <w:textAlignment w:val="baseline"/>
        <w:rPr>
          <w:rFonts w:hint="eastAsia" w:ascii="宋体" w:hAnsi="宋体" w:eastAsia="宋体" w:cs="宋体"/>
          <w:snapToGrid/>
          <w:color w:val="000000"/>
          <w:spacing w:val="-3"/>
          <w:kern w:val="0"/>
          <w:sz w:val="21"/>
          <w:szCs w:val="21"/>
          <w:lang w:val="en-US" w:eastAsia="zh-CN" w:bidi="ar"/>
        </w:rPr>
      </w:pPr>
      <w:r>
        <w:rPr>
          <w:rFonts w:hint="eastAsia" w:ascii="宋体" w:hAnsi="宋体" w:eastAsia="宋体" w:cs="宋体"/>
          <w:snapToGrid/>
          <w:color w:val="000000"/>
          <w:spacing w:val="-3"/>
          <w:kern w:val="0"/>
          <w:sz w:val="21"/>
          <w:szCs w:val="21"/>
          <w:lang w:val="en-US" w:eastAsia="zh-CN" w:bidi="ar"/>
        </w:rPr>
        <w:t>3.4计日工施工机械</w:t>
      </w:r>
    </w:p>
    <w:p>
      <w:pPr>
        <w:keepNext w:val="0"/>
        <w:keepLines w:val="0"/>
        <w:widowControl/>
        <w:suppressLineNumbers w:val="0"/>
        <w:kinsoku w:val="0"/>
        <w:autoSpaceDE w:val="0"/>
        <w:autoSpaceDN w:val="0"/>
        <w:adjustRightInd w:val="0"/>
        <w:snapToGrid w:val="0"/>
        <w:spacing w:before="41" w:beforeAutospacing="0" w:after="0" w:afterAutospacing="0" w:line="357" w:lineRule="auto"/>
        <w:ind w:right="0" w:firstLine="412" w:firstLineChars="200"/>
        <w:jc w:val="both"/>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2"/>
          <w:kern w:val="0"/>
          <w:sz w:val="21"/>
          <w:szCs w:val="21"/>
          <w:lang w:val="en-US" w:eastAsia="zh-CN" w:bidi="ar"/>
        </w:rPr>
        <w:t>（1）承包人可以得到用于计日工作业的施工机械费用的支付，</w:t>
      </w:r>
      <w:r>
        <w:rPr>
          <w:rFonts w:hint="eastAsia" w:ascii="宋体" w:hAnsi="宋体" w:eastAsia="宋体" w:cs="宋体"/>
          <w:snapToGrid/>
          <w:color w:val="000000"/>
          <w:spacing w:val="-3"/>
          <w:kern w:val="0"/>
          <w:sz w:val="21"/>
          <w:szCs w:val="21"/>
          <w:lang w:val="en-US" w:eastAsia="zh-CN" w:bidi="ar"/>
        </w:rPr>
        <w:t>该费用按承包人填报的“计日工施工机</w:t>
      </w:r>
      <w:r>
        <w:rPr>
          <w:rFonts w:hint="eastAsia" w:ascii="宋体" w:hAnsi="宋体" w:eastAsia="宋体" w:cs="宋体"/>
          <w:snapToGrid/>
          <w:color w:val="000000"/>
          <w:kern w:val="0"/>
          <w:sz w:val="21"/>
          <w:szCs w:val="21"/>
          <w:lang w:val="en-US" w:eastAsia="zh-CN" w:bidi="ar"/>
        </w:rPr>
        <w:t>械单价表”中的租价计算。该租价应包括施工机械的折旧、利息、维修、保养、零配件、油燃料、保险和</w:t>
      </w:r>
    </w:p>
    <w:p>
      <w:pPr>
        <w:keepNext w:val="0"/>
        <w:keepLines w:val="0"/>
        <w:widowControl/>
        <w:suppressLineNumbers w:val="0"/>
        <w:kinsoku w:val="0"/>
        <w:autoSpaceDE w:val="0"/>
        <w:autoSpaceDN w:val="0"/>
        <w:adjustRightInd w:val="0"/>
        <w:snapToGrid w:val="0"/>
        <w:spacing w:before="0" w:beforeAutospacing="0" w:after="0" w:afterAutospacing="0"/>
        <w:ind w:left="1"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kern w:val="0"/>
          <w:sz w:val="21"/>
          <w:szCs w:val="21"/>
          <w:lang w:val="en-US" w:eastAsia="zh-CN" w:bidi="ar"/>
        </w:rPr>
        <w:t>其他消耗品的费用以及全部有关使用这些机械的管理费、税费</w:t>
      </w:r>
      <w:r>
        <w:rPr>
          <w:rFonts w:hint="eastAsia" w:ascii="宋体" w:hAnsi="宋体" w:eastAsia="宋体" w:cs="宋体"/>
          <w:snapToGrid/>
          <w:color w:val="000000"/>
          <w:spacing w:val="-1"/>
          <w:kern w:val="0"/>
          <w:sz w:val="21"/>
          <w:szCs w:val="21"/>
          <w:lang w:val="en-US" w:eastAsia="zh-CN" w:bidi="ar"/>
        </w:rPr>
        <w:t>、利润和司机与助手的劳务费等费用。</w:t>
      </w:r>
    </w:p>
    <w:p>
      <w:pPr>
        <w:keepNext w:val="0"/>
        <w:keepLines w:val="0"/>
        <w:widowControl/>
        <w:suppressLineNumbers w:val="0"/>
        <w:kinsoku w:val="0"/>
        <w:autoSpaceDE w:val="0"/>
        <w:autoSpaceDN w:val="0"/>
        <w:adjustRightInd w:val="0"/>
        <w:snapToGrid w:val="0"/>
        <w:spacing w:before="159" w:beforeAutospacing="0" w:after="0" w:afterAutospacing="0" w:line="357" w:lineRule="auto"/>
        <w:ind w:left="21" w:right="2" w:firstLine="403"/>
        <w:jc w:val="both"/>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1"/>
          <w:kern w:val="0"/>
          <w:sz w:val="21"/>
          <w:szCs w:val="21"/>
          <w:lang w:val="en-US" w:eastAsia="zh-CN" w:bidi="ar"/>
        </w:rPr>
        <w:t>（2）在计日工作业中，承包人计算所用的施工机械费用时，应按实际工作小时支付。除非经监理人的</w:t>
      </w:r>
      <w:r>
        <w:rPr>
          <w:rFonts w:hint="eastAsia" w:ascii="宋体" w:hAnsi="宋体" w:eastAsia="宋体" w:cs="宋体"/>
          <w:snapToGrid/>
          <w:color w:val="000000"/>
          <w:spacing w:val="-3"/>
          <w:kern w:val="0"/>
          <w:sz w:val="21"/>
          <w:szCs w:val="21"/>
          <w:lang w:val="en-US" w:eastAsia="zh-CN" w:bidi="ar"/>
        </w:rPr>
        <w:t>同意，计算的工作小时才能将施工机械从现场某处运到监理人指令的计日工作业的另一现场往返运送时间</w:t>
      </w:r>
    </w:p>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5"/>
          <w:kern w:val="0"/>
          <w:sz w:val="21"/>
          <w:szCs w:val="21"/>
          <w:lang w:val="en-US" w:eastAsia="zh-CN" w:bidi="ar"/>
        </w:rPr>
        <w:t>包括在内。</w:t>
      </w:r>
    </w:p>
    <w:p>
      <w:pPr>
        <w:pStyle w:val="17"/>
        <w:keepNext w:val="0"/>
        <w:keepLines w:val="0"/>
        <w:widowControl/>
        <w:suppressLineNumbers w:val="0"/>
        <w:kinsoku w:val="0"/>
        <w:autoSpaceDE w:val="0"/>
        <w:autoSpaceDN w:val="0"/>
        <w:adjustRightInd w:val="0"/>
        <w:snapToGrid w:val="0"/>
        <w:spacing w:before="0" w:beforeAutospacing="0" w:after="0" w:afterAutospacing="0" w:line="343" w:lineRule="auto"/>
        <w:ind w:left="0" w:right="0"/>
        <w:jc w:val="left"/>
        <w:textAlignment w:val="baseline"/>
        <w:rPr>
          <w:rFonts w:hint="eastAsia" w:ascii="宋体" w:hAnsi="宋体" w:eastAsia="宋体" w:cs="宋体"/>
          <w:color w:val="000000"/>
          <w:kern w:val="0"/>
          <w:sz w:val="21"/>
          <w:szCs w:val="21"/>
        </w:rPr>
      </w:pPr>
    </w:p>
    <w:p>
      <w:pPr>
        <w:keepNext w:val="0"/>
        <w:keepLines w:val="0"/>
        <w:widowControl/>
        <w:suppressLineNumbers w:val="0"/>
        <w:kinsoku w:val="0"/>
        <w:autoSpaceDE w:val="0"/>
        <w:autoSpaceDN w:val="0"/>
        <w:adjustRightInd w:val="0"/>
        <w:snapToGrid w:val="0"/>
        <w:spacing w:before="69" w:beforeAutospacing="0" w:after="0" w:afterAutospacing="0"/>
        <w:ind w:left="0"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kern w:val="0"/>
          <w:sz w:val="21"/>
          <w:szCs w:val="21"/>
          <w:lang w:val="en-US" w:eastAsia="zh-CN" w:bidi="ar"/>
        </w:rPr>
        <w:t>4．其他说明</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计价依据:交通部【2018】86号公告发布的《公路工程预算定额》(JTG/T 3832-2018);交通部【2018】86号公告发布的《公路工程机械台班费用定额》(JTG/T3833-2018)及其他相关补充定额;</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交通部【2018】86号公告发布的《公路工程建设项目概算预算编制办法》(JTG 3830-2018);</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清单依据:《公路工程标准施工招标文件》(2018版),公路工程标准招标文件范本(2018版);</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材料价格参照报送及《洛阳市建设工程造价信息》2023年第6期价格调整，不全者参同期及市场价计入;</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人工费、规费、养老保险、医疗保险、失业保险、工伤保险、住房公积金按河南省交通运输厅“关于发布河南省公路工程建设项目估算概算预算编制办法补充规定的通知”豫交文[2019]274号文;</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税率依据建办标函[2019]193号文，按9%计取。</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sz w:val="21"/>
          <w:szCs w:val="21"/>
          <w:lang w:val="en-US" w:eastAsia="zh-CN"/>
        </w:rPr>
        <w:t>（7）.</w:t>
      </w:r>
      <w:r>
        <w:rPr>
          <w:rFonts w:hint="eastAsia" w:ascii="宋体" w:hAnsi="宋体" w:eastAsia="宋体" w:cs="宋体"/>
          <w:sz w:val="21"/>
          <w:szCs w:val="21"/>
        </w:rPr>
        <w:t>余土外运、垃圾外运运距均按3km计入;</w:t>
      </w:r>
    </w:p>
    <w:p>
      <w:pPr>
        <w:keepNext w:val="0"/>
        <w:keepLines w:val="0"/>
        <w:widowControl/>
        <w:suppressLineNumbers w:val="0"/>
        <w:kinsoku w:val="0"/>
        <w:autoSpaceDE w:val="0"/>
        <w:autoSpaceDN w:val="0"/>
        <w:adjustRightInd w:val="0"/>
        <w:snapToGrid w:val="0"/>
        <w:spacing w:before="68" w:beforeAutospacing="0" w:after="0" w:afterAutospacing="0"/>
        <w:ind w:left="5" w:right="0"/>
        <w:jc w:val="left"/>
        <w:textAlignment w:val="baseline"/>
        <w:outlineLvl w:val="0"/>
        <w:rPr>
          <w:rFonts w:hint="eastAsia" w:ascii="宋体" w:hAnsi="宋体" w:eastAsia="宋体" w:cs="宋体"/>
          <w:color w:val="000000"/>
          <w:kern w:val="0"/>
          <w:sz w:val="21"/>
          <w:szCs w:val="21"/>
        </w:rPr>
        <w:sectPr>
          <w:pgSz w:w="11907" w:h="16841"/>
          <w:pgMar w:top="1427" w:right="862" w:bottom="1216" w:left="1087" w:header="1" w:footer="1055" w:gutter="0"/>
          <w:pgNumType w:fmt="decimal"/>
          <w:cols w:space="720" w:num="1"/>
        </w:sectPr>
      </w:pPr>
      <w:bookmarkStart w:id="161" w:name="_Toc15097"/>
      <w:r>
        <w:rPr>
          <w:rFonts w:hint="eastAsia" w:ascii="宋体" w:hAnsi="宋体" w:eastAsia="宋体" w:cs="宋体"/>
          <w:snapToGrid/>
          <w:color w:val="000000"/>
          <w:spacing w:val="-5"/>
          <w:kern w:val="0"/>
          <w:sz w:val="21"/>
          <w:szCs w:val="21"/>
          <w:lang w:val="en-US" w:eastAsia="zh-CN" w:bidi="ar"/>
        </w:rPr>
        <w:t>5.工程量清单（另册</w:t>
      </w:r>
      <w:bookmarkEnd w:id="161"/>
      <w:r>
        <w:rPr>
          <w:rFonts w:hint="eastAsia" w:ascii="宋体" w:hAnsi="宋体" w:eastAsia="宋体" w:cs="宋体"/>
          <w:snapToGrid/>
          <w:color w:val="000000"/>
          <w:spacing w:val="-5"/>
          <w:kern w:val="0"/>
          <w:sz w:val="21"/>
          <w:szCs w:val="21"/>
          <w:lang w:val="en-US" w:eastAsia="zh-CN" w:bidi="ar"/>
        </w:rPr>
        <w:t>）</w:t>
      </w:r>
    </w:p>
    <w:p>
      <w:pPr>
        <w:keepNext w:val="0"/>
        <w:keepLines w:val="0"/>
        <w:pageBreakBefore w:val="0"/>
        <w:widowControl/>
        <w:kinsoku w:val="0"/>
        <w:wordWrap/>
        <w:overflowPunct/>
        <w:topLinePunct w:val="0"/>
        <w:autoSpaceDE w:val="0"/>
        <w:autoSpaceDN w:val="0"/>
        <w:bidi w:val="0"/>
        <w:adjustRightInd w:val="0"/>
        <w:snapToGrid w:val="0"/>
        <w:spacing w:before="234" w:line="221" w:lineRule="auto"/>
        <w:ind w:left="0"/>
        <w:jc w:val="center"/>
        <w:textAlignment w:val="baseline"/>
        <w:outlineLvl w:val="0"/>
        <w:rPr>
          <w:rFonts w:hint="eastAsia" w:ascii="宋体" w:hAnsi="宋体" w:eastAsia="宋体" w:cs="宋体"/>
          <w:snapToGrid w:val="0"/>
          <w:color w:val="000000"/>
          <w:spacing w:val="-23"/>
          <w:kern w:val="0"/>
          <w:sz w:val="72"/>
          <w:szCs w:val="72"/>
          <w:lang w:eastAsia="en-US"/>
          <w14:textOutline w14:w="13063" w14:cap="flat" w14:cmpd="sng">
            <w14:solidFill>
              <w14:srgbClr w14:val="000000"/>
            </w14:solidFill>
            <w14:prstDash w14:val="solid"/>
            <w14:miter w14:val="0"/>
          </w14:textOutline>
        </w:rPr>
      </w:pPr>
      <w:bookmarkStart w:id="162" w:name="_Toc490748556"/>
      <w:bookmarkStart w:id="163" w:name="_Toc22499"/>
      <w:bookmarkStart w:id="164" w:name="_Toc7571"/>
      <w:bookmarkStart w:id="165" w:name="_Toc22921"/>
      <w:bookmarkStart w:id="166" w:name="_Toc9368"/>
      <w:bookmarkStart w:id="167" w:name="_Toc22127"/>
    </w:p>
    <w:p>
      <w:pPr>
        <w:keepNext w:val="0"/>
        <w:keepLines w:val="0"/>
        <w:pageBreakBefore w:val="0"/>
        <w:widowControl/>
        <w:kinsoku w:val="0"/>
        <w:wordWrap/>
        <w:overflowPunct/>
        <w:topLinePunct w:val="0"/>
        <w:autoSpaceDE w:val="0"/>
        <w:autoSpaceDN w:val="0"/>
        <w:bidi w:val="0"/>
        <w:adjustRightInd w:val="0"/>
        <w:snapToGrid w:val="0"/>
        <w:spacing w:before="234" w:line="221" w:lineRule="auto"/>
        <w:ind w:left="0"/>
        <w:jc w:val="center"/>
        <w:textAlignment w:val="baseline"/>
        <w:outlineLvl w:val="0"/>
        <w:rPr>
          <w:rFonts w:hint="eastAsia" w:ascii="宋体" w:hAnsi="宋体" w:eastAsia="宋体" w:cs="宋体"/>
          <w:snapToGrid w:val="0"/>
          <w:color w:val="000000"/>
          <w:spacing w:val="-23"/>
          <w:kern w:val="0"/>
          <w:sz w:val="72"/>
          <w:szCs w:val="72"/>
          <w:lang w:eastAsia="en-US"/>
          <w14:textOutline w14:w="13063" w14:cap="flat" w14:cmpd="sng">
            <w14:solidFill>
              <w14:srgbClr w14:val="000000"/>
            </w14:solidFill>
            <w14:prstDash w14:val="solid"/>
            <w14:miter w14:val="0"/>
          </w14:textOutline>
        </w:rPr>
      </w:pPr>
    </w:p>
    <w:p>
      <w:pPr>
        <w:keepNext w:val="0"/>
        <w:keepLines w:val="0"/>
        <w:pageBreakBefore w:val="0"/>
        <w:widowControl/>
        <w:kinsoku w:val="0"/>
        <w:wordWrap/>
        <w:overflowPunct/>
        <w:topLinePunct w:val="0"/>
        <w:autoSpaceDE w:val="0"/>
        <w:autoSpaceDN w:val="0"/>
        <w:bidi w:val="0"/>
        <w:adjustRightInd w:val="0"/>
        <w:snapToGrid w:val="0"/>
        <w:spacing w:before="234" w:line="221" w:lineRule="auto"/>
        <w:ind w:left="0"/>
        <w:jc w:val="center"/>
        <w:textAlignment w:val="baseline"/>
        <w:outlineLvl w:val="0"/>
        <w:rPr>
          <w:rFonts w:hint="eastAsia" w:ascii="宋体" w:hAnsi="宋体" w:eastAsia="宋体" w:cs="宋体"/>
          <w:snapToGrid w:val="0"/>
          <w:color w:val="000000"/>
          <w:spacing w:val="-23"/>
          <w:kern w:val="0"/>
          <w:sz w:val="72"/>
          <w:szCs w:val="72"/>
          <w:lang w:eastAsia="en-US"/>
          <w14:textOutline w14:w="13063" w14:cap="flat" w14:cmpd="sng">
            <w14:solidFill>
              <w14:srgbClr w14:val="000000"/>
            </w14:solidFill>
            <w14:prstDash w14:val="solid"/>
            <w14:miter w14:val="0"/>
          </w14:textOutline>
        </w:rPr>
      </w:pPr>
    </w:p>
    <w:p>
      <w:pPr>
        <w:keepNext w:val="0"/>
        <w:keepLines w:val="0"/>
        <w:pageBreakBefore w:val="0"/>
        <w:widowControl/>
        <w:kinsoku w:val="0"/>
        <w:wordWrap/>
        <w:overflowPunct/>
        <w:topLinePunct w:val="0"/>
        <w:autoSpaceDE w:val="0"/>
        <w:autoSpaceDN w:val="0"/>
        <w:bidi w:val="0"/>
        <w:adjustRightInd w:val="0"/>
        <w:snapToGrid w:val="0"/>
        <w:spacing w:before="234" w:line="221" w:lineRule="auto"/>
        <w:ind w:left="0"/>
        <w:jc w:val="center"/>
        <w:textAlignment w:val="baseline"/>
        <w:outlineLvl w:val="0"/>
        <w:rPr>
          <w:rFonts w:hint="eastAsia" w:ascii="宋体" w:hAnsi="宋体" w:eastAsia="宋体" w:cs="宋体"/>
          <w:snapToGrid w:val="0"/>
          <w:color w:val="000000"/>
          <w:spacing w:val="-23"/>
          <w:kern w:val="0"/>
          <w:sz w:val="72"/>
          <w:szCs w:val="72"/>
          <w:lang w:eastAsia="en-US"/>
          <w14:textOutline w14:w="13063" w14:cap="flat" w14:cmpd="sng">
            <w14:solidFill>
              <w14:srgbClr w14:val="000000"/>
            </w14:solidFill>
            <w14:prstDash w14:val="solid"/>
            <w14:miter w14:val="0"/>
          </w14:textOutline>
        </w:rPr>
      </w:pPr>
    </w:p>
    <w:p>
      <w:pPr>
        <w:keepNext w:val="0"/>
        <w:keepLines w:val="0"/>
        <w:pageBreakBefore w:val="0"/>
        <w:widowControl/>
        <w:kinsoku w:val="0"/>
        <w:wordWrap/>
        <w:overflowPunct/>
        <w:topLinePunct w:val="0"/>
        <w:autoSpaceDE w:val="0"/>
        <w:autoSpaceDN w:val="0"/>
        <w:bidi w:val="0"/>
        <w:adjustRightInd w:val="0"/>
        <w:snapToGrid w:val="0"/>
        <w:spacing w:before="234" w:line="221" w:lineRule="auto"/>
        <w:ind w:left="0"/>
        <w:jc w:val="center"/>
        <w:textAlignment w:val="baseline"/>
        <w:outlineLvl w:val="0"/>
        <w:rPr>
          <w:rFonts w:hint="eastAsia" w:ascii="宋体" w:hAnsi="宋体" w:eastAsia="宋体" w:cs="宋体"/>
          <w:snapToGrid w:val="0"/>
          <w:color w:val="000000"/>
          <w:spacing w:val="-23"/>
          <w:kern w:val="0"/>
          <w:sz w:val="72"/>
          <w:szCs w:val="72"/>
          <w:lang w:eastAsia="en-US"/>
          <w14:textOutline w14:w="13063" w14:cap="flat" w14:cmpd="sng">
            <w14:solidFill>
              <w14:srgbClr w14:val="000000"/>
            </w14:solidFill>
            <w14:prstDash w14:val="solid"/>
            <w14:miter w14:val="0"/>
          </w14:textOutline>
        </w:rPr>
      </w:pPr>
    </w:p>
    <w:p>
      <w:pPr>
        <w:keepNext w:val="0"/>
        <w:keepLines w:val="0"/>
        <w:pageBreakBefore w:val="0"/>
        <w:widowControl/>
        <w:kinsoku w:val="0"/>
        <w:wordWrap/>
        <w:overflowPunct/>
        <w:topLinePunct w:val="0"/>
        <w:autoSpaceDE w:val="0"/>
        <w:autoSpaceDN w:val="0"/>
        <w:bidi w:val="0"/>
        <w:adjustRightInd w:val="0"/>
        <w:snapToGrid w:val="0"/>
        <w:spacing w:before="234" w:line="221" w:lineRule="auto"/>
        <w:ind w:left="0"/>
        <w:jc w:val="center"/>
        <w:textAlignment w:val="baseline"/>
        <w:outlineLvl w:val="0"/>
        <w:rPr>
          <w:rFonts w:hint="eastAsia" w:ascii="宋体" w:hAnsi="宋体" w:eastAsia="宋体" w:cs="宋体"/>
          <w:snapToGrid w:val="0"/>
          <w:color w:val="000000"/>
          <w:spacing w:val="-23"/>
          <w:kern w:val="0"/>
          <w:sz w:val="72"/>
          <w:szCs w:val="72"/>
          <w:lang w:eastAsia="en-US"/>
          <w14:textOutline w14:w="13063" w14:cap="flat" w14:cmpd="sng">
            <w14:solidFill>
              <w14:srgbClr w14:val="000000"/>
            </w14:solidFill>
            <w14:prstDash w14:val="solid"/>
            <w14:miter w14:val="0"/>
          </w14:textOutline>
        </w:rPr>
      </w:pPr>
    </w:p>
    <w:p>
      <w:pPr>
        <w:keepNext w:val="0"/>
        <w:keepLines w:val="0"/>
        <w:pageBreakBefore w:val="0"/>
        <w:widowControl/>
        <w:kinsoku w:val="0"/>
        <w:wordWrap/>
        <w:overflowPunct/>
        <w:topLinePunct w:val="0"/>
        <w:autoSpaceDE w:val="0"/>
        <w:autoSpaceDN w:val="0"/>
        <w:bidi w:val="0"/>
        <w:adjustRightInd w:val="0"/>
        <w:snapToGrid w:val="0"/>
        <w:spacing w:before="234" w:line="221" w:lineRule="auto"/>
        <w:ind w:left="0"/>
        <w:jc w:val="center"/>
        <w:textAlignment w:val="baseline"/>
        <w:outlineLvl w:val="0"/>
        <w:rPr>
          <w:rFonts w:hint="eastAsia" w:ascii="宋体" w:hAnsi="宋体" w:eastAsia="宋体" w:cs="宋体"/>
          <w:snapToGrid w:val="0"/>
          <w:color w:val="000000"/>
          <w:spacing w:val="-23"/>
          <w:kern w:val="0"/>
          <w:sz w:val="72"/>
          <w:szCs w:val="72"/>
          <w:lang w:eastAsia="en-US"/>
          <w14:textOutline w14:w="13063" w14:cap="flat" w14:cmpd="sng">
            <w14:solidFill>
              <w14:srgbClr w14:val="000000"/>
            </w14:solidFill>
            <w14:prstDash w14:val="solid"/>
            <w14:miter w14:val="0"/>
          </w14:textOutline>
        </w:rPr>
      </w:pPr>
      <w:r>
        <w:rPr>
          <w:rFonts w:hint="eastAsia" w:ascii="宋体" w:hAnsi="宋体" w:eastAsia="宋体" w:cs="宋体"/>
          <w:snapToGrid w:val="0"/>
          <w:color w:val="000000"/>
          <w:spacing w:val="-23"/>
          <w:kern w:val="0"/>
          <w:sz w:val="72"/>
          <w:szCs w:val="72"/>
          <w:lang w:eastAsia="en-US"/>
          <w14:textOutline w14:w="13063" w14:cap="flat" w14:cmpd="sng">
            <w14:solidFill>
              <w14:srgbClr w14:val="000000"/>
            </w14:solidFill>
            <w14:prstDash w14:val="solid"/>
            <w14:miter w14:val="0"/>
          </w14:textOutline>
        </w:rPr>
        <w:t>第二卷</w:t>
      </w:r>
      <w:bookmarkEnd w:id="162"/>
      <w:bookmarkEnd w:id="163"/>
      <w:bookmarkEnd w:id="164"/>
      <w:bookmarkEnd w:id="165"/>
      <w:bookmarkEnd w:id="166"/>
      <w:bookmarkEnd w:id="167"/>
    </w:p>
    <w:p>
      <w:pPr>
        <w:keepNext w:val="0"/>
        <w:keepLines w:val="0"/>
        <w:pageBreakBefore w:val="0"/>
        <w:widowControl/>
        <w:kinsoku w:val="0"/>
        <w:wordWrap/>
        <w:overflowPunct/>
        <w:topLinePunct w:val="0"/>
        <w:autoSpaceDE w:val="0"/>
        <w:autoSpaceDN w:val="0"/>
        <w:bidi w:val="0"/>
        <w:adjustRightInd w:val="0"/>
        <w:snapToGrid w:val="0"/>
        <w:spacing w:before="234" w:line="221" w:lineRule="auto"/>
        <w:ind w:left="0"/>
        <w:jc w:val="center"/>
        <w:textAlignment w:val="baseline"/>
        <w:rPr>
          <w:rFonts w:hint="eastAsia" w:ascii="宋体" w:hAnsi="宋体" w:eastAsia="宋体" w:cs="宋体"/>
          <w:snapToGrid w:val="0"/>
          <w:color w:val="000000"/>
          <w:spacing w:val="-23"/>
          <w:kern w:val="0"/>
          <w:sz w:val="72"/>
          <w:szCs w:val="72"/>
          <w:lang w:eastAsia="en-US"/>
          <w14:textOutline w14:w="13063" w14:cap="flat" w14:cmpd="sng">
            <w14:solidFill>
              <w14:srgbClr w14:val="000000"/>
            </w14:solidFill>
            <w14:prstDash w14:val="solid"/>
            <w14:miter w14:val="0"/>
          </w14:textOutline>
        </w:rPr>
      </w:pPr>
    </w:p>
    <w:p>
      <w:pPr>
        <w:rPr>
          <w:rFonts w:hint="eastAsia" w:ascii="宋体" w:hAnsi="宋体" w:eastAsia="宋体" w:cs="宋体"/>
          <w:b/>
          <w:color w:val="auto"/>
          <w:sz w:val="28"/>
          <w:szCs w:val="28"/>
          <w:highlight w:val="none"/>
        </w:rPr>
      </w:pPr>
    </w:p>
    <w:p>
      <w:pPr>
        <w:pStyle w:val="24"/>
        <w:rPr>
          <w:rFonts w:hint="eastAsia" w:ascii="宋体" w:hAnsi="宋体" w:eastAsia="宋体" w:cs="宋体"/>
          <w:b/>
          <w:color w:val="auto"/>
          <w:sz w:val="28"/>
          <w:szCs w:val="28"/>
          <w:highlight w:val="none"/>
        </w:rPr>
      </w:pPr>
    </w:p>
    <w:p>
      <w:pPr>
        <w:rPr>
          <w:rFonts w:hint="eastAsia" w:ascii="宋体" w:hAnsi="宋体" w:eastAsia="宋体" w:cs="宋体"/>
          <w:b/>
          <w:color w:val="auto"/>
          <w:sz w:val="28"/>
          <w:szCs w:val="28"/>
          <w:highlight w:val="none"/>
        </w:rPr>
      </w:pPr>
    </w:p>
    <w:p>
      <w:pPr>
        <w:pStyle w:val="24"/>
        <w:rPr>
          <w:rFonts w:hint="eastAsia" w:ascii="宋体" w:hAnsi="宋体" w:eastAsia="宋体" w:cs="宋体"/>
          <w:b/>
          <w:color w:val="auto"/>
          <w:sz w:val="28"/>
          <w:szCs w:val="28"/>
          <w:highlight w:val="none"/>
        </w:rPr>
      </w:pPr>
    </w:p>
    <w:p>
      <w:pPr>
        <w:rPr>
          <w:rFonts w:hint="eastAsia" w:ascii="宋体" w:hAnsi="宋体" w:eastAsia="宋体" w:cs="宋体"/>
          <w:b/>
          <w:color w:val="auto"/>
          <w:sz w:val="28"/>
          <w:szCs w:val="28"/>
          <w:highlight w:val="none"/>
        </w:rPr>
      </w:pPr>
    </w:p>
    <w:p>
      <w:pPr>
        <w:pStyle w:val="24"/>
        <w:rPr>
          <w:rFonts w:hint="eastAsia" w:ascii="宋体" w:hAnsi="宋体" w:eastAsia="宋体" w:cs="宋体"/>
          <w:b/>
          <w:color w:val="auto"/>
          <w:sz w:val="28"/>
          <w:szCs w:val="28"/>
          <w:highlight w:val="none"/>
        </w:rPr>
      </w:pPr>
    </w:p>
    <w:p>
      <w:pPr>
        <w:rPr>
          <w:rFonts w:hint="eastAsia" w:ascii="宋体" w:hAnsi="宋体" w:eastAsia="宋体" w:cs="宋体"/>
          <w:b/>
          <w:color w:val="auto"/>
          <w:sz w:val="28"/>
          <w:szCs w:val="28"/>
          <w:highlight w:val="none"/>
        </w:rPr>
      </w:pPr>
    </w:p>
    <w:p>
      <w:pPr>
        <w:pStyle w:val="24"/>
        <w:rPr>
          <w:rFonts w:hint="eastAsia" w:ascii="宋体" w:hAnsi="宋体" w:eastAsia="宋体" w:cs="宋体"/>
          <w:b/>
          <w:color w:val="auto"/>
          <w:sz w:val="28"/>
          <w:szCs w:val="28"/>
          <w:highlight w:val="none"/>
        </w:rPr>
      </w:pPr>
    </w:p>
    <w:p>
      <w:pPr>
        <w:rPr>
          <w:rFonts w:hint="eastAsia" w:ascii="宋体" w:hAnsi="宋体" w:eastAsia="宋体" w:cs="宋体"/>
          <w:b/>
          <w:color w:val="auto"/>
          <w:sz w:val="28"/>
          <w:szCs w:val="28"/>
          <w:highlight w:val="none"/>
        </w:rPr>
      </w:pPr>
    </w:p>
    <w:p>
      <w:pPr>
        <w:pStyle w:val="24"/>
        <w:rPr>
          <w:rFonts w:hint="eastAsia" w:ascii="宋体" w:hAnsi="宋体" w:eastAsia="宋体" w:cs="宋体"/>
          <w:b/>
          <w:color w:val="auto"/>
          <w:sz w:val="28"/>
          <w:szCs w:val="28"/>
          <w:highlight w:val="none"/>
        </w:rPr>
      </w:pPr>
    </w:p>
    <w:p>
      <w:pPr>
        <w:rPr>
          <w:rFonts w:hint="eastAsia" w:ascii="宋体" w:hAnsi="宋体" w:eastAsia="宋体" w:cs="宋体"/>
          <w:b/>
          <w:color w:val="auto"/>
          <w:sz w:val="28"/>
          <w:szCs w:val="28"/>
          <w:highlight w:val="none"/>
        </w:rPr>
      </w:pPr>
    </w:p>
    <w:p>
      <w:pPr>
        <w:pStyle w:val="24"/>
        <w:rPr>
          <w:rFonts w:hint="eastAsia" w:ascii="宋体" w:hAnsi="宋体" w:eastAsia="宋体" w:cs="宋体"/>
          <w:b/>
          <w:color w:val="auto"/>
          <w:sz w:val="28"/>
          <w:szCs w:val="28"/>
          <w:highlight w:val="none"/>
        </w:rPr>
      </w:pPr>
    </w:p>
    <w:p>
      <w:pPr>
        <w:rPr>
          <w:rFonts w:hint="eastAsia" w:ascii="宋体" w:hAnsi="宋体" w:eastAsia="宋体" w:cs="宋体"/>
          <w:b/>
          <w:color w:val="auto"/>
          <w:sz w:val="28"/>
          <w:szCs w:val="28"/>
          <w:highlight w:val="none"/>
        </w:rPr>
      </w:pPr>
    </w:p>
    <w:p>
      <w:pPr>
        <w:pStyle w:val="24"/>
        <w:rPr>
          <w:rFonts w:hint="eastAsia" w:ascii="宋体" w:hAnsi="宋体" w:eastAsia="宋体" w:cs="宋体"/>
          <w:b/>
          <w:color w:val="auto"/>
          <w:sz w:val="28"/>
          <w:szCs w:val="28"/>
          <w:highlight w:val="none"/>
        </w:rPr>
      </w:pPr>
    </w:p>
    <w:p>
      <w:pPr>
        <w:rPr>
          <w:rFonts w:hint="eastAsia"/>
        </w:rPr>
      </w:pPr>
    </w:p>
    <w:p>
      <w:pPr>
        <w:pageBreakBefore w:val="0"/>
        <w:numPr>
          <w:ilvl w:val="0"/>
          <w:numId w:val="0"/>
        </w:numPr>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lang w:val="en-US" w:eastAsia="zh-CN"/>
        </w:rPr>
      </w:pPr>
      <w:bookmarkStart w:id="168" w:name="_Toc2202"/>
      <w:bookmarkStart w:id="169" w:name="_Toc21108"/>
      <w:bookmarkStart w:id="170" w:name="_Toc29994"/>
      <w:bookmarkStart w:id="171" w:name="_Toc18638"/>
      <w:bookmarkStart w:id="172" w:name="_Toc1294"/>
      <w:bookmarkStart w:id="173" w:name="_Toc490748557"/>
    </w:p>
    <w:p>
      <w:pPr>
        <w:pageBreakBefore w:val="0"/>
        <w:numPr>
          <w:ilvl w:val="0"/>
          <w:numId w:val="0"/>
        </w:numPr>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lang w:val="en-US" w:eastAsia="zh-CN"/>
        </w:rPr>
      </w:pPr>
    </w:p>
    <w:p>
      <w:pPr>
        <w:pageBreakBefore w:val="0"/>
        <w:numPr>
          <w:ilvl w:val="0"/>
          <w:numId w:val="0"/>
        </w:numPr>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lang w:val="en-US" w:eastAsia="zh-CN"/>
        </w:rPr>
      </w:pPr>
    </w:p>
    <w:p>
      <w:pPr>
        <w:pageBreakBefore w:val="0"/>
        <w:numPr>
          <w:ilvl w:val="0"/>
          <w:numId w:val="0"/>
        </w:numPr>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lang w:val="en-US" w:eastAsia="zh-CN"/>
        </w:rPr>
      </w:pPr>
    </w:p>
    <w:p>
      <w:pPr>
        <w:pageBreakBefore w:val="0"/>
        <w:numPr>
          <w:ilvl w:val="0"/>
          <w:numId w:val="0"/>
        </w:numPr>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lang w:val="en-US" w:eastAsia="zh-CN"/>
        </w:rPr>
      </w:pPr>
    </w:p>
    <w:p>
      <w:pPr>
        <w:pageBreakBefore w:val="0"/>
        <w:numPr>
          <w:ilvl w:val="0"/>
          <w:numId w:val="0"/>
        </w:numPr>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lang w:val="en-US" w:eastAsia="zh-CN"/>
        </w:rPr>
      </w:pPr>
    </w:p>
    <w:p>
      <w:pPr>
        <w:pageBreakBefore w:val="0"/>
        <w:numPr>
          <w:ilvl w:val="0"/>
          <w:numId w:val="0"/>
        </w:numPr>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lang w:val="en-US" w:eastAsia="zh-CN"/>
        </w:rPr>
      </w:pPr>
    </w:p>
    <w:p>
      <w:pPr>
        <w:pageBreakBefore w:val="0"/>
        <w:numPr>
          <w:ilvl w:val="0"/>
          <w:numId w:val="0"/>
        </w:numPr>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val="en-US" w:eastAsia="zh-CN"/>
        </w:rPr>
        <w:t>第六章、</w:t>
      </w:r>
      <w:r>
        <w:rPr>
          <w:rFonts w:hint="eastAsia" w:ascii="宋体" w:hAnsi="宋体" w:eastAsia="宋体" w:cs="宋体"/>
          <w:b/>
          <w:color w:val="auto"/>
          <w:sz w:val="28"/>
          <w:szCs w:val="28"/>
          <w:highlight w:val="none"/>
        </w:rPr>
        <w:t>图纸（另册）</w:t>
      </w:r>
      <w:bookmarkEnd w:id="168"/>
      <w:bookmarkEnd w:id="169"/>
      <w:bookmarkEnd w:id="170"/>
      <w:bookmarkEnd w:id="171"/>
      <w:bookmarkEnd w:id="172"/>
      <w:bookmarkEnd w:id="173"/>
    </w:p>
    <w:p>
      <w:pPr>
        <w:pageBreakBefore w:val="0"/>
        <w:kinsoku/>
        <w:overflowPunct/>
        <w:bidi w:val="0"/>
        <w:spacing w:beforeAutospacing="0" w:afterAutospacing="0" w:line="360" w:lineRule="auto"/>
        <w:ind w:left="0" w:leftChars="0" w:right="0" w:rightChars="0"/>
        <w:outlineLvl w:val="0"/>
        <w:rPr>
          <w:rFonts w:hint="eastAsia" w:ascii="宋体" w:hAnsi="宋体" w:eastAsia="宋体" w:cs="宋体"/>
          <w:b/>
          <w:color w:val="auto"/>
          <w:sz w:val="24"/>
          <w:szCs w:val="24"/>
          <w:highlight w:val="none"/>
        </w:rPr>
      </w:pPr>
    </w:p>
    <w:p>
      <w:pPr>
        <w:pageBreakBefore w:val="0"/>
        <w:kinsoku/>
        <w:overflowPunct/>
        <w:bidi w:val="0"/>
        <w:spacing w:beforeAutospacing="0" w:afterAutospacing="0" w:line="360" w:lineRule="auto"/>
        <w:ind w:left="0" w:leftChars="0" w:right="0" w:rightChars="0" w:firstLine="2891" w:firstLineChars="1200"/>
        <w:outlineLvl w:val="0"/>
        <w:rPr>
          <w:rFonts w:hint="eastAsia" w:ascii="宋体" w:hAnsi="宋体" w:eastAsia="宋体" w:cs="宋体"/>
          <w:b/>
          <w:color w:val="auto"/>
          <w:sz w:val="24"/>
          <w:szCs w:val="24"/>
          <w:highlight w:val="none"/>
        </w:rPr>
      </w:pPr>
      <w:bookmarkStart w:id="174" w:name="_Toc29721"/>
      <w:bookmarkStart w:id="175" w:name="_Toc6911"/>
      <w:bookmarkStart w:id="176" w:name="_Toc490748558"/>
      <w:bookmarkStart w:id="177" w:name="_Toc29748"/>
      <w:bookmarkStart w:id="178" w:name="_Toc9333"/>
    </w:p>
    <w:p>
      <w:pPr>
        <w:pStyle w:val="3"/>
        <w:pageBreakBefore w:val="0"/>
        <w:numPr>
          <w:ilvl w:val="1"/>
          <w:numId w:val="0"/>
        </w:numPr>
        <w:tabs>
          <w:tab w:val="clear" w:pos="1548"/>
        </w:tabs>
        <w:kinsoku/>
        <w:overflowPunct/>
        <w:bidi w:val="0"/>
        <w:spacing w:beforeAutospacing="0" w:afterAutospacing="0" w:line="360" w:lineRule="auto"/>
        <w:ind w:left="0" w:leftChars="0" w:right="0"/>
        <w:rPr>
          <w:rFonts w:hint="eastAsia" w:ascii="宋体" w:hAnsi="宋体" w:eastAsia="宋体" w:cs="宋体"/>
          <w:color w:val="auto"/>
          <w:highlight w:val="none"/>
        </w:rPr>
      </w:pPr>
    </w:p>
    <w:p>
      <w:pPr>
        <w:pageBreakBefore w:val="0"/>
        <w:kinsoku/>
        <w:overflowPunct/>
        <w:bidi w:val="0"/>
        <w:spacing w:beforeAutospacing="0" w:afterAutospacing="0" w:line="360" w:lineRule="auto"/>
        <w:ind w:left="0" w:leftChars="0" w:right="0"/>
        <w:rPr>
          <w:rFonts w:hint="eastAsia" w:ascii="宋体" w:hAnsi="宋体" w:eastAsia="宋体" w:cs="宋体"/>
          <w:b/>
          <w:color w:val="auto"/>
          <w:sz w:val="24"/>
          <w:szCs w:val="24"/>
          <w:highlight w:val="none"/>
        </w:rPr>
      </w:pPr>
    </w:p>
    <w:p>
      <w:pPr>
        <w:pStyle w:val="3"/>
        <w:pageBreakBefore w:val="0"/>
        <w:numPr>
          <w:ilvl w:val="1"/>
          <w:numId w:val="0"/>
        </w:numPr>
        <w:tabs>
          <w:tab w:val="clear" w:pos="1548"/>
        </w:tabs>
        <w:kinsoku/>
        <w:overflowPunct/>
        <w:bidi w:val="0"/>
        <w:spacing w:beforeAutospacing="0" w:afterAutospacing="0" w:line="360" w:lineRule="auto"/>
        <w:ind w:left="0" w:leftChars="0" w:right="0"/>
        <w:rPr>
          <w:rFonts w:hint="eastAsia" w:ascii="宋体" w:hAnsi="宋体" w:eastAsia="宋体" w:cs="宋体"/>
          <w:color w:val="auto"/>
          <w:highlight w:val="none"/>
        </w:rPr>
      </w:pPr>
    </w:p>
    <w:p>
      <w:pPr>
        <w:pageBreakBefore w:val="0"/>
        <w:kinsoku/>
        <w:overflowPunct/>
        <w:bidi w:val="0"/>
        <w:spacing w:beforeAutospacing="0" w:afterAutospacing="0" w:line="360" w:lineRule="auto"/>
        <w:ind w:left="0" w:leftChars="0" w:right="0"/>
        <w:rPr>
          <w:rFonts w:hint="eastAsia" w:ascii="宋体" w:hAnsi="宋体" w:eastAsia="宋体" w:cs="宋体"/>
          <w:b/>
          <w:color w:val="auto"/>
          <w:sz w:val="24"/>
          <w:szCs w:val="24"/>
          <w:highlight w:val="none"/>
        </w:rPr>
      </w:pPr>
    </w:p>
    <w:p>
      <w:pPr>
        <w:pStyle w:val="3"/>
        <w:pageBreakBefore w:val="0"/>
        <w:numPr>
          <w:ilvl w:val="1"/>
          <w:numId w:val="0"/>
        </w:numPr>
        <w:tabs>
          <w:tab w:val="clear" w:pos="1548"/>
        </w:tabs>
        <w:kinsoku/>
        <w:overflowPunct/>
        <w:bidi w:val="0"/>
        <w:spacing w:beforeAutospacing="0" w:afterAutospacing="0" w:line="360" w:lineRule="auto"/>
        <w:ind w:left="0" w:leftChars="0" w:right="0"/>
        <w:rPr>
          <w:rFonts w:hint="eastAsia" w:ascii="宋体" w:hAnsi="宋体" w:eastAsia="宋体" w:cs="宋体"/>
          <w:color w:val="auto"/>
          <w:highlight w:val="none"/>
        </w:rPr>
      </w:pPr>
    </w:p>
    <w:p>
      <w:pPr>
        <w:pageBreakBefore w:val="0"/>
        <w:kinsoku/>
        <w:overflowPunct/>
        <w:bidi w:val="0"/>
        <w:spacing w:beforeAutospacing="0" w:afterAutospacing="0" w:line="360" w:lineRule="auto"/>
        <w:ind w:left="0" w:leftChars="0" w:right="0"/>
        <w:rPr>
          <w:rFonts w:hint="eastAsia" w:ascii="宋体" w:hAnsi="宋体" w:eastAsia="宋体" w:cs="宋体"/>
          <w:b/>
          <w:color w:val="auto"/>
          <w:sz w:val="24"/>
          <w:szCs w:val="24"/>
          <w:highlight w:val="none"/>
        </w:rPr>
      </w:pPr>
    </w:p>
    <w:p>
      <w:pPr>
        <w:pStyle w:val="3"/>
        <w:pageBreakBefore w:val="0"/>
        <w:numPr>
          <w:ilvl w:val="1"/>
          <w:numId w:val="0"/>
        </w:numPr>
        <w:tabs>
          <w:tab w:val="clear" w:pos="1548"/>
        </w:tabs>
        <w:kinsoku/>
        <w:overflowPunct/>
        <w:bidi w:val="0"/>
        <w:spacing w:beforeAutospacing="0" w:afterAutospacing="0" w:line="360" w:lineRule="auto"/>
        <w:ind w:left="0" w:leftChars="0" w:right="0"/>
        <w:rPr>
          <w:rFonts w:hint="eastAsia" w:ascii="宋体" w:hAnsi="宋体" w:eastAsia="宋体" w:cs="宋体"/>
          <w:color w:val="auto"/>
          <w:highlight w:val="none"/>
        </w:rPr>
      </w:pPr>
    </w:p>
    <w:p>
      <w:pPr>
        <w:pageBreakBefore w:val="0"/>
        <w:kinsoku/>
        <w:overflowPunct/>
        <w:bidi w:val="0"/>
        <w:spacing w:beforeAutospacing="0" w:afterAutospacing="0" w:line="360" w:lineRule="auto"/>
        <w:ind w:left="0" w:leftChars="0" w:right="0"/>
        <w:rPr>
          <w:rFonts w:hint="eastAsia" w:ascii="宋体" w:hAnsi="宋体" w:eastAsia="宋体" w:cs="宋体"/>
          <w:b/>
          <w:color w:val="auto"/>
          <w:sz w:val="24"/>
          <w:szCs w:val="24"/>
          <w:highlight w:val="none"/>
        </w:rPr>
      </w:pPr>
    </w:p>
    <w:p>
      <w:pPr>
        <w:pStyle w:val="3"/>
        <w:pageBreakBefore w:val="0"/>
        <w:numPr>
          <w:ilvl w:val="1"/>
          <w:numId w:val="0"/>
        </w:numPr>
        <w:tabs>
          <w:tab w:val="clear" w:pos="1548"/>
        </w:tabs>
        <w:kinsoku/>
        <w:overflowPunct/>
        <w:bidi w:val="0"/>
        <w:spacing w:beforeAutospacing="0" w:afterAutospacing="0" w:line="360" w:lineRule="auto"/>
        <w:ind w:left="0" w:leftChars="0" w:right="0"/>
        <w:rPr>
          <w:rFonts w:hint="eastAsia" w:ascii="宋体" w:hAnsi="宋体" w:eastAsia="宋体" w:cs="宋体"/>
          <w:color w:val="auto"/>
          <w:highlight w:val="none"/>
        </w:rPr>
      </w:pPr>
    </w:p>
    <w:p>
      <w:pPr>
        <w:pageBreakBefore w:val="0"/>
        <w:kinsoku/>
        <w:overflowPunct/>
        <w:bidi w:val="0"/>
        <w:spacing w:beforeAutospacing="0" w:afterAutospacing="0" w:line="360" w:lineRule="auto"/>
        <w:ind w:left="0" w:leftChars="0" w:right="0"/>
        <w:rPr>
          <w:rFonts w:hint="eastAsia" w:ascii="宋体" w:hAnsi="宋体" w:eastAsia="宋体" w:cs="宋体"/>
          <w:b/>
          <w:color w:val="auto"/>
          <w:sz w:val="24"/>
          <w:szCs w:val="24"/>
          <w:highlight w:val="none"/>
        </w:rPr>
      </w:pPr>
    </w:p>
    <w:p>
      <w:pPr>
        <w:pStyle w:val="3"/>
        <w:pageBreakBefore w:val="0"/>
        <w:numPr>
          <w:ilvl w:val="1"/>
          <w:numId w:val="0"/>
        </w:numPr>
        <w:tabs>
          <w:tab w:val="clear" w:pos="1548"/>
        </w:tabs>
        <w:kinsoku/>
        <w:overflowPunct/>
        <w:bidi w:val="0"/>
        <w:spacing w:beforeAutospacing="0" w:afterAutospacing="0" w:line="360" w:lineRule="auto"/>
        <w:ind w:left="0" w:leftChars="0" w:right="0"/>
        <w:rPr>
          <w:rFonts w:hint="eastAsia" w:ascii="宋体" w:hAnsi="宋体" w:eastAsia="宋体" w:cs="宋体"/>
          <w:color w:val="auto"/>
          <w:highlight w:val="none"/>
        </w:rPr>
      </w:pPr>
    </w:p>
    <w:p>
      <w:pPr>
        <w:pageBreakBefore w:val="0"/>
        <w:kinsoku/>
        <w:overflowPunct/>
        <w:bidi w:val="0"/>
        <w:spacing w:beforeAutospacing="0" w:afterAutospacing="0" w:line="360" w:lineRule="auto"/>
        <w:ind w:left="0" w:leftChars="0" w:right="0"/>
        <w:rPr>
          <w:rFonts w:hint="eastAsia" w:ascii="宋体" w:hAnsi="宋体" w:eastAsia="宋体" w:cs="宋体"/>
          <w:b/>
          <w:color w:val="auto"/>
          <w:sz w:val="24"/>
          <w:szCs w:val="24"/>
          <w:highlight w:val="none"/>
        </w:rPr>
      </w:pPr>
    </w:p>
    <w:p>
      <w:pPr>
        <w:pStyle w:val="3"/>
        <w:pageBreakBefore w:val="0"/>
        <w:numPr>
          <w:ilvl w:val="1"/>
          <w:numId w:val="0"/>
        </w:numPr>
        <w:tabs>
          <w:tab w:val="clear" w:pos="1548"/>
        </w:tabs>
        <w:kinsoku/>
        <w:overflowPunct/>
        <w:bidi w:val="0"/>
        <w:spacing w:beforeAutospacing="0" w:afterAutospacing="0" w:line="360" w:lineRule="auto"/>
        <w:ind w:left="0" w:leftChars="0" w:right="0"/>
        <w:rPr>
          <w:rFonts w:hint="eastAsia" w:ascii="宋体" w:hAnsi="宋体" w:eastAsia="宋体" w:cs="宋体"/>
          <w:color w:val="auto"/>
          <w:highlight w:val="none"/>
        </w:rPr>
      </w:pPr>
    </w:p>
    <w:p>
      <w:pPr>
        <w:pageBreakBefore w:val="0"/>
        <w:kinsoku/>
        <w:overflowPunct/>
        <w:bidi w:val="0"/>
        <w:spacing w:beforeAutospacing="0" w:afterAutospacing="0" w:line="360" w:lineRule="auto"/>
        <w:ind w:left="0" w:leftChars="0" w:right="0"/>
        <w:rPr>
          <w:rFonts w:hint="eastAsia" w:ascii="宋体" w:hAnsi="宋体" w:eastAsia="宋体" w:cs="宋体"/>
          <w:color w:val="auto"/>
          <w:highlight w:val="none"/>
        </w:rPr>
        <w:sectPr>
          <w:pgSz w:w="11910" w:h="16850"/>
          <w:pgMar w:top="1440" w:right="1026" w:bottom="1440" w:left="1219" w:header="850" w:footer="992" w:gutter="0"/>
          <w:pgNumType w:fmt="decimal"/>
          <w:cols w:space="720" w:num="1"/>
        </w:sectPr>
      </w:pPr>
    </w:p>
    <w:p>
      <w:pPr>
        <w:pageBreakBefore w:val="0"/>
        <w:kinsoku/>
        <w:overflowPunct/>
        <w:bidi w:val="0"/>
        <w:spacing w:beforeAutospacing="0" w:afterAutospacing="0" w:line="360" w:lineRule="auto"/>
        <w:ind w:left="0" w:leftChars="0" w:right="0" w:rightChars="0"/>
        <w:jc w:val="both"/>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pPr>
    </w:p>
    <w:p>
      <w:pPr>
        <w:keepNext w:val="0"/>
        <w:keepLines w:val="0"/>
        <w:pageBreakBefore w:val="0"/>
        <w:widowControl/>
        <w:kinsoku w:val="0"/>
        <w:wordWrap/>
        <w:overflowPunct/>
        <w:topLinePunct w:val="0"/>
        <w:autoSpaceDE w:val="0"/>
        <w:autoSpaceDN w:val="0"/>
        <w:bidi w:val="0"/>
        <w:adjustRightInd w:val="0"/>
        <w:snapToGrid w:val="0"/>
        <w:spacing w:before="234" w:line="221" w:lineRule="auto"/>
        <w:ind w:left="0"/>
        <w:jc w:val="center"/>
        <w:textAlignment w:val="baseline"/>
        <w:rPr>
          <w:rFonts w:hint="eastAsia" w:ascii="宋体" w:hAnsi="宋体" w:eastAsia="宋体" w:cs="宋体"/>
          <w:snapToGrid w:val="0"/>
          <w:color w:val="000000"/>
          <w:spacing w:val="-23"/>
          <w:kern w:val="0"/>
          <w:sz w:val="72"/>
          <w:szCs w:val="72"/>
          <w:lang w:eastAsia="en-US"/>
          <w14:textOutline w14:w="13063" w14:cap="flat" w14:cmpd="sng">
            <w14:solidFill>
              <w14:srgbClr w14:val="000000"/>
            </w14:solidFill>
            <w14:prstDash w14:val="solid"/>
            <w14:miter w14:val="0"/>
          </w14:textOutline>
        </w:rPr>
      </w:pPr>
    </w:p>
    <w:p>
      <w:pPr>
        <w:keepNext w:val="0"/>
        <w:keepLines w:val="0"/>
        <w:pageBreakBefore w:val="0"/>
        <w:widowControl/>
        <w:kinsoku w:val="0"/>
        <w:wordWrap/>
        <w:overflowPunct/>
        <w:topLinePunct w:val="0"/>
        <w:autoSpaceDE w:val="0"/>
        <w:autoSpaceDN w:val="0"/>
        <w:bidi w:val="0"/>
        <w:adjustRightInd w:val="0"/>
        <w:snapToGrid w:val="0"/>
        <w:spacing w:before="234" w:line="221" w:lineRule="auto"/>
        <w:ind w:left="0"/>
        <w:jc w:val="center"/>
        <w:textAlignment w:val="baseline"/>
        <w:outlineLvl w:val="0"/>
        <w:rPr>
          <w:rFonts w:hint="eastAsia" w:ascii="宋体" w:hAnsi="宋体" w:eastAsia="宋体" w:cs="宋体"/>
          <w:snapToGrid w:val="0"/>
          <w:color w:val="000000"/>
          <w:spacing w:val="-23"/>
          <w:kern w:val="0"/>
          <w:sz w:val="72"/>
          <w:szCs w:val="72"/>
          <w:lang w:eastAsia="en-US"/>
          <w14:textOutline w14:w="13063" w14:cap="flat" w14:cmpd="sng">
            <w14:solidFill>
              <w14:srgbClr w14:val="000000"/>
            </w14:solidFill>
            <w14:prstDash w14:val="solid"/>
            <w14:miter w14:val="0"/>
          </w14:textOutline>
        </w:rPr>
      </w:pPr>
      <w:bookmarkStart w:id="179" w:name="_Toc29138"/>
      <w:r>
        <w:rPr>
          <w:rFonts w:hint="eastAsia" w:ascii="宋体" w:hAnsi="宋体" w:eastAsia="宋体" w:cs="宋体"/>
          <w:snapToGrid w:val="0"/>
          <w:color w:val="000000"/>
          <w:spacing w:val="-23"/>
          <w:kern w:val="0"/>
          <w:sz w:val="72"/>
          <w:szCs w:val="72"/>
          <w:lang w:eastAsia="en-US"/>
          <w14:textOutline w14:w="13063" w14:cap="flat" w14:cmpd="sng">
            <w14:solidFill>
              <w14:srgbClr w14:val="000000"/>
            </w14:solidFill>
            <w14:prstDash w14:val="solid"/>
            <w14:miter w14:val="0"/>
          </w14:textOutline>
        </w:rPr>
        <w:t>第三卷</w:t>
      </w:r>
      <w:bookmarkEnd w:id="174"/>
      <w:bookmarkEnd w:id="175"/>
      <w:bookmarkEnd w:id="176"/>
      <w:bookmarkEnd w:id="177"/>
      <w:bookmarkEnd w:id="178"/>
      <w:bookmarkEnd w:id="179"/>
    </w:p>
    <w:p>
      <w:pPr>
        <w:keepNext w:val="0"/>
        <w:keepLines w:val="0"/>
        <w:pageBreakBefore w:val="0"/>
        <w:widowControl/>
        <w:kinsoku w:val="0"/>
        <w:wordWrap/>
        <w:overflowPunct/>
        <w:topLinePunct w:val="0"/>
        <w:autoSpaceDE w:val="0"/>
        <w:autoSpaceDN w:val="0"/>
        <w:bidi w:val="0"/>
        <w:adjustRightInd w:val="0"/>
        <w:snapToGrid w:val="0"/>
        <w:spacing w:before="234" w:line="221" w:lineRule="auto"/>
        <w:ind w:left="0"/>
        <w:jc w:val="center"/>
        <w:textAlignment w:val="baseline"/>
        <w:rPr>
          <w:rFonts w:hint="eastAsia" w:ascii="宋体" w:hAnsi="宋体" w:eastAsia="宋体" w:cs="宋体"/>
          <w:snapToGrid w:val="0"/>
          <w:color w:val="000000"/>
          <w:spacing w:val="-23"/>
          <w:kern w:val="0"/>
          <w:sz w:val="72"/>
          <w:szCs w:val="72"/>
          <w:lang w:eastAsia="en-US"/>
          <w14:textOutline w14:w="13063" w14:cap="flat" w14:cmpd="sng">
            <w14:solidFill>
              <w14:srgbClr w14:val="000000"/>
            </w14:solidFill>
            <w14:prstDash w14:val="solid"/>
            <w14:miter w14:val="0"/>
          </w14:textOutline>
        </w:rPr>
      </w:pPr>
      <w:bookmarkStart w:id="180" w:name="_Toc23026"/>
      <w:bookmarkStart w:id="181" w:name="_Toc24265"/>
      <w:bookmarkStart w:id="182" w:name="_Toc490748559"/>
      <w:bookmarkStart w:id="183" w:name="_Toc20392"/>
      <w:bookmarkStart w:id="184" w:name="_Toc26993"/>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rPr>
      </w:pPr>
      <w:bookmarkStart w:id="185" w:name="_Toc11458"/>
      <w:r>
        <w:rPr>
          <w:rFonts w:hint="eastAsia" w:ascii="宋体" w:hAnsi="宋体" w:eastAsia="宋体" w:cs="宋体"/>
          <w:b/>
          <w:color w:val="auto"/>
          <w:sz w:val="28"/>
          <w:szCs w:val="28"/>
          <w:highlight w:val="none"/>
        </w:rPr>
        <w:t>第七章、技术</w:t>
      </w:r>
      <w:bookmarkEnd w:id="180"/>
      <w:bookmarkEnd w:id="181"/>
      <w:bookmarkEnd w:id="182"/>
      <w:bookmarkEnd w:id="183"/>
      <w:bookmarkEnd w:id="184"/>
      <w:r>
        <w:rPr>
          <w:rFonts w:hint="eastAsia" w:ascii="宋体" w:hAnsi="宋体" w:cs="宋体"/>
          <w:b/>
          <w:color w:val="auto"/>
          <w:sz w:val="28"/>
          <w:szCs w:val="28"/>
          <w:highlight w:val="none"/>
          <w:lang w:val="en-US" w:eastAsia="zh-CN"/>
        </w:rPr>
        <w:t>规范</w:t>
      </w:r>
      <w:r>
        <w:rPr>
          <w:rFonts w:hint="eastAsia" w:ascii="宋体" w:hAnsi="宋体" w:eastAsia="宋体" w:cs="宋体"/>
          <w:b/>
          <w:color w:val="auto"/>
          <w:sz w:val="28"/>
          <w:szCs w:val="28"/>
          <w:highlight w:val="none"/>
        </w:rPr>
        <w:t>（另册）</w:t>
      </w:r>
      <w:bookmarkEnd w:id="185"/>
    </w:p>
    <w:p>
      <w:pPr>
        <w:pageBreakBefore w:val="0"/>
        <w:kinsoku/>
        <w:overflowPunct/>
        <w:bidi w:val="0"/>
        <w:spacing w:beforeAutospacing="0" w:afterAutospacing="0" w:line="360" w:lineRule="auto"/>
        <w:ind w:left="0" w:leftChars="0" w:right="0" w:rightChars="0" w:firstLine="420" w:firstLineChars="200"/>
        <w:jc w:val="left"/>
        <w:outlineLvl w:val="0"/>
        <w:rPr>
          <w:rFonts w:hint="eastAsia" w:ascii="宋体" w:hAnsi="宋体" w:eastAsia="宋体" w:cs="宋体"/>
          <w:color w:val="auto"/>
          <w:sz w:val="24"/>
          <w:szCs w:val="24"/>
          <w:highlight w:val="none"/>
        </w:rPr>
      </w:pPr>
      <w:r>
        <w:rPr>
          <w:rFonts w:ascii="宋体" w:hAnsi="宋体" w:eastAsia="宋体" w:cs="宋体"/>
          <w:b w:val="0"/>
          <w:bCs w:val="0"/>
          <w:color w:val="000000"/>
          <w:sz w:val="21"/>
          <w:szCs w:val="21"/>
        </w:rPr>
        <w:t>技术规范依据中华人民共和国交通运输部《公路工程标准施工招标文件（2018 年版）》和施工图纸总说明执行。</w:t>
      </w:r>
      <w:r>
        <w:rPr>
          <w:rFonts w:hint="eastAsia" w:ascii="宋体" w:hAnsi="宋体" w:eastAsia="宋体" w:cs="宋体"/>
          <w:color w:val="auto"/>
          <w:sz w:val="24"/>
          <w:szCs w:val="24"/>
          <w:highlight w:val="none"/>
        </w:rPr>
        <w:br w:type="page"/>
      </w:r>
      <w:bookmarkStart w:id="186" w:name="_Toc20029"/>
      <w:bookmarkStart w:id="187" w:name="_Toc26465"/>
      <w:bookmarkStart w:id="188" w:name="_Toc490748560"/>
      <w:bookmarkStart w:id="189" w:name="_Toc25840"/>
      <w:bookmarkStart w:id="190" w:name="_Toc15422"/>
    </w:p>
    <w:p>
      <w:pPr>
        <w:pageBreakBefore w:val="0"/>
        <w:kinsoku/>
        <w:overflowPunct/>
        <w:bidi w:val="0"/>
        <w:spacing w:beforeAutospacing="0" w:afterAutospacing="0" w:line="360" w:lineRule="auto"/>
        <w:ind w:left="0" w:leftChars="0" w:right="0" w:rightChars="0" w:firstLine="562" w:firstLineChars="200"/>
        <w:jc w:val="center"/>
        <w:outlineLvl w:val="0"/>
        <w:rPr>
          <w:rFonts w:hint="eastAsia" w:ascii="宋体" w:hAnsi="宋体" w:eastAsia="宋体" w:cs="宋体"/>
          <w:b/>
          <w:color w:val="auto"/>
          <w:sz w:val="28"/>
          <w:szCs w:val="28"/>
          <w:highlight w:val="none"/>
          <w:lang w:eastAsia="zh-CN"/>
        </w:rPr>
      </w:pPr>
      <w:bookmarkStart w:id="191" w:name="_Toc30443"/>
      <w:r>
        <w:rPr>
          <w:rFonts w:hint="eastAsia" w:ascii="宋体" w:hAnsi="宋体" w:eastAsia="宋体" w:cs="宋体"/>
          <w:b/>
          <w:color w:val="auto"/>
          <w:sz w:val="28"/>
          <w:szCs w:val="28"/>
          <w:highlight w:val="none"/>
        </w:rPr>
        <w:t>第八章</w:t>
      </w:r>
      <w:r>
        <w:rPr>
          <w:rFonts w:hint="eastAsia" w:ascii="宋体" w:hAnsi="宋体" w:cs="宋体"/>
          <w:b/>
          <w:color w:val="auto"/>
          <w:sz w:val="28"/>
          <w:szCs w:val="28"/>
          <w:highlight w:val="none"/>
          <w:lang w:eastAsia="zh-CN"/>
        </w:rPr>
        <w:t>、</w:t>
      </w:r>
      <w:r>
        <w:rPr>
          <w:rFonts w:hint="eastAsia" w:ascii="宋体" w:hAnsi="宋体" w:eastAsia="宋体" w:cs="宋体"/>
          <w:b/>
          <w:color w:val="auto"/>
          <w:sz w:val="28"/>
          <w:szCs w:val="28"/>
          <w:highlight w:val="none"/>
        </w:rPr>
        <w:t>工程量清单计量规则</w:t>
      </w:r>
      <w:bookmarkEnd w:id="191"/>
      <w:r>
        <w:rPr>
          <w:rFonts w:hint="eastAsia" w:ascii="宋体" w:hAnsi="宋体" w:cs="宋体"/>
          <w:b/>
          <w:color w:val="auto"/>
          <w:sz w:val="28"/>
          <w:szCs w:val="28"/>
          <w:highlight w:val="none"/>
          <w:lang w:eastAsia="zh-CN"/>
        </w:rPr>
        <w:t>（</w:t>
      </w:r>
      <w:r>
        <w:rPr>
          <w:rFonts w:hint="eastAsia" w:ascii="宋体" w:hAnsi="宋体" w:cs="宋体"/>
          <w:b/>
          <w:color w:val="auto"/>
          <w:sz w:val="28"/>
          <w:szCs w:val="28"/>
          <w:highlight w:val="none"/>
          <w:lang w:val="en-US" w:eastAsia="zh-CN"/>
        </w:rPr>
        <w:t>另册</w:t>
      </w:r>
      <w:r>
        <w:rPr>
          <w:rFonts w:hint="eastAsia" w:ascii="宋体" w:hAnsi="宋体" w:cs="宋体"/>
          <w:b/>
          <w:color w:val="auto"/>
          <w:sz w:val="28"/>
          <w:szCs w:val="28"/>
          <w:highlight w:val="none"/>
          <w:lang w:eastAsia="zh-CN"/>
        </w:rPr>
        <w:t>）</w:t>
      </w:r>
    </w:p>
    <w:p>
      <w:pPr>
        <w:pStyle w:val="8"/>
        <w:spacing w:line="286" w:lineRule="auto"/>
      </w:pPr>
    </w:p>
    <w:p>
      <w:pPr>
        <w:spacing w:before="68" w:line="410" w:lineRule="exact"/>
        <w:jc w:val="right"/>
        <w:rPr>
          <w:rFonts w:ascii="宋体" w:hAnsi="宋体" w:eastAsia="宋体" w:cs="宋体"/>
          <w:sz w:val="21"/>
          <w:szCs w:val="21"/>
        </w:rPr>
      </w:pPr>
      <w:r>
        <w:rPr>
          <w:rFonts w:ascii="宋体" w:hAnsi="宋体" w:eastAsia="宋体" w:cs="宋体"/>
          <w:spacing w:val="-1"/>
          <w:position w:val="15"/>
          <w:sz w:val="21"/>
          <w:szCs w:val="21"/>
        </w:rPr>
        <w:t>有关本项目工程量清单的计量与支付方法参照《公路工程标准施工招标文件（2018年版）》计量</w:t>
      </w:r>
    </w:p>
    <w:p>
      <w:pPr>
        <w:spacing w:line="220" w:lineRule="auto"/>
        <w:rPr>
          <w:rFonts w:ascii="宋体" w:hAnsi="宋体" w:eastAsia="宋体" w:cs="宋体"/>
          <w:sz w:val="21"/>
          <w:szCs w:val="21"/>
        </w:rPr>
      </w:pPr>
      <w:r>
        <w:rPr>
          <w:rFonts w:ascii="宋体" w:hAnsi="宋体" w:eastAsia="宋体" w:cs="宋体"/>
          <w:spacing w:val="-2"/>
          <w:sz w:val="21"/>
          <w:szCs w:val="21"/>
        </w:rPr>
        <w:t>与支付规则执行。</w:t>
      </w:r>
    </w:p>
    <w:p>
      <w:pPr>
        <w:spacing w:line="220" w:lineRule="auto"/>
        <w:rPr>
          <w:rFonts w:ascii="宋体" w:hAnsi="宋体" w:eastAsia="宋体" w:cs="宋体"/>
          <w:sz w:val="21"/>
          <w:szCs w:val="21"/>
        </w:rPr>
        <w:sectPr>
          <w:footerReference r:id="rId17" w:type="default"/>
          <w:pgSz w:w="11907" w:h="16841"/>
          <w:pgMar w:top="1431" w:right="1072" w:bottom="1216" w:left="1575" w:header="0" w:footer="1055" w:gutter="0"/>
          <w:pgNumType w:fmt="decimal"/>
          <w:cols w:space="720" w:num="1"/>
        </w:sectPr>
      </w:pPr>
    </w:p>
    <w:p>
      <w:pPr>
        <w:pageBreakBefore w:val="0"/>
        <w:kinsoku/>
        <w:overflowPunct/>
        <w:bidi w:val="0"/>
        <w:spacing w:beforeAutospacing="0" w:afterAutospacing="0" w:line="360" w:lineRule="auto"/>
        <w:ind w:left="0" w:leftChars="0" w:right="0" w:rightChars="0"/>
        <w:jc w:val="center"/>
        <w:outlineLvl w:val="0"/>
        <w:rPr>
          <w:rFonts w:hint="eastAsia" w:ascii="宋体" w:hAnsi="宋体" w:eastAsia="宋体" w:cs="宋体"/>
          <w:color w:val="auto"/>
          <w:sz w:val="24"/>
          <w:szCs w:val="24"/>
          <w:highlight w:val="none"/>
        </w:rPr>
      </w:pPr>
    </w:p>
    <w:p>
      <w:pPr>
        <w:pageBreakBefore w:val="0"/>
        <w:kinsoku/>
        <w:overflowPunct/>
        <w:bidi w:val="0"/>
        <w:spacing w:beforeAutospacing="0" w:afterAutospacing="0" w:line="360" w:lineRule="auto"/>
        <w:ind w:left="0" w:leftChars="0" w:right="0" w:rightChars="0"/>
        <w:jc w:val="center"/>
        <w:outlineLvl w:val="0"/>
        <w:rPr>
          <w:rFonts w:hint="eastAsia" w:ascii="宋体" w:hAnsi="宋体" w:eastAsia="宋体" w:cs="宋体"/>
          <w:color w:val="auto"/>
          <w:sz w:val="24"/>
          <w:szCs w:val="24"/>
          <w:highlight w:val="none"/>
        </w:rPr>
      </w:pPr>
    </w:p>
    <w:p>
      <w:pPr>
        <w:pStyle w:val="2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24"/>
        <w:rPr>
          <w:rFonts w:hint="eastAsia"/>
        </w:rPr>
      </w:pPr>
    </w:p>
    <w:p>
      <w:pPr>
        <w:pageBreakBefore w:val="0"/>
        <w:kinsoku/>
        <w:overflowPunct/>
        <w:bidi w:val="0"/>
        <w:spacing w:beforeAutospacing="0" w:afterAutospacing="0" w:line="360" w:lineRule="auto"/>
        <w:ind w:left="0" w:leftChars="0" w:right="0" w:rightChars="0"/>
        <w:jc w:val="center"/>
        <w:outlineLvl w:val="0"/>
        <w:rPr>
          <w:rFonts w:hint="eastAsia" w:ascii="宋体" w:hAnsi="宋体" w:eastAsia="宋体" w:cs="宋体"/>
          <w:color w:val="auto"/>
          <w:sz w:val="24"/>
          <w:szCs w:val="24"/>
          <w:highlight w:val="none"/>
        </w:rPr>
      </w:pPr>
    </w:p>
    <w:p>
      <w:pPr>
        <w:pageBreakBefore w:val="0"/>
        <w:kinsoku/>
        <w:overflowPunct/>
        <w:bidi w:val="0"/>
        <w:spacing w:beforeAutospacing="0" w:afterAutospacing="0" w:line="360" w:lineRule="auto"/>
        <w:ind w:left="0" w:leftChars="0" w:right="0" w:rightChars="0"/>
        <w:jc w:val="center"/>
        <w:outlineLvl w:val="0"/>
        <w:rPr>
          <w:rFonts w:hint="eastAsia" w:ascii="宋体" w:hAnsi="宋体" w:eastAsia="宋体" w:cs="宋体"/>
          <w:color w:val="auto"/>
          <w:sz w:val="24"/>
          <w:szCs w:val="24"/>
          <w:highlight w:val="none"/>
        </w:rPr>
      </w:pPr>
    </w:p>
    <w:p>
      <w:pPr>
        <w:pageBreakBefore w:val="0"/>
        <w:kinsoku/>
        <w:overflowPunct/>
        <w:bidi w:val="0"/>
        <w:spacing w:beforeAutospacing="0" w:afterAutospacing="0" w:line="360" w:lineRule="auto"/>
        <w:ind w:left="0" w:leftChars="0" w:right="0" w:rightChars="0"/>
        <w:jc w:val="center"/>
        <w:outlineLvl w:val="0"/>
        <w:rPr>
          <w:rFonts w:hint="eastAsia" w:ascii="宋体" w:hAnsi="宋体" w:eastAsia="宋体" w:cs="宋体"/>
          <w:color w:val="auto"/>
          <w:sz w:val="24"/>
          <w:szCs w:val="24"/>
          <w:highlight w:val="none"/>
        </w:rPr>
      </w:pPr>
    </w:p>
    <w:p>
      <w:pPr>
        <w:pageBreakBefore w:val="0"/>
        <w:kinsoku/>
        <w:overflowPunct/>
        <w:bidi w:val="0"/>
        <w:spacing w:beforeAutospacing="0" w:afterAutospacing="0" w:line="360" w:lineRule="auto"/>
        <w:ind w:left="0" w:leftChars="0" w:right="0" w:rightChars="0"/>
        <w:jc w:val="center"/>
        <w:outlineLvl w:val="0"/>
        <w:rPr>
          <w:rFonts w:hint="eastAsia" w:ascii="宋体" w:hAnsi="宋体" w:eastAsia="宋体" w:cs="宋体"/>
          <w:color w:val="auto"/>
          <w:sz w:val="24"/>
          <w:szCs w:val="24"/>
          <w:highlight w:val="none"/>
        </w:rPr>
      </w:pPr>
    </w:p>
    <w:p>
      <w:pPr>
        <w:pageBreakBefore w:val="0"/>
        <w:kinsoku/>
        <w:overflowPunct/>
        <w:bidi w:val="0"/>
        <w:spacing w:beforeAutospacing="0" w:afterAutospacing="0" w:line="360" w:lineRule="auto"/>
        <w:ind w:left="0" w:leftChars="0" w:right="0" w:rightChars="0"/>
        <w:jc w:val="center"/>
        <w:outlineLvl w:val="0"/>
        <w:rPr>
          <w:rFonts w:hint="eastAsia" w:ascii="宋体" w:hAnsi="宋体" w:eastAsia="宋体" w:cs="宋体"/>
          <w:color w:val="auto"/>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before="234" w:line="221" w:lineRule="auto"/>
        <w:ind w:left="0"/>
        <w:jc w:val="center"/>
        <w:textAlignment w:val="baseline"/>
        <w:rPr>
          <w:rFonts w:hint="eastAsia" w:ascii="宋体" w:hAnsi="宋体" w:eastAsia="宋体" w:cs="宋体"/>
          <w:snapToGrid w:val="0"/>
          <w:color w:val="000000"/>
          <w:spacing w:val="-23"/>
          <w:kern w:val="0"/>
          <w:sz w:val="72"/>
          <w:szCs w:val="72"/>
          <w:lang w:eastAsia="en-US"/>
          <w14:textOutline w14:w="13063" w14:cap="flat" w14:cmpd="sng">
            <w14:solidFill>
              <w14:srgbClr w14:val="000000"/>
            </w14:solidFill>
            <w14:prstDash w14:val="solid"/>
            <w14:miter w14:val="0"/>
          </w14:textOutline>
        </w:rPr>
      </w:pPr>
    </w:p>
    <w:p>
      <w:pPr>
        <w:keepNext w:val="0"/>
        <w:keepLines w:val="0"/>
        <w:pageBreakBefore w:val="0"/>
        <w:widowControl/>
        <w:kinsoku w:val="0"/>
        <w:wordWrap/>
        <w:overflowPunct/>
        <w:topLinePunct w:val="0"/>
        <w:autoSpaceDE w:val="0"/>
        <w:autoSpaceDN w:val="0"/>
        <w:bidi w:val="0"/>
        <w:adjustRightInd w:val="0"/>
        <w:snapToGrid w:val="0"/>
        <w:spacing w:before="234" w:line="221" w:lineRule="auto"/>
        <w:ind w:left="0"/>
        <w:jc w:val="center"/>
        <w:textAlignment w:val="baseline"/>
        <w:outlineLvl w:val="0"/>
        <w:rPr>
          <w:rFonts w:hint="eastAsia" w:ascii="宋体" w:hAnsi="宋体" w:eastAsia="宋体" w:cs="宋体"/>
          <w:snapToGrid w:val="0"/>
          <w:color w:val="000000"/>
          <w:spacing w:val="-23"/>
          <w:kern w:val="0"/>
          <w:sz w:val="72"/>
          <w:szCs w:val="72"/>
          <w:lang w:eastAsia="en-US"/>
          <w14:textOutline w14:w="13063" w14:cap="flat" w14:cmpd="sng">
            <w14:solidFill>
              <w14:srgbClr w14:val="000000"/>
            </w14:solidFill>
            <w14:prstDash w14:val="solid"/>
            <w14:miter w14:val="0"/>
          </w14:textOutline>
        </w:rPr>
      </w:pPr>
      <w:bookmarkStart w:id="192" w:name="_Toc15989"/>
      <w:r>
        <w:rPr>
          <w:rFonts w:hint="eastAsia" w:ascii="宋体" w:hAnsi="宋体" w:eastAsia="宋体" w:cs="宋体"/>
          <w:snapToGrid w:val="0"/>
          <w:color w:val="000000"/>
          <w:spacing w:val="-23"/>
          <w:kern w:val="0"/>
          <w:sz w:val="72"/>
          <w:szCs w:val="72"/>
          <w:lang w:eastAsia="en-US"/>
          <w14:textOutline w14:w="13063" w14:cap="flat" w14:cmpd="sng">
            <w14:solidFill>
              <w14:srgbClr w14:val="000000"/>
            </w14:solidFill>
            <w14:prstDash w14:val="solid"/>
            <w14:miter w14:val="0"/>
          </w14:textOutline>
        </w:rPr>
        <w:t>第四卷</w:t>
      </w:r>
      <w:bookmarkEnd w:id="186"/>
      <w:bookmarkEnd w:id="187"/>
      <w:bookmarkEnd w:id="188"/>
      <w:bookmarkEnd w:id="189"/>
      <w:bookmarkEnd w:id="190"/>
      <w:bookmarkEnd w:id="192"/>
    </w:p>
    <w:p>
      <w:pPr>
        <w:pStyle w:val="24"/>
        <w:rPr>
          <w:rFonts w:hint="eastAsia" w:ascii="宋体" w:hAnsi="宋体" w:eastAsia="宋体" w:cs="宋体"/>
          <w:b/>
          <w:color w:val="auto"/>
          <w:sz w:val="28"/>
          <w:szCs w:val="28"/>
          <w:highlight w:val="none"/>
        </w:rPr>
      </w:pPr>
    </w:p>
    <w:p>
      <w:pPr>
        <w:rPr>
          <w:rFonts w:hint="eastAsia" w:ascii="宋体" w:hAnsi="宋体" w:eastAsia="宋体" w:cs="宋体"/>
          <w:b/>
          <w:color w:val="auto"/>
          <w:sz w:val="28"/>
          <w:szCs w:val="28"/>
          <w:highlight w:val="none"/>
        </w:rPr>
      </w:pPr>
    </w:p>
    <w:p>
      <w:pPr>
        <w:pStyle w:val="24"/>
        <w:rPr>
          <w:rFonts w:hint="eastAsia" w:ascii="宋体" w:hAnsi="宋体" w:eastAsia="宋体" w:cs="宋体"/>
          <w:b/>
          <w:color w:val="auto"/>
          <w:sz w:val="28"/>
          <w:szCs w:val="28"/>
          <w:highlight w:val="none"/>
        </w:rPr>
      </w:pPr>
    </w:p>
    <w:p>
      <w:pPr>
        <w:rPr>
          <w:rFonts w:hint="eastAsia" w:ascii="宋体" w:hAnsi="宋体" w:eastAsia="宋体" w:cs="宋体"/>
          <w:b/>
          <w:color w:val="auto"/>
          <w:sz w:val="28"/>
          <w:szCs w:val="28"/>
          <w:highlight w:val="none"/>
        </w:rPr>
      </w:pPr>
    </w:p>
    <w:p>
      <w:pPr>
        <w:pStyle w:val="24"/>
        <w:rPr>
          <w:rFonts w:hint="eastAsia" w:ascii="宋体" w:hAnsi="宋体" w:eastAsia="宋体" w:cs="宋体"/>
          <w:b/>
          <w:color w:val="auto"/>
          <w:sz w:val="28"/>
          <w:szCs w:val="28"/>
          <w:highlight w:val="none"/>
        </w:rPr>
      </w:pPr>
    </w:p>
    <w:p>
      <w:pPr>
        <w:rPr>
          <w:rFonts w:hint="eastAsia" w:ascii="宋体" w:hAnsi="宋体" w:eastAsia="宋体" w:cs="宋体"/>
          <w:b/>
          <w:color w:val="auto"/>
          <w:sz w:val="28"/>
          <w:szCs w:val="28"/>
          <w:highlight w:val="none"/>
        </w:rPr>
      </w:pPr>
    </w:p>
    <w:p>
      <w:pPr>
        <w:pStyle w:val="24"/>
        <w:rPr>
          <w:rFonts w:hint="eastAsia" w:ascii="宋体" w:hAnsi="宋体" w:eastAsia="宋体" w:cs="宋体"/>
          <w:b/>
          <w:color w:val="auto"/>
          <w:sz w:val="28"/>
          <w:szCs w:val="28"/>
          <w:highlight w:val="none"/>
        </w:rPr>
      </w:pPr>
    </w:p>
    <w:p>
      <w:pPr>
        <w:rPr>
          <w:rFonts w:hint="eastAsia" w:ascii="宋体" w:hAnsi="宋体" w:eastAsia="宋体" w:cs="宋体"/>
          <w:b/>
          <w:color w:val="auto"/>
          <w:sz w:val="28"/>
          <w:szCs w:val="28"/>
          <w:highlight w:val="none"/>
        </w:rPr>
      </w:pPr>
    </w:p>
    <w:p>
      <w:pPr>
        <w:pStyle w:val="24"/>
        <w:rPr>
          <w:rFonts w:hint="eastAsia" w:ascii="宋体" w:hAnsi="宋体" w:eastAsia="宋体" w:cs="宋体"/>
          <w:b/>
          <w:color w:val="auto"/>
          <w:sz w:val="28"/>
          <w:szCs w:val="28"/>
          <w:highlight w:val="none"/>
        </w:rPr>
      </w:pPr>
    </w:p>
    <w:p>
      <w:pPr>
        <w:rPr>
          <w:rFonts w:hint="eastAsia" w:ascii="宋体" w:hAnsi="宋体" w:eastAsia="宋体" w:cs="宋体"/>
          <w:b/>
          <w:color w:val="auto"/>
          <w:sz w:val="28"/>
          <w:szCs w:val="28"/>
          <w:highlight w:val="none"/>
        </w:rPr>
      </w:pPr>
    </w:p>
    <w:p>
      <w:pPr>
        <w:pStyle w:val="24"/>
        <w:rPr>
          <w:rFonts w:hint="eastAsia" w:ascii="宋体" w:hAnsi="宋体" w:eastAsia="宋体" w:cs="宋体"/>
          <w:b/>
          <w:color w:val="auto"/>
          <w:sz w:val="28"/>
          <w:szCs w:val="28"/>
          <w:highlight w:val="none"/>
        </w:rPr>
      </w:pPr>
    </w:p>
    <w:p>
      <w:pPr>
        <w:rPr>
          <w:rFonts w:hint="eastAsia" w:ascii="宋体" w:hAnsi="宋体" w:eastAsia="宋体" w:cs="宋体"/>
          <w:b/>
          <w:color w:val="auto"/>
          <w:sz w:val="28"/>
          <w:szCs w:val="28"/>
          <w:highlight w:val="none"/>
        </w:rPr>
      </w:pPr>
    </w:p>
    <w:p>
      <w:pPr>
        <w:pStyle w:val="24"/>
        <w:rPr>
          <w:rFonts w:hint="eastAsia" w:ascii="宋体" w:hAnsi="宋体" w:eastAsia="宋体" w:cs="宋体"/>
          <w:b/>
          <w:color w:val="auto"/>
          <w:sz w:val="28"/>
          <w:szCs w:val="28"/>
          <w:highlight w:val="none"/>
        </w:rPr>
      </w:pPr>
    </w:p>
    <w:p>
      <w:pPr>
        <w:rPr>
          <w:rFonts w:hint="eastAsia" w:ascii="宋体" w:hAnsi="宋体" w:eastAsia="宋体" w:cs="宋体"/>
          <w:b/>
          <w:color w:val="auto"/>
          <w:sz w:val="28"/>
          <w:szCs w:val="28"/>
          <w:highlight w:val="none"/>
        </w:rPr>
      </w:pPr>
    </w:p>
    <w:p>
      <w:pPr>
        <w:pStyle w:val="24"/>
        <w:rPr>
          <w:rFonts w:hint="eastAsia" w:ascii="宋体" w:hAnsi="宋体" w:eastAsia="宋体" w:cs="宋体"/>
          <w:b/>
          <w:color w:val="auto"/>
          <w:sz w:val="28"/>
          <w:szCs w:val="28"/>
          <w:highlight w:val="none"/>
        </w:rPr>
      </w:pPr>
    </w:p>
    <w:p>
      <w:pPr>
        <w:rPr>
          <w:rFonts w:hint="eastAsia" w:ascii="宋体" w:hAnsi="宋体" w:eastAsia="宋体" w:cs="宋体"/>
          <w:b/>
          <w:color w:val="auto"/>
          <w:sz w:val="28"/>
          <w:szCs w:val="28"/>
          <w:highlight w:val="none"/>
        </w:rPr>
      </w:pPr>
    </w:p>
    <w:p>
      <w:pPr>
        <w:pStyle w:val="24"/>
        <w:rPr>
          <w:rFonts w:hint="eastAsia" w:ascii="宋体" w:hAnsi="宋体" w:eastAsia="宋体" w:cs="宋体"/>
          <w:b/>
          <w:color w:val="auto"/>
          <w:sz w:val="28"/>
          <w:szCs w:val="28"/>
          <w:highlight w:val="none"/>
        </w:rPr>
      </w:pPr>
    </w:p>
    <w:p>
      <w:pPr>
        <w:rPr>
          <w:rFonts w:hint="eastAsia" w:ascii="宋体" w:hAnsi="宋体" w:eastAsia="宋体" w:cs="宋体"/>
          <w:b/>
          <w:color w:val="auto"/>
          <w:sz w:val="28"/>
          <w:szCs w:val="28"/>
          <w:highlight w:val="none"/>
        </w:rPr>
      </w:pPr>
    </w:p>
    <w:p>
      <w:pPr>
        <w:pStyle w:val="24"/>
        <w:rPr>
          <w:rFonts w:hint="eastAsia" w:ascii="宋体" w:hAnsi="宋体" w:eastAsia="宋体" w:cs="宋体"/>
          <w:b/>
          <w:color w:val="auto"/>
          <w:sz w:val="28"/>
          <w:szCs w:val="28"/>
          <w:highlight w:val="none"/>
        </w:rPr>
      </w:pPr>
    </w:p>
    <w:p>
      <w:pPr>
        <w:rPr>
          <w:rFonts w:hint="eastAsia"/>
        </w:rPr>
      </w:pPr>
    </w:p>
    <w:p>
      <w:pPr>
        <w:pageBreakBefore w:val="0"/>
        <w:kinsoku/>
        <w:overflowPunct/>
        <w:bidi w:val="0"/>
        <w:spacing w:beforeAutospacing="0" w:afterAutospacing="0" w:line="360" w:lineRule="auto"/>
        <w:ind w:left="0" w:leftChars="0" w:right="0" w:rightChars="0"/>
        <w:jc w:val="center"/>
        <w:outlineLvl w:val="0"/>
        <w:rPr>
          <w:rFonts w:hint="eastAsia" w:ascii="宋体" w:hAnsi="宋体" w:eastAsia="宋体" w:cs="宋体"/>
          <w:b/>
          <w:color w:val="auto"/>
          <w:sz w:val="28"/>
          <w:szCs w:val="28"/>
          <w:highlight w:val="none"/>
        </w:rPr>
      </w:pPr>
      <w:bookmarkStart w:id="193" w:name="_Toc7168"/>
      <w:bookmarkStart w:id="194" w:name="_Toc490748561"/>
      <w:bookmarkStart w:id="195" w:name="_Toc29504"/>
      <w:bookmarkStart w:id="196" w:name="_Toc26242"/>
      <w:bookmarkStart w:id="197" w:name="_Toc9099"/>
      <w:bookmarkStart w:id="198" w:name="_Toc28918"/>
      <w:r>
        <w:rPr>
          <w:rFonts w:hint="eastAsia" w:ascii="宋体" w:hAnsi="宋体" w:eastAsia="宋体" w:cs="宋体"/>
          <w:b/>
          <w:color w:val="auto"/>
          <w:sz w:val="28"/>
          <w:szCs w:val="28"/>
          <w:highlight w:val="none"/>
        </w:rPr>
        <w:t>第</w:t>
      </w:r>
      <w:r>
        <w:rPr>
          <w:rFonts w:hint="eastAsia" w:ascii="宋体" w:hAnsi="宋体" w:cs="宋体"/>
          <w:b/>
          <w:color w:val="auto"/>
          <w:sz w:val="28"/>
          <w:szCs w:val="28"/>
          <w:highlight w:val="none"/>
          <w:lang w:val="en-US" w:eastAsia="zh-CN"/>
        </w:rPr>
        <w:t>九</w:t>
      </w:r>
      <w:r>
        <w:rPr>
          <w:rFonts w:hint="eastAsia" w:ascii="宋体" w:hAnsi="宋体" w:eastAsia="宋体" w:cs="宋体"/>
          <w:b/>
          <w:color w:val="auto"/>
          <w:sz w:val="28"/>
          <w:szCs w:val="28"/>
          <w:highlight w:val="none"/>
        </w:rPr>
        <w:t>章、投标文件格式</w:t>
      </w:r>
      <w:bookmarkEnd w:id="193"/>
      <w:bookmarkEnd w:id="194"/>
      <w:bookmarkEnd w:id="195"/>
      <w:bookmarkEnd w:id="196"/>
      <w:bookmarkEnd w:id="197"/>
      <w:bookmarkEnd w:id="198"/>
    </w:p>
    <w:p>
      <w:pPr>
        <w:pStyle w:val="8"/>
        <w:spacing w:line="261" w:lineRule="auto"/>
      </w:pPr>
    </w:p>
    <w:p>
      <w:pPr>
        <w:pStyle w:val="8"/>
        <w:spacing w:line="261" w:lineRule="auto"/>
      </w:pPr>
    </w:p>
    <w:p>
      <w:pPr>
        <w:pStyle w:val="8"/>
        <w:spacing w:line="261" w:lineRule="auto"/>
      </w:pPr>
    </w:p>
    <w:p>
      <w:pPr>
        <w:pStyle w:val="8"/>
        <w:spacing w:line="261" w:lineRule="auto"/>
      </w:pPr>
    </w:p>
    <w:p>
      <w:pPr>
        <w:pStyle w:val="8"/>
        <w:spacing w:line="262" w:lineRule="auto"/>
      </w:pPr>
    </w:p>
    <w:p>
      <w:pPr>
        <w:pStyle w:val="8"/>
        <w:spacing w:line="262" w:lineRule="auto"/>
      </w:pPr>
    </w:p>
    <w:p>
      <w:pPr>
        <w:tabs>
          <w:tab w:val="left" w:pos="3503"/>
        </w:tabs>
        <w:spacing w:before="140" w:line="224" w:lineRule="auto"/>
        <w:ind w:left="1735"/>
        <w:rPr>
          <w:rFonts w:ascii="宋体" w:hAnsi="宋体" w:eastAsia="宋体" w:cs="宋体"/>
          <w:sz w:val="43"/>
          <w:szCs w:val="43"/>
        </w:rPr>
      </w:pPr>
      <w:r>
        <w:rPr>
          <w:rFonts w:ascii="宋体" w:hAnsi="宋体" w:eastAsia="宋体" w:cs="宋体"/>
          <w:sz w:val="43"/>
          <w:szCs w:val="43"/>
          <w:u w:val="single" w:color="auto"/>
        </w:rPr>
        <w:tab/>
      </w:r>
      <w:r>
        <w:rPr>
          <w:rFonts w:ascii="宋体" w:hAnsi="宋体" w:eastAsia="宋体" w:cs="宋体"/>
          <w:spacing w:val="1"/>
          <w:sz w:val="43"/>
          <w:szCs w:val="43"/>
          <w14:textOutline w14:w="7968" w14:cap="flat" w14:cmpd="sng">
            <w14:solidFill>
              <w14:srgbClr w14:val="000000"/>
            </w14:solidFill>
            <w14:prstDash w14:val="solid"/>
            <w14:miter w14:val="0"/>
          </w14:textOutline>
        </w:rPr>
        <w:t>(项目名称)施工招标</w:t>
      </w:r>
    </w:p>
    <w:p>
      <w:pPr>
        <w:pStyle w:val="8"/>
        <w:spacing w:line="260" w:lineRule="auto"/>
      </w:pPr>
    </w:p>
    <w:p>
      <w:pPr>
        <w:pStyle w:val="8"/>
        <w:spacing w:line="260" w:lineRule="auto"/>
      </w:pPr>
    </w:p>
    <w:p>
      <w:pPr>
        <w:pStyle w:val="8"/>
        <w:spacing w:line="261" w:lineRule="auto"/>
      </w:pPr>
    </w:p>
    <w:p>
      <w:pPr>
        <w:pStyle w:val="8"/>
        <w:spacing w:line="261" w:lineRule="auto"/>
      </w:pPr>
    </w:p>
    <w:p>
      <w:pPr>
        <w:pStyle w:val="8"/>
        <w:spacing w:line="261" w:lineRule="auto"/>
      </w:pPr>
    </w:p>
    <w:p>
      <w:pPr>
        <w:pStyle w:val="8"/>
        <w:spacing w:line="261" w:lineRule="auto"/>
      </w:pPr>
    </w:p>
    <w:p>
      <w:pPr>
        <w:pStyle w:val="8"/>
        <w:spacing w:line="261" w:lineRule="auto"/>
      </w:pPr>
    </w:p>
    <w:p>
      <w:pPr>
        <w:pStyle w:val="8"/>
        <w:spacing w:line="261" w:lineRule="auto"/>
      </w:pPr>
    </w:p>
    <w:p>
      <w:pPr>
        <w:pStyle w:val="8"/>
        <w:spacing w:line="261" w:lineRule="auto"/>
      </w:pPr>
    </w:p>
    <w:p>
      <w:pPr>
        <w:pStyle w:val="8"/>
        <w:spacing w:line="261" w:lineRule="auto"/>
      </w:pPr>
    </w:p>
    <w:p>
      <w:pPr>
        <w:spacing w:before="273" w:line="220" w:lineRule="auto"/>
        <w:ind w:left="2616"/>
        <w:rPr>
          <w:rFonts w:ascii="宋体" w:hAnsi="宋体" w:eastAsia="宋体" w:cs="宋体"/>
          <w:sz w:val="84"/>
          <w:szCs w:val="84"/>
        </w:rPr>
      </w:pPr>
      <w:bookmarkStart w:id="199" w:name="bookmark48"/>
      <w:bookmarkEnd w:id="199"/>
      <w:r>
        <w:rPr>
          <w:rFonts w:ascii="宋体" w:hAnsi="宋体" w:eastAsia="宋体" w:cs="宋体"/>
          <w:spacing w:val="-30"/>
          <w:sz w:val="84"/>
          <w:szCs w:val="84"/>
          <w14:textOutline w14:w="15240" w14:cap="flat" w14:cmpd="sng">
            <w14:solidFill>
              <w14:srgbClr w14:val="000000"/>
            </w14:solidFill>
            <w14:prstDash w14:val="solid"/>
            <w14:miter w14:val="0"/>
          </w14:textOutline>
        </w:rPr>
        <w:t>投标文件</w:t>
      </w:r>
    </w:p>
    <w:p>
      <w:pPr>
        <w:spacing w:before="279" w:line="220" w:lineRule="auto"/>
        <w:ind w:left="2925"/>
        <w:rPr>
          <w:rFonts w:ascii="宋体" w:hAnsi="宋体" w:eastAsia="宋体" w:cs="宋体"/>
          <w:sz w:val="36"/>
          <w:szCs w:val="36"/>
        </w:rPr>
      </w:pPr>
      <w:r>
        <w:rPr>
          <w:rFonts w:ascii="宋体" w:hAnsi="宋体" w:eastAsia="宋体" w:cs="宋体"/>
          <w:spacing w:val="-2"/>
          <w:sz w:val="36"/>
          <w:szCs w:val="36"/>
          <w14:textOutline w14:w="6531" w14:cap="flat" w14:cmpd="sng">
            <w14:solidFill>
              <w14:srgbClr w14:val="000000"/>
            </w14:solidFill>
            <w14:prstDash w14:val="solid"/>
            <w14:miter w14:val="0"/>
          </w14:textOutline>
        </w:rPr>
        <w:t>（商务及技术文件）</w:t>
      </w:r>
    </w:p>
    <w:p>
      <w:pPr>
        <w:pStyle w:val="8"/>
        <w:spacing w:line="244" w:lineRule="auto"/>
      </w:pPr>
    </w:p>
    <w:p>
      <w:pPr>
        <w:pStyle w:val="8"/>
        <w:spacing w:line="244" w:lineRule="auto"/>
      </w:pPr>
    </w:p>
    <w:p>
      <w:pPr>
        <w:pStyle w:val="8"/>
        <w:spacing w:line="244" w:lineRule="auto"/>
      </w:pPr>
    </w:p>
    <w:p>
      <w:pPr>
        <w:pStyle w:val="8"/>
        <w:spacing w:line="244" w:lineRule="auto"/>
      </w:pPr>
    </w:p>
    <w:p>
      <w:pPr>
        <w:pStyle w:val="8"/>
        <w:spacing w:line="244" w:lineRule="auto"/>
      </w:pPr>
    </w:p>
    <w:p>
      <w:pPr>
        <w:pStyle w:val="8"/>
        <w:spacing w:line="244" w:lineRule="auto"/>
      </w:pPr>
    </w:p>
    <w:p>
      <w:pPr>
        <w:pStyle w:val="8"/>
        <w:spacing w:line="244" w:lineRule="auto"/>
      </w:pPr>
    </w:p>
    <w:p>
      <w:pPr>
        <w:pStyle w:val="8"/>
        <w:spacing w:line="244" w:lineRule="auto"/>
      </w:pPr>
    </w:p>
    <w:p>
      <w:pPr>
        <w:pStyle w:val="8"/>
        <w:spacing w:line="244" w:lineRule="auto"/>
      </w:pPr>
    </w:p>
    <w:p>
      <w:pPr>
        <w:pStyle w:val="8"/>
        <w:spacing w:line="245" w:lineRule="auto"/>
      </w:pPr>
    </w:p>
    <w:p>
      <w:pPr>
        <w:spacing w:before="91" w:line="479" w:lineRule="auto"/>
        <w:ind w:left="2081"/>
        <w:rPr>
          <w:rFonts w:ascii="宋体" w:hAnsi="宋体" w:eastAsia="宋体" w:cs="宋体"/>
          <w:sz w:val="28"/>
          <w:szCs w:val="28"/>
        </w:rPr>
      </w:pPr>
      <w:r>
        <w:rPr>
          <w:rFonts w:ascii="宋体" w:hAnsi="宋体" w:eastAsia="宋体" w:cs="宋体"/>
          <w:spacing w:val="-32"/>
          <w:sz w:val="28"/>
          <w:szCs w:val="28"/>
        </w:rPr>
        <w:t>投标人</w:t>
      </w:r>
      <w:r>
        <w:rPr>
          <w:rFonts w:ascii="宋体" w:hAnsi="宋体" w:eastAsia="宋体" w:cs="宋体"/>
          <w:spacing w:val="3"/>
          <w:sz w:val="28"/>
          <w:szCs w:val="28"/>
        </w:rPr>
        <w:t>：</w:t>
      </w:r>
      <w:r>
        <w:rPr>
          <w:rFonts w:hint="eastAsia" w:ascii="宋体" w:hAnsi="宋体" w:eastAsia="宋体" w:cs="宋体"/>
          <w:spacing w:val="3"/>
          <w:sz w:val="28"/>
          <w:szCs w:val="28"/>
          <w:u w:val="single"/>
          <w:lang w:val="en-US" w:eastAsia="zh-CN"/>
        </w:rPr>
        <w:t xml:space="preserve">   </w:t>
      </w:r>
      <w:r>
        <w:rPr>
          <w:rFonts w:hint="eastAsia" w:ascii="宋体" w:hAnsi="宋体" w:cs="宋体"/>
          <w:spacing w:val="3"/>
          <w:sz w:val="28"/>
          <w:szCs w:val="28"/>
          <w:u w:val="single"/>
          <w:lang w:val="en-US" w:eastAsia="zh-CN"/>
        </w:rPr>
        <w:t xml:space="preserve">              </w:t>
      </w:r>
      <w:r>
        <w:rPr>
          <w:rFonts w:hint="eastAsia" w:ascii="宋体" w:hAnsi="宋体" w:eastAsia="宋体" w:cs="宋体"/>
          <w:spacing w:val="3"/>
          <w:sz w:val="28"/>
          <w:szCs w:val="28"/>
          <w:u w:val="single"/>
          <w:lang w:val="en-US" w:eastAsia="zh-CN"/>
        </w:rPr>
        <w:t xml:space="preserve"> </w:t>
      </w:r>
      <w:r>
        <w:rPr>
          <w:rFonts w:ascii="宋体" w:hAnsi="宋体" w:eastAsia="宋体" w:cs="宋体"/>
          <w:spacing w:val="3"/>
          <w:sz w:val="28"/>
          <w:szCs w:val="28"/>
          <w:u w:val="none"/>
        </w:rPr>
        <w:t>（</w:t>
      </w:r>
      <w:r>
        <w:rPr>
          <w:rFonts w:hint="eastAsia" w:ascii="宋体" w:hAnsi="宋体" w:cs="宋体"/>
          <w:spacing w:val="-32"/>
          <w:sz w:val="28"/>
          <w:szCs w:val="28"/>
          <w:lang w:eastAsia="zh-CN"/>
        </w:rPr>
        <w:t>企业电子章</w:t>
      </w:r>
      <w:r>
        <w:rPr>
          <w:rFonts w:ascii="宋体" w:hAnsi="宋体" w:eastAsia="宋体" w:cs="宋体"/>
          <w:spacing w:val="-32"/>
          <w:sz w:val="28"/>
          <w:szCs w:val="28"/>
        </w:rPr>
        <w:t>）</w:t>
      </w:r>
    </w:p>
    <w:p>
      <w:pPr>
        <w:tabs>
          <w:tab w:val="left" w:pos="3646"/>
        </w:tabs>
        <w:spacing w:line="220" w:lineRule="auto"/>
        <w:ind w:left="2873"/>
        <w:rPr>
          <w:rFonts w:ascii="宋体" w:hAnsi="宋体" w:eastAsia="宋体" w:cs="宋体"/>
          <w:sz w:val="28"/>
          <w:szCs w:val="28"/>
        </w:rPr>
      </w:pPr>
      <w:r>
        <w:rPr>
          <w:rFonts w:ascii="宋体" w:hAnsi="宋体" w:eastAsia="宋体" w:cs="宋体"/>
          <w:sz w:val="28"/>
          <w:szCs w:val="28"/>
          <w:u w:val="single" w:color="auto"/>
        </w:rPr>
        <w:tab/>
      </w:r>
      <w:r>
        <w:rPr>
          <w:rFonts w:ascii="宋体" w:hAnsi="宋体" w:eastAsia="宋体" w:cs="宋体"/>
          <w:spacing w:val="-10"/>
          <w:sz w:val="28"/>
          <w:szCs w:val="28"/>
        </w:rPr>
        <w:t>年</w:t>
      </w:r>
      <w:r>
        <w:rPr>
          <w:rFonts w:hint="eastAsia" w:ascii="宋体" w:hAnsi="宋体" w:cs="宋体"/>
          <w:spacing w:val="-10"/>
          <w:sz w:val="28"/>
          <w:szCs w:val="28"/>
          <w:u w:val="single"/>
          <w:lang w:val="en-US" w:eastAsia="zh-CN"/>
        </w:rPr>
        <w:t xml:space="preserve">     </w:t>
      </w:r>
      <w:r>
        <w:rPr>
          <w:rFonts w:ascii="宋体" w:hAnsi="宋体" w:eastAsia="宋体" w:cs="宋体"/>
          <w:spacing w:val="-10"/>
          <w:sz w:val="28"/>
          <w:szCs w:val="28"/>
        </w:rPr>
        <w:t>月</w:t>
      </w:r>
      <w:r>
        <w:rPr>
          <w:rFonts w:hint="eastAsia" w:ascii="宋体" w:hAnsi="宋体" w:cs="宋体"/>
          <w:spacing w:val="-10"/>
          <w:sz w:val="28"/>
          <w:szCs w:val="28"/>
          <w:u w:val="single"/>
          <w:lang w:val="en-US" w:eastAsia="zh-CN"/>
        </w:rPr>
        <w:t xml:space="preserve">     </w:t>
      </w:r>
      <w:r>
        <w:rPr>
          <w:rFonts w:ascii="宋体" w:hAnsi="宋体" w:eastAsia="宋体" w:cs="宋体"/>
          <w:spacing w:val="-10"/>
          <w:sz w:val="28"/>
          <w:szCs w:val="28"/>
        </w:rPr>
        <w:t>日</w:t>
      </w:r>
    </w:p>
    <w:p>
      <w:pPr>
        <w:spacing w:line="220" w:lineRule="auto"/>
        <w:rPr>
          <w:rFonts w:ascii="宋体" w:hAnsi="宋体" w:eastAsia="宋体" w:cs="宋体"/>
          <w:sz w:val="28"/>
          <w:szCs w:val="28"/>
        </w:rPr>
        <w:sectPr>
          <w:footerReference r:id="rId18" w:type="default"/>
          <w:pgSz w:w="11907" w:h="16841"/>
          <w:pgMar w:top="1431" w:right="1785" w:bottom="1216" w:left="1785" w:header="0" w:footer="1055" w:gutter="0"/>
          <w:pgNumType w:fmt="decimal"/>
          <w:cols w:space="720" w:num="1"/>
        </w:sectPr>
      </w:pPr>
    </w:p>
    <w:p>
      <w:pPr>
        <w:spacing w:before="56" w:line="222" w:lineRule="auto"/>
        <w:jc w:val="center"/>
        <w:rPr>
          <w:rFonts w:ascii="宋体" w:hAnsi="宋体" w:eastAsia="宋体" w:cs="宋体"/>
          <w:sz w:val="28"/>
          <w:szCs w:val="28"/>
        </w:rPr>
      </w:pPr>
      <w:r>
        <w:rPr>
          <w:rFonts w:ascii="宋体" w:hAnsi="宋体" w:eastAsia="宋体" w:cs="宋体"/>
          <w:spacing w:val="-32"/>
          <w:sz w:val="28"/>
          <w:szCs w:val="28"/>
          <w14:textOutline w14:w="5094" w14:cap="flat" w14:cmpd="sng">
            <w14:solidFill>
              <w14:srgbClr w14:val="000000"/>
            </w14:solidFill>
            <w14:prstDash w14:val="solid"/>
            <w14:miter w14:val="0"/>
          </w14:textOutline>
        </w:rPr>
        <w:t>目录</w:t>
      </w:r>
    </w:p>
    <w:p>
      <w:pPr>
        <w:spacing w:before="285" w:line="219" w:lineRule="auto"/>
        <w:rPr>
          <w:rFonts w:ascii="宋体" w:hAnsi="宋体" w:eastAsia="宋体" w:cs="宋体"/>
          <w:sz w:val="24"/>
          <w:szCs w:val="24"/>
        </w:rPr>
      </w:pPr>
      <w:r>
        <w:rPr>
          <w:rFonts w:ascii="宋体" w:hAnsi="宋体" w:eastAsia="宋体" w:cs="宋体"/>
          <w:spacing w:val="-3"/>
          <w:sz w:val="24"/>
          <w:szCs w:val="24"/>
        </w:rPr>
        <w:t>一、投标函及投标函附录</w:t>
      </w:r>
    </w:p>
    <w:p>
      <w:pPr>
        <w:spacing w:before="269" w:line="219" w:lineRule="auto"/>
        <w:rPr>
          <w:rFonts w:ascii="宋体" w:hAnsi="宋体" w:eastAsia="宋体" w:cs="宋体"/>
          <w:sz w:val="24"/>
          <w:szCs w:val="24"/>
        </w:rPr>
      </w:pPr>
      <w:r>
        <w:rPr>
          <w:rFonts w:ascii="宋体" w:hAnsi="宋体" w:eastAsia="宋体" w:cs="宋体"/>
          <w:spacing w:val="-1"/>
          <w:sz w:val="24"/>
          <w:szCs w:val="24"/>
        </w:rPr>
        <w:t>二、授权委托书或法定代表人身份证明</w:t>
      </w:r>
    </w:p>
    <w:p>
      <w:pPr>
        <w:spacing w:before="271" w:line="555" w:lineRule="exact"/>
        <w:rPr>
          <w:rFonts w:ascii="宋体" w:hAnsi="宋体" w:eastAsia="宋体" w:cs="宋体"/>
          <w:sz w:val="24"/>
          <w:szCs w:val="24"/>
        </w:rPr>
      </w:pPr>
      <w:r>
        <w:rPr>
          <w:rFonts w:hint="eastAsia" w:ascii="宋体" w:hAnsi="宋体" w:cs="宋体"/>
          <w:spacing w:val="-4"/>
          <w:position w:val="24"/>
          <w:sz w:val="24"/>
          <w:szCs w:val="24"/>
          <w:lang w:val="en-US" w:eastAsia="zh-CN"/>
        </w:rPr>
        <w:t>三</w:t>
      </w:r>
      <w:r>
        <w:rPr>
          <w:rFonts w:ascii="宋体" w:hAnsi="宋体" w:eastAsia="宋体" w:cs="宋体"/>
          <w:spacing w:val="-4"/>
          <w:position w:val="24"/>
          <w:sz w:val="24"/>
          <w:szCs w:val="24"/>
        </w:rPr>
        <w:t>、施工组织设计</w:t>
      </w:r>
    </w:p>
    <w:p>
      <w:pPr>
        <w:spacing w:before="1" w:line="218" w:lineRule="auto"/>
        <w:rPr>
          <w:rFonts w:ascii="宋体" w:hAnsi="宋体" w:eastAsia="宋体" w:cs="宋体"/>
          <w:sz w:val="24"/>
          <w:szCs w:val="24"/>
        </w:rPr>
      </w:pPr>
      <w:r>
        <w:rPr>
          <w:rFonts w:hint="eastAsia" w:ascii="宋体" w:hAnsi="宋体" w:cs="宋体"/>
          <w:spacing w:val="-2"/>
          <w:sz w:val="24"/>
          <w:szCs w:val="24"/>
          <w:lang w:val="en-US" w:eastAsia="zh-CN"/>
        </w:rPr>
        <w:t>四</w:t>
      </w:r>
      <w:r>
        <w:rPr>
          <w:rFonts w:ascii="宋体" w:hAnsi="宋体" w:eastAsia="宋体" w:cs="宋体"/>
          <w:spacing w:val="-2"/>
          <w:sz w:val="24"/>
          <w:szCs w:val="24"/>
        </w:rPr>
        <w:t>、项目管理机构</w:t>
      </w:r>
    </w:p>
    <w:p>
      <w:pPr>
        <w:spacing w:before="272" w:line="219" w:lineRule="auto"/>
        <w:rPr>
          <w:rFonts w:ascii="宋体" w:hAnsi="宋体" w:eastAsia="宋体" w:cs="宋体"/>
          <w:sz w:val="24"/>
          <w:szCs w:val="24"/>
        </w:rPr>
      </w:pPr>
      <w:r>
        <w:rPr>
          <w:rFonts w:hint="eastAsia" w:ascii="宋体" w:hAnsi="宋体" w:cs="宋体"/>
          <w:spacing w:val="-2"/>
          <w:sz w:val="24"/>
          <w:szCs w:val="24"/>
          <w:lang w:val="en-US" w:eastAsia="zh-CN"/>
        </w:rPr>
        <w:t>五</w:t>
      </w:r>
      <w:r>
        <w:rPr>
          <w:rFonts w:ascii="宋体" w:hAnsi="宋体" w:eastAsia="宋体" w:cs="宋体"/>
          <w:spacing w:val="-2"/>
          <w:sz w:val="24"/>
          <w:szCs w:val="24"/>
        </w:rPr>
        <w:t>、拟分包项目情况表</w:t>
      </w:r>
    </w:p>
    <w:p>
      <w:pPr>
        <w:spacing w:before="270" w:line="557" w:lineRule="exact"/>
        <w:rPr>
          <w:rFonts w:ascii="宋体" w:hAnsi="宋体" w:eastAsia="宋体" w:cs="宋体"/>
          <w:sz w:val="24"/>
          <w:szCs w:val="24"/>
        </w:rPr>
      </w:pPr>
      <w:r>
        <w:rPr>
          <w:rFonts w:hint="eastAsia" w:ascii="宋体" w:hAnsi="宋体" w:cs="宋体"/>
          <w:spacing w:val="-1"/>
          <w:position w:val="24"/>
          <w:sz w:val="24"/>
          <w:szCs w:val="24"/>
          <w:lang w:val="en-US" w:eastAsia="zh-CN"/>
        </w:rPr>
        <w:t>六</w:t>
      </w:r>
      <w:r>
        <w:rPr>
          <w:rFonts w:ascii="宋体" w:hAnsi="宋体" w:eastAsia="宋体" w:cs="宋体"/>
          <w:spacing w:val="-1"/>
          <w:position w:val="24"/>
          <w:sz w:val="24"/>
          <w:szCs w:val="24"/>
        </w:rPr>
        <w:t>、资格审查资料</w:t>
      </w:r>
    </w:p>
    <w:p>
      <w:pPr>
        <w:spacing w:line="220" w:lineRule="auto"/>
        <w:rPr>
          <w:rFonts w:ascii="宋体" w:hAnsi="宋体" w:eastAsia="宋体" w:cs="宋体"/>
          <w:sz w:val="24"/>
          <w:szCs w:val="24"/>
        </w:rPr>
      </w:pPr>
      <w:r>
        <w:rPr>
          <w:rFonts w:hint="eastAsia" w:ascii="宋体" w:hAnsi="宋体" w:cs="宋体"/>
          <w:spacing w:val="-3"/>
          <w:sz w:val="24"/>
          <w:szCs w:val="24"/>
          <w:lang w:val="en-US" w:eastAsia="zh-CN"/>
        </w:rPr>
        <w:t>七</w:t>
      </w:r>
      <w:r>
        <w:rPr>
          <w:rFonts w:ascii="宋体" w:hAnsi="宋体" w:eastAsia="宋体" w:cs="宋体"/>
          <w:spacing w:val="-3"/>
          <w:sz w:val="24"/>
          <w:szCs w:val="24"/>
        </w:rPr>
        <w:t>、其他资料</w:t>
      </w:r>
    </w:p>
    <w:p>
      <w:pPr>
        <w:spacing w:line="220" w:lineRule="auto"/>
        <w:rPr>
          <w:rFonts w:ascii="宋体" w:hAnsi="宋体" w:eastAsia="宋体" w:cs="宋体"/>
          <w:sz w:val="24"/>
          <w:szCs w:val="24"/>
        </w:rPr>
        <w:sectPr>
          <w:footerReference r:id="rId19" w:type="default"/>
          <w:pgSz w:w="11907" w:h="16841"/>
          <w:pgMar w:top="1426" w:right="1785" w:bottom="1216" w:left="1785" w:header="0" w:footer="1055" w:gutter="0"/>
          <w:pgNumType w:fmt="decimal"/>
          <w:cols w:space="720" w:num="1"/>
        </w:sectPr>
      </w:pPr>
    </w:p>
    <w:p>
      <w:pPr>
        <w:spacing w:before="177" w:line="220" w:lineRule="auto"/>
        <w:ind w:left="4006"/>
        <w:outlineLvl w:val="6"/>
        <w:rPr>
          <w:rFonts w:ascii="宋体" w:hAnsi="宋体" w:eastAsia="宋体" w:cs="宋体"/>
          <w:sz w:val="21"/>
          <w:szCs w:val="21"/>
        </w:rPr>
      </w:pPr>
      <w:bookmarkStart w:id="200" w:name="bookmark49"/>
      <w:bookmarkEnd w:id="200"/>
      <w:r>
        <w:rPr>
          <w:rFonts w:ascii="宋体" w:hAnsi="宋体" w:eastAsia="宋体" w:cs="宋体"/>
          <w:spacing w:val="-1"/>
          <w:sz w:val="21"/>
          <w:szCs w:val="21"/>
          <w14:textOutline w14:w="3831" w14:cap="flat" w14:cmpd="sng">
            <w14:solidFill>
              <w14:srgbClr w14:val="000000"/>
            </w14:solidFill>
            <w14:prstDash w14:val="solid"/>
            <w14:miter w14:val="0"/>
          </w14:textOutline>
        </w:rPr>
        <w:t>一、投标函及投标函附录</w:t>
      </w:r>
    </w:p>
    <w:p>
      <w:pPr>
        <w:pStyle w:val="8"/>
        <w:spacing w:line="413" w:lineRule="auto"/>
      </w:pPr>
    </w:p>
    <w:p>
      <w:pPr>
        <w:spacing w:before="69" w:line="221" w:lineRule="auto"/>
        <w:ind w:left="4496"/>
        <w:rPr>
          <w:rFonts w:ascii="宋体" w:hAnsi="宋体" w:eastAsia="宋体" w:cs="宋体"/>
          <w:sz w:val="21"/>
          <w:szCs w:val="21"/>
        </w:rPr>
      </w:pPr>
      <w:r>
        <w:rPr>
          <w:rFonts w:ascii="宋体" w:hAnsi="宋体" w:eastAsia="宋体" w:cs="宋体"/>
          <w:spacing w:val="-5"/>
          <w:sz w:val="21"/>
          <w:szCs w:val="21"/>
          <w14:textOutline w14:w="3831" w14:cap="flat" w14:cmpd="sng">
            <w14:solidFill>
              <w14:srgbClr w14:val="000000"/>
            </w14:solidFill>
            <w14:prstDash w14:val="solid"/>
            <w14:miter w14:val="0"/>
          </w14:textOutline>
        </w:rPr>
        <w:t>（一）投标函</w:t>
      </w:r>
    </w:p>
    <w:p>
      <w:pPr>
        <w:tabs>
          <w:tab w:val="left" w:pos="1261"/>
        </w:tabs>
        <w:spacing w:before="173" w:line="221" w:lineRule="auto"/>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3"/>
          <w:sz w:val="21"/>
          <w:szCs w:val="21"/>
        </w:rPr>
        <w:t>（招标人名称</w:t>
      </w:r>
      <w:r>
        <w:rPr>
          <w:rFonts w:ascii="宋体" w:hAnsi="宋体" w:eastAsia="宋体" w:cs="宋体"/>
          <w:spacing w:val="-7"/>
          <w:sz w:val="21"/>
          <w:szCs w:val="21"/>
        </w:rPr>
        <w:t>）：</w:t>
      </w:r>
    </w:p>
    <w:p>
      <w:pPr>
        <w:spacing w:before="155" w:line="360" w:lineRule="auto"/>
        <w:ind w:left="7" w:firstLine="439"/>
        <w:jc w:val="both"/>
        <w:rPr>
          <w:rFonts w:ascii="宋体" w:hAnsi="宋体" w:eastAsia="宋体" w:cs="宋体"/>
          <w:sz w:val="21"/>
          <w:szCs w:val="21"/>
        </w:rPr>
      </w:pPr>
      <w:r>
        <w:rPr>
          <w:rFonts w:ascii="宋体" w:hAnsi="宋体" w:eastAsia="宋体" w:cs="宋体"/>
          <w:spacing w:val="-7"/>
          <w:sz w:val="21"/>
          <w:szCs w:val="21"/>
        </w:rPr>
        <w:t>1．我方已仔细研究了</w:t>
      </w:r>
      <w:r>
        <w:rPr>
          <w:rFonts w:hint="eastAsia" w:ascii="宋体" w:hAnsi="宋体" w:cs="宋体"/>
          <w:spacing w:val="-7"/>
          <w:sz w:val="21"/>
          <w:szCs w:val="21"/>
          <w:u w:val="single"/>
          <w:lang w:val="en-US" w:eastAsia="zh-CN"/>
        </w:rPr>
        <w:t xml:space="preserve">          </w:t>
      </w:r>
      <w:r>
        <w:rPr>
          <w:rFonts w:ascii="宋体" w:hAnsi="宋体" w:eastAsia="宋体" w:cs="宋体"/>
          <w:spacing w:val="-7"/>
          <w:sz w:val="21"/>
          <w:szCs w:val="21"/>
        </w:rPr>
        <w:t>（项目名称）施工招标文件的全部内容（含补遗书</w:t>
      </w:r>
      <w:r>
        <w:rPr>
          <w:rFonts w:ascii="宋体" w:hAnsi="宋体" w:eastAsia="宋体" w:cs="宋体"/>
          <w:spacing w:val="-30"/>
          <w:sz w:val="21"/>
          <w:szCs w:val="21"/>
        </w:rPr>
        <w:t>），</w:t>
      </w:r>
      <w:r>
        <w:rPr>
          <w:rFonts w:ascii="宋体" w:hAnsi="宋体" w:eastAsia="宋体" w:cs="宋体"/>
          <w:spacing w:val="-2"/>
          <w:sz w:val="21"/>
          <w:szCs w:val="21"/>
        </w:rPr>
        <w:t>在考察工程现场后，愿意以第二个信封（报价文件）中的投标总报价（或根据招标文件规定修正核实后确定的另一金额</w:t>
      </w:r>
      <w:r>
        <w:rPr>
          <w:rFonts w:ascii="宋体" w:hAnsi="宋体" w:eastAsia="宋体" w:cs="宋体"/>
          <w:spacing w:val="-9"/>
          <w:sz w:val="21"/>
          <w:szCs w:val="21"/>
        </w:rPr>
        <w:t>），</w:t>
      </w:r>
      <w:r>
        <w:rPr>
          <w:rFonts w:ascii="宋体" w:hAnsi="宋体" w:eastAsia="宋体" w:cs="宋体"/>
          <w:spacing w:val="-2"/>
          <w:sz w:val="21"/>
          <w:szCs w:val="21"/>
        </w:rPr>
        <w:t>按合同约定实施和完成承包工程，修补</w:t>
      </w:r>
      <w:r>
        <w:rPr>
          <w:rFonts w:ascii="宋体" w:hAnsi="宋体" w:eastAsia="宋体" w:cs="宋体"/>
          <w:spacing w:val="-3"/>
          <w:sz w:val="21"/>
          <w:szCs w:val="21"/>
        </w:rPr>
        <w:t>工程中的任何缺陷。</w:t>
      </w:r>
    </w:p>
    <w:p>
      <w:pPr>
        <w:spacing w:before="157" w:line="221" w:lineRule="auto"/>
        <w:ind w:left="433"/>
        <w:rPr>
          <w:rFonts w:ascii="宋体" w:hAnsi="宋体" w:eastAsia="宋体" w:cs="宋体"/>
          <w:sz w:val="21"/>
          <w:szCs w:val="21"/>
        </w:rPr>
      </w:pPr>
      <w:r>
        <w:rPr>
          <w:rFonts w:ascii="宋体" w:hAnsi="宋体" w:eastAsia="宋体" w:cs="宋体"/>
          <w:spacing w:val="-1"/>
          <w:sz w:val="21"/>
          <w:szCs w:val="21"/>
        </w:rPr>
        <w:t>2．我方承诺在招标文件规定的投标有效期内不撤销投标文件。</w:t>
      </w:r>
    </w:p>
    <w:p>
      <w:pPr>
        <w:spacing w:before="157" w:line="359" w:lineRule="auto"/>
        <w:ind w:left="432"/>
        <w:rPr>
          <w:rFonts w:ascii="宋体" w:hAnsi="宋体" w:eastAsia="宋体" w:cs="宋体"/>
          <w:sz w:val="21"/>
          <w:szCs w:val="21"/>
        </w:rPr>
      </w:pPr>
      <w:r>
        <w:rPr>
          <w:rFonts w:ascii="宋体" w:hAnsi="宋体" w:eastAsia="宋体" w:cs="宋体"/>
          <w:spacing w:val="-7"/>
          <w:sz w:val="21"/>
          <w:szCs w:val="21"/>
        </w:rPr>
        <w:t>3．工程质量：</w:t>
      </w:r>
      <w:r>
        <w:rPr>
          <w:rFonts w:hint="eastAsia" w:ascii="宋体" w:hAnsi="宋体" w:cs="宋体"/>
          <w:spacing w:val="-7"/>
          <w:sz w:val="21"/>
          <w:szCs w:val="21"/>
          <w:u w:val="single"/>
          <w:lang w:val="en-US" w:eastAsia="zh-CN"/>
        </w:rPr>
        <w:t xml:space="preserve">          </w:t>
      </w:r>
      <w:r>
        <w:rPr>
          <w:rFonts w:ascii="宋体" w:hAnsi="宋体" w:eastAsia="宋体" w:cs="宋体"/>
          <w:spacing w:val="-7"/>
          <w:sz w:val="21"/>
          <w:szCs w:val="21"/>
        </w:rPr>
        <w:t>，安全目标：</w:t>
      </w:r>
      <w:r>
        <w:rPr>
          <w:rFonts w:hint="eastAsia" w:ascii="宋体" w:hAnsi="宋体" w:cs="宋体"/>
          <w:spacing w:val="-7"/>
          <w:sz w:val="21"/>
          <w:szCs w:val="21"/>
          <w:u w:val="single"/>
          <w:lang w:val="en-US" w:eastAsia="zh-CN"/>
        </w:rPr>
        <w:t xml:space="preserve">          </w:t>
      </w:r>
      <w:r>
        <w:rPr>
          <w:rFonts w:ascii="宋体" w:hAnsi="宋体" w:eastAsia="宋体" w:cs="宋体"/>
          <w:spacing w:val="-7"/>
          <w:sz w:val="21"/>
          <w:szCs w:val="21"/>
        </w:rPr>
        <w:t>，工期：</w:t>
      </w:r>
      <w:r>
        <w:rPr>
          <w:rFonts w:hint="eastAsia" w:ascii="宋体" w:hAnsi="宋体" w:cs="宋体"/>
          <w:spacing w:val="-7"/>
          <w:sz w:val="21"/>
          <w:szCs w:val="21"/>
          <w:u w:val="single"/>
          <w:lang w:val="en-US" w:eastAsia="zh-CN"/>
        </w:rPr>
        <w:t xml:space="preserve">          </w:t>
      </w:r>
      <w:r>
        <w:rPr>
          <w:rFonts w:ascii="宋体" w:hAnsi="宋体" w:eastAsia="宋体" w:cs="宋体"/>
          <w:spacing w:val="-7"/>
          <w:sz w:val="21"/>
          <w:szCs w:val="21"/>
        </w:rPr>
        <w:t>日历天，扬尘防治目标：</w:t>
      </w:r>
      <w:r>
        <w:rPr>
          <w:rFonts w:hint="eastAsia" w:ascii="宋体" w:hAnsi="宋体" w:cs="宋体"/>
          <w:spacing w:val="-7"/>
          <w:sz w:val="21"/>
          <w:szCs w:val="21"/>
          <w:u w:val="single"/>
          <w:lang w:val="en-US" w:eastAsia="zh-CN"/>
        </w:rPr>
        <w:t xml:space="preserve">          </w:t>
      </w:r>
      <w:r>
        <w:rPr>
          <w:rFonts w:ascii="宋体" w:hAnsi="宋体" w:eastAsia="宋体" w:cs="宋体"/>
          <w:spacing w:val="-7"/>
          <w:sz w:val="21"/>
          <w:szCs w:val="21"/>
        </w:rPr>
        <w:t>。</w:t>
      </w:r>
    </w:p>
    <w:p>
      <w:pPr>
        <w:spacing w:before="1" w:line="220" w:lineRule="auto"/>
        <w:ind w:left="430"/>
        <w:rPr>
          <w:rFonts w:ascii="宋体" w:hAnsi="宋体" w:eastAsia="宋体" w:cs="宋体"/>
          <w:sz w:val="21"/>
          <w:szCs w:val="21"/>
        </w:rPr>
      </w:pPr>
      <w:r>
        <w:rPr>
          <w:rFonts w:ascii="宋体" w:hAnsi="宋体" w:eastAsia="宋体" w:cs="宋体"/>
          <w:spacing w:val="-4"/>
          <w:sz w:val="21"/>
          <w:szCs w:val="21"/>
        </w:rPr>
        <w:t>4．如我方中标，我方承诺：</w:t>
      </w:r>
    </w:p>
    <w:p>
      <w:pPr>
        <w:spacing w:before="159" w:line="220" w:lineRule="auto"/>
        <w:ind w:left="437"/>
        <w:rPr>
          <w:rFonts w:ascii="宋体" w:hAnsi="宋体" w:eastAsia="宋体" w:cs="宋体"/>
          <w:sz w:val="21"/>
          <w:szCs w:val="21"/>
        </w:rPr>
      </w:pPr>
      <w:r>
        <w:rPr>
          <w:rFonts w:ascii="宋体" w:hAnsi="宋体" w:eastAsia="宋体" w:cs="宋体"/>
          <w:spacing w:val="-4"/>
          <w:sz w:val="21"/>
          <w:szCs w:val="21"/>
        </w:rPr>
        <w:t>（1）在收到中标通知书后，在中标通知书规定的期限内与你方签订合同；</w:t>
      </w:r>
    </w:p>
    <w:p>
      <w:pPr>
        <w:spacing w:before="158" w:line="220" w:lineRule="auto"/>
        <w:ind w:left="437"/>
        <w:rPr>
          <w:rFonts w:ascii="宋体" w:hAnsi="宋体" w:eastAsia="宋体" w:cs="宋体"/>
          <w:sz w:val="21"/>
          <w:szCs w:val="21"/>
        </w:rPr>
      </w:pPr>
      <w:r>
        <w:rPr>
          <w:rFonts w:ascii="宋体" w:hAnsi="宋体" w:eastAsia="宋体" w:cs="宋体"/>
          <w:spacing w:val="-1"/>
          <w:sz w:val="21"/>
          <w:szCs w:val="21"/>
        </w:rPr>
        <w:t>（2）在签订合同时不向你方提出附加条件；</w:t>
      </w:r>
    </w:p>
    <w:p>
      <w:pPr>
        <w:spacing w:before="157" w:line="221" w:lineRule="auto"/>
        <w:ind w:left="437"/>
        <w:rPr>
          <w:rFonts w:ascii="宋体" w:hAnsi="宋体" w:eastAsia="宋体" w:cs="宋体"/>
          <w:sz w:val="21"/>
          <w:szCs w:val="21"/>
        </w:rPr>
      </w:pPr>
      <w:r>
        <w:rPr>
          <w:rFonts w:ascii="宋体" w:hAnsi="宋体" w:eastAsia="宋体" w:cs="宋体"/>
          <w:spacing w:val="-3"/>
          <w:sz w:val="21"/>
          <w:szCs w:val="21"/>
        </w:rPr>
        <w:t>（3）按照招标文件要求提交履约保证金；</w:t>
      </w:r>
    </w:p>
    <w:p>
      <w:pPr>
        <w:spacing w:before="157" w:line="221" w:lineRule="auto"/>
        <w:ind w:left="437"/>
        <w:rPr>
          <w:rFonts w:ascii="宋体" w:hAnsi="宋体" w:eastAsia="宋体" w:cs="宋体"/>
          <w:sz w:val="21"/>
          <w:szCs w:val="21"/>
        </w:rPr>
      </w:pPr>
      <w:r>
        <w:rPr>
          <w:rFonts w:ascii="宋体" w:hAnsi="宋体" w:eastAsia="宋体" w:cs="宋体"/>
          <w:spacing w:val="-2"/>
          <w:sz w:val="21"/>
          <w:szCs w:val="21"/>
        </w:rPr>
        <w:t>（4）在合同约定的期限内完成合同规定的全部义务；</w:t>
      </w:r>
    </w:p>
    <w:p>
      <w:pPr>
        <w:spacing w:before="159" w:line="359" w:lineRule="auto"/>
        <w:ind w:left="10" w:right="67" w:firstLine="419"/>
        <w:rPr>
          <w:rFonts w:ascii="宋体" w:hAnsi="宋体" w:eastAsia="宋体" w:cs="宋体"/>
          <w:sz w:val="21"/>
          <w:szCs w:val="21"/>
        </w:rPr>
      </w:pPr>
      <w:r>
        <w:rPr>
          <w:rFonts w:ascii="宋体" w:hAnsi="宋体" w:eastAsia="宋体" w:cs="宋体"/>
          <w:spacing w:val="-1"/>
          <w:sz w:val="21"/>
          <w:szCs w:val="21"/>
        </w:rPr>
        <w:t>（5）在你方和我方进行合同谈判之前，我方将按照合同附件提出的最低要求填报派驻本标段的其他管</w:t>
      </w:r>
      <w:r>
        <w:rPr>
          <w:rFonts w:ascii="宋体" w:hAnsi="宋体" w:eastAsia="宋体" w:cs="宋体"/>
          <w:sz w:val="21"/>
          <w:szCs w:val="21"/>
        </w:rPr>
        <w:t>理和技术人员及主要机械设备和试验检测设备，经你方审批后作为派驻本标段的项目管理机构主要</w:t>
      </w:r>
      <w:r>
        <w:rPr>
          <w:rFonts w:ascii="宋体" w:hAnsi="宋体" w:eastAsia="宋体" w:cs="宋体"/>
          <w:spacing w:val="-1"/>
          <w:sz w:val="21"/>
          <w:szCs w:val="21"/>
        </w:rPr>
        <w:t>人员和</w:t>
      </w:r>
    </w:p>
    <w:p>
      <w:pPr>
        <w:spacing w:before="1" w:line="219" w:lineRule="auto"/>
        <w:ind w:left="9"/>
        <w:rPr>
          <w:rFonts w:ascii="宋体" w:hAnsi="宋体" w:eastAsia="宋体" w:cs="宋体"/>
          <w:sz w:val="21"/>
          <w:szCs w:val="21"/>
        </w:rPr>
      </w:pPr>
      <w:r>
        <w:rPr>
          <w:rFonts w:ascii="宋体" w:hAnsi="宋体" w:eastAsia="宋体" w:cs="宋体"/>
          <w:spacing w:val="-2"/>
          <w:sz w:val="21"/>
          <w:szCs w:val="21"/>
        </w:rPr>
        <w:t>主要设备且不进行更换。如我方拟派驻的人员和设备不满足合同附件要求，你方有权</w:t>
      </w:r>
      <w:r>
        <w:rPr>
          <w:rFonts w:ascii="宋体" w:hAnsi="宋体" w:eastAsia="宋体" w:cs="宋体"/>
          <w:spacing w:val="-3"/>
          <w:sz w:val="21"/>
          <w:szCs w:val="21"/>
        </w:rPr>
        <w:t>取消我方中标资格。</w:t>
      </w:r>
    </w:p>
    <w:p>
      <w:pPr>
        <w:spacing w:before="158" w:line="408" w:lineRule="exact"/>
        <w:ind w:right="61"/>
        <w:jc w:val="right"/>
        <w:rPr>
          <w:rFonts w:ascii="宋体" w:hAnsi="宋体" w:eastAsia="宋体" w:cs="宋体"/>
          <w:sz w:val="21"/>
          <w:szCs w:val="21"/>
        </w:rPr>
      </w:pPr>
      <w:r>
        <w:rPr>
          <w:rFonts w:ascii="宋体" w:hAnsi="宋体" w:eastAsia="宋体" w:cs="宋体"/>
          <w:spacing w:val="-1"/>
          <w:position w:val="15"/>
          <w:sz w:val="21"/>
          <w:szCs w:val="21"/>
        </w:rPr>
        <w:t>5．我方在此声明，所递交的投标文件及有关资料内容完整、真实和准确，且不存在第二章“投标人须</w:t>
      </w:r>
    </w:p>
    <w:p>
      <w:pPr>
        <w:spacing w:before="1" w:line="220" w:lineRule="auto"/>
        <w:ind w:left="12"/>
        <w:rPr>
          <w:rFonts w:ascii="宋体" w:hAnsi="宋体" w:eastAsia="宋体" w:cs="宋体"/>
          <w:sz w:val="21"/>
          <w:szCs w:val="21"/>
        </w:rPr>
      </w:pPr>
      <w:r>
        <w:rPr>
          <w:rFonts w:ascii="宋体" w:hAnsi="宋体" w:eastAsia="宋体" w:cs="宋体"/>
          <w:spacing w:val="-4"/>
          <w:sz w:val="21"/>
          <w:szCs w:val="21"/>
        </w:rPr>
        <w:t>知”第1.4.3项和第1.4.4项规定的任何一种情形。</w:t>
      </w:r>
    </w:p>
    <w:p>
      <w:pPr>
        <w:spacing w:before="159" w:line="408" w:lineRule="exact"/>
        <w:ind w:right="53"/>
        <w:jc w:val="right"/>
        <w:rPr>
          <w:rFonts w:ascii="宋体" w:hAnsi="宋体" w:eastAsia="宋体" w:cs="宋体"/>
          <w:sz w:val="21"/>
          <w:szCs w:val="21"/>
        </w:rPr>
      </w:pPr>
      <w:r>
        <w:rPr>
          <w:rFonts w:ascii="宋体" w:hAnsi="宋体" w:eastAsia="宋体" w:cs="宋体"/>
          <w:spacing w:val="-2"/>
          <w:position w:val="15"/>
          <w:sz w:val="21"/>
          <w:szCs w:val="21"/>
        </w:rPr>
        <w:t>6．在合同协议书正式签署生效之前，本投标函连同你方的中标通知书将构成我们双</w:t>
      </w:r>
      <w:r>
        <w:rPr>
          <w:rFonts w:ascii="宋体" w:hAnsi="宋体" w:eastAsia="宋体" w:cs="宋体"/>
          <w:spacing w:val="-3"/>
          <w:position w:val="15"/>
          <w:sz w:val="21"/>
          <w:szCs w:val="21"/>
        </w:rPr>
        <w:t>方之间共同遵守的</w:t>
      </w:r>
    </w:p>
    <w:p>
      <w:pPr>
        <w:spacing w:before="1" w:line="220" w:lineRule="auto"/>
        <w:ind w:left="9"/>
        <w:rPr>
          <w:rFonts w:ascii="宋体" w:hAnsi="宋体" w:eastAsia="宋体" w:cs="宋体"/>
          <w:sz w:val="21"/>
          <w:szCs w:val="21"/>
        </w:rPr>
      </w:pPr>
      <w:r>
        <w:rPr>
          <w:rFonts w:ascii="宋体" w:hAnsi="宋体" w:eastAsia="宋体" w:cs="宋体"/>
          <w:spacing w:val="-9"/>
          <w:sz w:val="21"/>
          <w:szCs w:val="21"/>
        </w:rPr>
        <w:t>文件，对双方具有约束力。</w:t>
      </w:r>
    </w:p>
    <w:p>
      <w:pPr>
        <w:spacing w:before="157" w:line="408" w:lineRule="exact"/>
        <w:ind w:right="37"/>
        <w:jc w:val="center"/>
        <w:rPr>
          <w:rFonts w:ascii="宋体" w:hAnsi="宋体" w:eastAsia="宋体" w:cs="宋体"/>
          <w:sz w:val="21"/>
          <w:szCs w:val="21"/>
        </w:rPr>
      </w:pPr>
      <w:r>
        <w:rPr>
          <w:rFonts w:ascii="宋体" w:hAnsi="宋体" w:eastAsia="宋体" w:cs="宋体"/>
          <w:spacing w:val="-4"/>
          <w:position w:val="14"/>
          <w:sz w:val="21"/>
          <w:szCs w:val="21"/>
        </w:rPr>
        <w:t>7．我方在此声明，投标文件对招标文件的实质性要求和条件作出响应；权利义务符合招标文件规定。</w:t>
      </w:r>
    </w:p>
    <w:p>
      <w:pPr>
        <w:spacing w:before="1" w:line="220" w:lineRule="auto"/>
        <w:ind w:left="429"/>
        <w:rPr>
          <w:rFonts w:ascii="宋体" w:hAnsi="宋体" w:eastAsia="宋体" w:cs="宋体"/>
          <w:sz w:val="21"/>
          <w:szCs w:val="21"/>
        </w:rPr>
      </w:pPr>
      <w:r>
        <w:rPr>
          <w:rFonts w:ascii="宋体" w:hAnsi="宋体" w:eastAsia="宋体" w:cs="宋体"/>
          <w:spacing w:val="-7"/>
          <w:sz w:val="21"/>
          <w:szCs w:val="21"/>
        </w:rPr>
        <w:t>8.</w:t>
      </w:r>
      <w:r>
        <w:rPr>
          <w:rFonts w:hint="eastAsia" w:ascii="宋体" w:hAnsi="宋体" w:cs="宋体"/>
          <w:spacing w:val="-7"/>
          <w:sz w:val="21"/>
          <w:szCs w:val="21"/>
          <w:u w:val="single"/>
          <w:lang w:val="en-US" w:eastAsia="zh-CN"/>
        </w:rPr>
        <w:t xml:space="preserve">      </w:t>
      </w:r>
      <w:r>
        <w:rPr>
          <w:rFonts w:ascii="宋体" w:hAnsi="宋体" w:eastAsia="宋体" w:cs="宋体"/>
          <w:spacing w:val="-7"/>
          <w:sz w:val="21"/>
          <w:szCs w:val="21"/>
        </w:rPr>
        <w:t>（其他补充说明）。</w:t>
      </w:r>
    </w:p>
    <w:p>
      <w:pPr>
        <w:spacing w:before="157" w:line="360" w:lineRule="auto"/>
        <w:ind w:left="4841" w:right="775" w:firstLine="1"/>
        <w:rPr>
          <w:rFonts w:ascii="宋体" w:hAnsi="宋体" w:eastAsia="宋体" w:cs="宋体"/>
          <w:spacing w:val="-9"/>
          <w:sz w:val="21"/>
          <w:szCs w:val="21"/>
        </w:rPr>
      </w:pPr>
      <w:r>
        <w:rPr>
          <w:rFonts w:ascii="宋体" w:hAnsi="宋体" w:eastAsia="宋体" w:cs="宋体"/>
          <w:spacing w:val="-9"/>
          <w:sz w:val="21"/>
          <w:szCs w:val="21"/>
        </w:rPr>
        <w:t>投标人</w:t>
      </w:r>
      <w:r>
        <w:rPr>
          <w:rFonts w:ascii="宋体" w:hAnsi="宋体" w:eastAsia="宋体" w:cs="宋体"/>
          <w:spacing w:val="-14"/>
          <w:sz w:val="21"/>
          <w:szCs w:val="21"/>
        </w:rPr>
        <w:t>：</w:t>
      </w:r>
      <w:r>
        <w:rPr>
          <w:rFonts w:hint="eastAsia" w:ascii="宋体" w:hAnsi="宋体" w:cs="宋体"/>
          <w:spacing w:val="-7"/>
          <w:sz w:val="21"/>
          <w:szCs w:val="21"/>
          <w:u w:val="single"/>
          <w:lang w:val="en-US" w:eastAsia="zh-CN"/>
        </w:rPr>
        <w:t xml:space="preserve">                        </w:t>
      </w:r>
      <w:r>
        <w:rPr>
          <w:rFonts w:ascii="宋体" w:hAnsi="宋体" w:eastAsia="宋体" w:cs="宋体"/>
          <w:spacing w:val="-14"/>
          <w:sz w:val="21"/>
          <w:szCs w:val="21"/>
        </w:rPr>
        <w:t>（</w:t>
      </w:r>
      <w:r>
        <w:rPr>
          <w:rFonts w:hint="eastAsia" w:ascii="宋体" w:hAnsi="宋体" w:cs="宋体"/>
          <w:spacing w:val="-9"/>
          <w:sz w:val="21"/>
          <w:szCs w:val="21"/>
          <w:lang w:eastAsia="zh-CN"/>
        </w:rPr>
        <w:t>企业电子章</w:t>
      </w:r>
      <w:r>
        <w:rPr>
          <w:rFonts w:ascii="宋体" w:hAnsi="宋体" w:eastAsia="宋体" w:cs="宋体"/>
          <w:spacing w:val="-9"/>
          <w:sz w:val="21"/>
          <w:szCs w:val="21"/>
        </w:rPr>
        <w:t>）</w:t>
      </w:r>
    </w:p>
    <w:p>
      <w:pPr>
        <w:spacing w:before="157" w:line="360" w:lineRule="auto"/>
        <w:ind w:left="4841" w:right="775" w:firstLine="1"/>
        <w:rPr>
          <w:rFonts w:ascii="宋体" w:hAnsi="宋体" w:eastAsia="宋体" w:cs="宋体"/>
          <w:sz w:val="21"/>
          <w:szCs w:val="21"/>
        </w:rPr>
      </w:pPr>
      <w:r>
        <w:rPr>
          <w:rFonts w:ascii="宋体" w:hAnsi="宋体" w:eastAsia="宋体" w:cs="宋体"/>
          <w:spacing w:val="-4"/>
          <w:sz w:val="21"/>
          <w:szCs w:val="21"/>
        </w:rPr>
        <w:t>法定代表人或其委托代理人</w:t>
      </w:r>
      <w:r>
        <w:rPr>
          <w:rFonts w:ascii="宋体" w:hAnsi="宋体" w:eastAsia="宋体" w:cs="宋体"/>
          <w:spacing w:val="-8"/>
          <w:sz w:val="21"/>
          <w:szCs w:val="21"/>
        </w:rPr>
        <w:t>：</w:t>
      </w:r>
      <w:r>
        <w:rPr>
          <w:rFonts w:ascii="宋体" w:hAnsi="宋体" w:eastAsia="宋体" w:cs="宋体"/>
          <w:spacing w:val="-8"/>
          <w:sz w:val="21"/>
          <w:szCs w:val="21"/>
          <w:u w:val="single" w:color="auto"/>
        </w:rPr>
        <w:t>（</w:t>
      </w:r>
      <w:r>
        <w:rPr>
          <w:rFonts w:hint="eastAsia" w:ascii="宋体" w:hAnsi="宋体" w:cs="宋体"/>
          <w:spacing w:val="-4"/>
          <w:sz w:val="21"/>
          <w:szCs w:val="21"/>
          <w:u w:val="single" w:color="auto"/>
          <w:lang w:eastAsia="zh-CN"/>
        </w:rPr>
        <w:t>签字或电子签章</w:t>
      </w:r>
      <w:r>
        <w:rPr>
          <w:rFonts w:ascii="宋体" w:hAnsi="宋体" w:eastAsia="宋体" w:cs="宋体"/>
          <w:spacing w:val="-4"/>
          <w:sz w:val="21"/>
          <w:szCs w:val="21"/>
          <w:u w:val="single" w:color="auto"/>
        </w:rPr>
        <w:t>）</w:t>
      </w:r>
    </w:p>
    <w:p>
      <w:pPr>
        <w:spacing w:before="1" w:line="229" w:lineRule="auto"/>
        <w:ind w:left="4840"/>
        <w:rPr>
          <w:rFonts w:hint="default" w:ascii="宋体" w:hAnsi="宋体" w:eastAsia="宋体" w:cs="宋体"/>
          <w:sz w:val="21"/>
          <w:szCs w:val="21"/>
          <w:lang w:val="en-US" w:eastAsia="zh-CN"/>
        </w:rPr>
      </w:pPr>
      <w:r>
        <w:rPr>
          <w:rFonts w:ascii="宋体" w:hAnsi="宋体" w:eastAsia="宋体" w:cs="宋体"/>
          <w:spacing w:val="-29"/>
          <w:w w:val="99"/>
          <w:sz w:val="21"/>
          <w:szCs w:val="21"/>
        </w:rPr>
        <w:t>地址：</w:t>
      </w:r>
      <w:r>
        <w:rPr>
          <w:rFonts w:hint="eastAsia" w:ascii="宋体" w:hAnsi="宋体" w:cs="宋体"/>
          <w:spacing w:val="-7"/>
          <w:sz w:val="21"/>
          <w:szCs w:val="21"/>
          <w:u w:val="single"/>
          <w:lang w:val="en-US" w:eastAsia="zh-CN"/>
        </w:rPr>
        <w:t xml:space="preserve">                                       </w:t>
      </w:r>
    </w:p>
    <w:p>
      <w:pPr>
        <w:spacing w:before="144" w:line="360" w:lineRule="auto"/>
        <w:ind w:left="4838" w:right="986" w:firstLine="18"/>
        <w:rPr>
          <w:rFonts w:hint="eastAsia" w:ascii="宋体" w:hAnsi="宋体" w:cs="宋体"/>
          <w:spacing w:val="-11"/>
          <w:sz w:val="21"/>
          <w:szCs w:val="21"/>
          <w:u w:val="single"/>
          <w:lang w:val="en-US" w:eastAsia="zh-CN"/>
        </w:rPr>
      </w:pPr>
      <w:r>
        <w:rPr>
          <w:rFonts w:ascii="宋体" w:hAnsi="宋体" w:eastAsia="宋体" w:cs="宋体"/>
          <w:spacing w:val="-11"/>
          <w:sz w:val="21"/>
          <w:szCs w:val="21"/>
        </w:rPr>
        <w:t>网址：</w:t>
      </w:r>
      <w:r>
        <w:rPr>
          <w:rFonts w:hint="eastAsia" w:ascii="宋体" w:hAnsi="宋体" w:cs="宋体"/>
          <w:spacing w:val="-11"/>
          <w:sz w:val="21"/>
          <w:szCs w:val="21"/>
          <w:u w:val="single"/>
          <w:lang w:val="en-US" w:eastAsia="zh-CN"/>
        </w:rPr>
        <w:t xml:space="preserve">                                      </w:t>
      </w:r>
    </w:p>
    <w:p>
      <w:pPr>
        <w:spacing w:before="144" w:line="360" w:lineRule="auto"/>
        <w:ind w:left="4838" w:right="986" w:firstLine="18"/>
        <w:rPr>
          <w:rFonts w:hint="default" w:ascii="宋体" w:hAnsi="宋体" w:eastAsia="宋体" w:cs="宋体"/>
          <w:spacing w:val="-29"/>
          <w:sz w:val="21"/>
          <w:szCs w:val="21"/>
          <w:u w:val="single"/>
          <w:lang w:val="en-US" w:eastAsia="zh-CN"/>
        </w:rPr>
      </w:pPr>
      <w:r>
        <w:rPr>
          <w:rFonts w:ascii="宋体" w:hAnsi="宋体" w:eastAsia="宋体" w:cs="宋体"/>
          <w:spacing w:val="-29"/>
          <w:sz w:val="21"/>
          <w:szCs w:val="21"/>
        </w:rPr>
        <w:t>电话：</w:t>
      </w:r>
      <w:r>
        <w:rPr>
          <w:rFonts w:hint="eastAsia" w:ascii="宋体" w:hAnsi="宋体" w:cs="宋体"/>
          <w:spacing w:val="-29"/>
          <w:sz w:val="21"/>
          <w:szCs w:val="21"/>
          <w:u w:val="single"/>
          <w:lang w:val="en-US" w:eastAsia="zh-CN"/>
        </w:rPr>
        <w:t xml:space="preserve">                                                                    </w:t>
      </w:r>
    </w:p>
    <w:p>
      <w:pPr>
        <w:spacing w:before="144" w:line="360" w:lineRule="auto"/>
        <w:ind w:left="4838" w:right="986" w:firstLine="18"/>
        <w:rPr>
          <w:rFonts w:hint="default" w:ascii="宋体" w:hAnsi="宋体" w:eastAsia="宋体" w:cs="宋体"/>
          <w:sz w:val="21"/>
          <w:szCs w:val="21"/>
          <w:lang w:val="en-US" w:eastAsia="zh-CN"/>
        </w:rPr>
      </w:pPr>
      <w:r>
        <w:rPr>
          <w:rFonts w:ascii="宋体" w:hAnsi="宋体" w:eastAsia="宋体" w:cs="宋体"/>
          <w:spacing w:val="-27"/>
          <w:w w:val="98"/>
          <w:sz w:val="21"/>
          <w:szCs w:val="21"/>
        </w:rPr>
        <w:t>传真：</w:t>
      </w:r>
      <w:r>
        <w:rPr>
          <w:rFonts w:hint="eastAsia" w:ascii="宋体" w:hAnsi="宋体" w:cs="宋体"/>
          <w:spacing w:val="-7"/>
          <w:sz w:val="21"/>
          <w:szCs w:val="21"/>
          <w:u w:val="single"/>
          <w:lang w:val="en-US" w:eastAsia="zh-CN"/>
        </w:rPr>
        <w:t xml:space="preserve">                                 </w:t>
      </w:r>
    </w:p>
    <w:p>
      <w:pPr>
        <w:spacing w:before="1" w:line="220" w:lineRule="auto"/>
        <w:ind w:left="4856"/>
        <w:rPr>
          <w:rFonts w:hint="default" w:ascii="宋体" w:hAnsi="宋体" w:eastAsia="宋体" w:cs="宋体"/>
          <w:sz w:val="21"/>
          <w:szCs w:val="21"/>
          <w:lang w:val="en-US" w:eastAsia="zh-CN"/>
        </w:rPr>
      </w:pPr>
      <w:r>
        <w:rPr>
          <w:rFonts w:ascii="宋体" w:hAnsi="宋体" w:eastAsia="宋体" w:cs="宋体"/>
          <w:spacing w:val="-5"/>
          <w:sz w:val="21"/>
          <w:szCs w:val="21"/>
        </w:rPr>
        <w:t>邮政编码：</w:t>
      </w:r>
      <w:r>
        <w:rPr>
          <w:rFonts w:hint="eastAsia" w:ascii="宋体" w:hAnsi="宋体" w:cs="宋体"/>
          <w:spacing w:val="-7"/>
          <w:sz w:val="21"/>
          <w:szCs w:val="21"/>
          <w:u w:val="single"/>
          <w:lang w:val="en-US" w:eastAsia="zh-CN"/>
        </w:rPr>
        <w:t xml:space="preserve">                                </w:t>
      </w:r>
    </w:p>
    <w:p>
      <w:pPr>
        <w:tabs>
          <w:tab w:val="left" w:pos="6515"/>
        </w:tabs>
        <w:spacing w:before="157" w:line="221" w:lineRule="auto"/>
        <w:ind w:left="5886"/>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7"/>
          <w:sz w:val="21"/>
          <w:szCs w:val="21"/>
        </w:rPr>
        <w:t>年</w:t>
      </w:r>
      <w:r>
        <w:rPr>
          <w:rFonts w:hint="eastAsia" w:ascii="宋体" w:hAnsi="宋体" w:cs="宋体"/>
          <w:spacing w:val="-7"/>
          <w:sz w:val="21"/>
          <w:szCs w:val="21"/>
          <w:u w:val="single"/>
          <w:lang w:val="en-US" w:eastAsia="zh-CN"/>
        </w:rPr>
        <w:t xml:space="preserve">          </w:t>
      </w:r>
      <w:r>
        <w:rPr>
          <w:rFonts w:ascii="宋体" w:hAnsi="宋体" w:eastAsia="宋体" w:cs="宋体"/>
          <w:spacing w:val="-7"/>
          <w:sz w:val="21"/>
          <w:szCs w:val="21"/>
        </w:rPr>
        <w:t>月</w:t>
      </w:r>
      <w:r>
        <w:rPr>
          <w:rFonts w:hint="eastAsia" w:ascii="宋体" w:hAnsi="宋体" w:cs="宋体"/>
          <w:spacing w:val="-7"/>
          <w:sz w:val="21"/>
          <w:szCs w:val="21"/>
          <w:u w:val="single"/>
          <w:lang w:val="en-US" w:eastAsia="zh-CN"/>
        </w:rPr>
        <w:t xml:space="preserve">          </w:t>
      </w:r>
      <w:r>
        <w:rPr>
          <w:rFonts w:ascii="宋体" w:hAnsi="宋体" w:eastAsia="宋体" w:cs="宋体"/>
          <w:spacing w:val="-7"/>
          <w:sz w:val="21"/>
          <w:szCs w:val="21"/>
        </w:rPr>
        <w:t>日</w:t>
      </w:r>
    </w:p>
    <w:p>
      <w:pPr>
        <w:spacing w:line="221" w:lineRule="auto"/>
        <w:rPr>
          <w:rFonts w:ascii="宋体" w:hAnsi="宋体" w:eastAsia="宋体" w:cs="宋体"/>
          <w:sz w:val="21"/>
          <w:szCs w:val="21"/>
        </w:rPr>
        <w:sectPr>
          <w:footerReference r:id="rId20" w:type="default"/>
          <w:pgSz w:w="11907" w:h="16841"/>
          <w:pgMar w:top="1431" w:right="1017" w:bottom="1216" w:left="1080" w:header="0" w:footer="1055" w:gutter="0"/>
          <w:pgNumType w:fmt="decimal"/>
          <w:cols w:space="720" w:num="1"/>
        </w:sectPr>
      </w:pPr>
    </w:p>
    <w:p>
      <w:pPr>
        <w:spacing w:before="42" w:line="220" w:lineRule="auto"/>
        <w:ind w:left="4145"/>
        <w:rPr>
          <w:rFonts w:ascii="宋体" w:hAnsi="宋体" w:eastAsia="宋体" w:cs="宋体"/>
          <w:sz w:val="21"/>
          <w:szCs w:val="21"/>
        </w:rPr>
      </w:pPr>
      <w:r>
        <w:rPr>
          <w:rFonts w:ascii="宋体" w:hAnsi="宋体" w:eastAsia="宋体" w:cs="宋体"/>
          <w:spacing w:val="-2"/>
          <w:sz w:val="21"/>
          <w:szCs w:val="21"/>
          <w14:textOutline w14:w="3831" w14:cap="flat" w14:cmpd="sng">
            <w14:solidFill>
              <w14:srgbClr w14:val="000000"/>
            </w14:solidFill>
            <w14:prstDash w14:val="solid"/>
            <w14:miter w14:val="0"/>
          </w14:textOutline>
        </w:rPr>
        <w:t>（二）投标函附录</w:t>
      </w:r>
    </w:p>
    <w:p>
      <w:pPr>
        <w:spacing w:before="25"/>
      </w:pPr>
    </w:p>
    <w:tbl>
      <w:tblPr>
        <w:tblStyle w:val="68"/>
        <w:tblW w:w="94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2553"/>
        <w:gridCol w:w="1415"/>
        <w:gridCol w:w="3402"/>
        <w:gridCol w:w="13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707" w:type="dxa"/>
            <w:vAlign w:val="top"/>
          </w:tcPr>
          <w:p>
            <w:pPr>
              <w:pStyle w:val="72"/>
              <w:keepNext w:val="0"/>
              <w:keepLines w:val="0"/>
              <w:suppressLineNumbers w:val="0"/>
              <w:spacing w:before="288" w:beforeAutospacing="0" w:after="0" w:afterAutospacing="0" w:line="222" w:lineRule="auto"/>
              <w:ind w:left="148" w:right="0"/>
              <w:rPr>
                <w:rFonts w:hint="default"/>
              </w:rPr>
            </w:pPr>
            <w:r>
              <w:rPr>
                <w:rFonts w:hint="default"/>
                <w:spacing w:val="-3"/>
                <w14:textOutline w14:w="3831" w14:cap="flat" w14:cmpd="sng">
                  <w14:solidFill>
                    <w14:srgbClr w14:val="000000"/>
                  </w14:solidFill>
                  <w14:prstDash w14:val="solid"/>
                  <w14:miter w14:val="0"/>
                </w14:textOutline>
              </w:rPr>
              <w:t>序号</w:t>
            </w:r>
          </w:p>
        </w:tc>
        <w:tc>
          <w:tcPr>
            <w:tcW w:w="2553" w:type="dxa"/>
            <w:vAlign w:val="top"/>
          </w:tcPr>
          <w:p>
            <w:pPr>
              <w:pStyle w:val="72"/>
              <w:keepNext w:val="0"/>
              <w:keepLines w:val="0"/>
              <w:suppressLineNumbers w:val="0"/>
              <w:spacing w:before="288" w:beforeAutospacing="0" w:after="0" w:afterAutospacing="0" w:line="221" w:lineRule="auto"/>
              <w:ind w:left="860" w:right="0"/>
              <w:rPr>
                <w:rFonts w:hint="default"/>
              </w:rPr>
            </w:pPr>
            <w:r>
              <w:rPr>
                <w:rFonts w:hint="default"/>
                <w:spacing w:val="-1"/>
                <w14:textOutline w14:w="3831" w14:cap="flat" w14:cmpd="sng">
                  <w14:solidFill>
                    <w14:srgbClr w14:val="000000"/>
                  </w14:solidFill>
                  <w14:prstDash w14:val="solid"/>
                  <w14:miter w14:val="0"/>
                </w14:textOutline>
              </w:rPr>
              <w:t>条款名称</w:t>
            </w:r>
          </w:p>
        </w:tc>
        <w:tc>
          <w:tcPr>
            <w:tcW w:w="1415" w:type="dxa"/>
            <w:vAlign w:val="top"/>
          </w:tcPr>
          <w:p>
            <w:pPr>
              <w:pStyle w:val="72"/>
              <w:keepNext w:val="0"/>
              <w:keepLines w:val="0"/>
              <w:suppressLineNumbers w:val="0"/>
              <w:spacing w:before="288" w:beforeAutospacing="0" w:after="0" w:afterAutospacing="0" w:line="221" w:lineRule="auto"/>
              <w:ind w:left="186" w:right="0"/>
              <w:rPr>
                <w:rFonts w:hint="default"/>
              </w:rPr>
            </w:pPr>
            <w:r>
              <w:rPr>
                <w:rFonts w:hint="default"/>
                <w:spacing w:val="-1"/>
                <w14:textOutline w14:w="3831" w14:cap="flat" w14:cmpd="sng">
                  <w14:solidFill>
                    <w14:srgbClr w14:val="000000"/>
                  </w14:solidFill>
                  <w14:prstDash w14:val="solid"/>
                  <w14:miter w14:val="0"/>
                </w14:textOutline>
              </w:rPr>
              <w:t>合同条目号</w:t>
            </w:r>
          </w:p>
        </w:tc>
        <w:tc>
          <w:tcPr>
            <w:tcW w:w="3402" w:type="dxa"/>
            <w:vAlign w:val="top"/>
          </w:tcPr>
          <w:p>
            <w:pPr>
              <w:pStyle w:val="72"/>
              <w:keepNext w:val="0"/>
              <w:keepLines w:val="0"/>
              <w:suppressLineNumbers w:val="0"/>
              <w:spacing w:before="288" w:beforeAutospacing="0" w:after="0" w:afterAutospacing="0" w:line="221" w:lineRule="auto"/>
              <w:ind w:left="1291" w:right="0"/>
              <w:rPr>
                <w:rFonts w:hint="default"/>
              </w:rPr>
            </w:pPr>
            <w:r>
              <w:rPr>
                <w:rFonts w:hint="default"/>
                <w:spacing w:val="-3"/>
                <w14:textOutline w14:w="3831" w14:cap="flat" w14:cmpd="sng">
                  <w14:solidFill>
                    <w14:srgbClr w14:val="000000"/>
                  </w14:solidFill>
                  <w14:prstDash w14:val="solid"/>
                  <w14:miter w14:val="0"/>
                </w14:textOutline>
              </w:rPr>
              <w:t>约定内容</w:t>
            </w:r>
          </w:p>
        </w:tc>
        <w:tc>
          <w:tcPr>
            <w:tcW w:w="1389" w:type="dxa"/>
            <w:vAlign w:val="top"/>
          </w:tcPr>
          <w:p>
            <w:pPr>
              <w:pStyle w:val="72"/>
              <w:keepNext w:val="0"/>
              <w:keepLines w:val="0"/>
              <w:suppressLineNumbers w:val="0"/>
              <w:spacing w:before="288" w:beforeAutospacing="0" w:after="0" w:afterAutospacing="0" w:line="222" w:lineRule="auto"/>
              <w:ind w:left="491" w:right="0"/>
              <w:rPr>
                <w:rFonts w:hint="default"/>
              </w:rPr>
            </w:pPr>
            <w:r>
              <w:rPr>
                <w:rFonts w:hint="default"/>
                <w:spacing w:val="-3"/>
                <w14:textOutline w14:w="3831" w14:cap="flat" w14:cmpd="sng">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707" w:type="dxa"/>
            <w:vAlign w:val="top"/>
          </w:tcPr>
          <w:p>
            <w:pPr>
              <w:pStyle w:val="72"/>
              <w:keepNext w:val="0"/>
              <w:keepLines w:val="0"/>
              <w:suppressLineNumbers w:val="0"/>
              <w:spacing w:before="215" w:beforeAutospacing="0" w:after="0" w:afterAutospacing="0" w:line="183" w:lineRule="auto"/>
              <w:ind w:left="323" w:right="0"/>
              <w:rPr>
                <w:rFonts w:hint="default"/>
              </w:rPr>
            </w:pPr>
            <w:r>
              <w:rPr>
                <w:rFonts w:hint="default"/>
              </w:rPr>
              <w:t>1</w:t>
            </w:r>
          </w:p>
        </w:tc>
        <w:tc>
          <w:tcPr>
            <w:tcW w:w="2553" w:type="dxa"/>
            <w:vAlign w:val="top"/>
          </w:tcPr>
          <w:p>
            <w:pPr>
              <w:pStyle w:val="72"/>
              <w:keepNext w:val="0"/>
              <w:keepLines w:val="0"/>
              <w:suppressLineNumbers w:val="0"/>
              <w:spacing w:before="180" w:beforeAutospacing="0" w:after="0" w:afterAutospacing="0" w:line="221" w:lineRule="auto"/>
              <w:ind w:left="752" w:right="0"/>
              <w:rPr>
                <w:rFonts w:hint="default"/>
              </w:rPr>
            </w:pPr>
            <w:r>
              <w:rPr>
                <w:rFonts w:hint="default"/>
                <w:spacing w:val="-1"/>
              </w:rPr>
              <w:t>缺陷责任期</w:t>
            </w:r>
          </w:p>
        </w:tc>
        <w:tc>
          <w:tcPr>
            <w:tcW w:w="1415" w:type="dxa"/>
            <w:vAlign w:val="top"/>
          </w:tcPr>
          <w:p>
            <w:pPr>
              <w:pStyle w:val="72"/>
              <w:keepNext w:val="0"/>
              <w:keepLines w:val="0"/>
              <w:suppressLineNumbers w:val="0"/>
              <w:spacing w:before="215" w:beforeAutospacing="0" w:after="0" w:afterAutospacing="0" w:line="183" w:lineRule="auto"/>
              <w:ind w:left="361" w:right="0"/>
              <w:rPr>
                <w:rFonts w:hint="default"/>
              </w:rPr>
            </w:pPr>
            <w:r>
              <w:rPr>
                <w:rFonts w:hint="default"/>
              </w:rPr>
              <w:fldChar w:fldCharType="begin"/>
            </w:r>
            <w:r>
              <w:rPr>
                <w:rFonts w:hint="default"/>
              </w:rPr>
              <w:instrText xml:space="preserve"> HYPERLINK "1.1.4.5" </w:instrText>
            </w:r>
            <w:r>
              <w:rPr>
                <w:rFonts w:hint="default"/>
              </w:rPr>
              <w:fldChar w:fldCharType="separate"/>
            </w:r>
            <w:r>
              <w:rPr>
                <w:rFonts w:hint="default"/>
                <w:spacing w:val="-3"/>
              </w:rPr>
              <w:t>1.1.4.5</w:t>
            </w:r>
            <w:r>
              <w:rPr>
                <w:rFonts w:hint="default"/>
                <w:spacing w:val="-3"/>
              </w:rPr>
              <w:fldChar w:fldCharType="end"/>
            </w:r>
          </w:p>
        </w:tc>
        <w:tc>
          <w:tcPr>
            <w:tcW w:w="3402" w:type="dxa"/>
            <w:vAlign w:val="top"/>
          </w:tcPr>
          <w:p>
            <w:pPr>
              <w:pStyle w:val="72"/>
              <w:keepNext w:val="0"/>
              <w:keepLines w:val="0"/>
              <w:suppressLineNumbers w:val="0"/>
              <w:spacing w:before="180" w:beforeAutospacing="0" w:after="0" w:afterAutospacing="0" w:line="221" w:lineRule="auto"/>
              <w:ind w:left="148" w:right="0"/>
              <w:rPr>
                <w:rFonts w:hint="default"/>
              </w:rPr>
            </w:pPr>
            <w:r>
              <w:rPr>
                <w:rFonts w:hint="default"/>
                <w:spacing w:val="-4"/>
              </w:rPr>
              <w:t>自实际交工日期起计算</w:t>
            </w:r>
            <w:r>
              <w:rPr>
                <w:rFonts w:hint="eastAsia"/>
                <w:spacing w:val="-4"/>
                <w:u w:val="single"/>
                <w:lang w:val="en-US" w:eastAsia="zh-CN"/>
              </w:rPr>
              <w:t xml:space="preserve">    </w:t>
            </w:r>
            <w:r>
              <w:rPr>
                <w:rFonts w:hint="default"/>
                <w:spacing w:val="-4"/>
              </w:rPr>
              <w:t>年</w:t>
            </w:r>
          </w:p>
        </w:tc>
        <w:tc>
          <w:tcPr>
            <w:tcW w:w="1389"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707" w:type="dxa"/>
            <w:vAlign w:val="top"/>
          </w:tcPr>
          <w:p>
            <w:pPr>
              <w:pStyle w:val="72"/>
              <w:keepNext w:val="0"/>
              <w:keepLines w:val="0"/>
              <w:suppressLineNumbers w:val="0"/>
              <w:spacing w:before="179" w:beforeAutospacing="0" w:after="0" w:afterAutospacing="0" w:line="182" w:lineRule="auto"/>
              <w:ind w:left="310" w:right="0"/>
              <w:rPr>
                <w:rFonts w:hint="default"/>
              </w:rPr>
            </w:pPr>
            <w:r>
              <w:rPr>
                <w:rFonts w:hint="default"/>
              </w:rPr>
              <w:t>2</w:t>
            </w:r>
          </w:p>
        </w:tc>
        <w:tc>
          <w:tcPr>
            <w:tcW w:w="2553" w:type="dxa"/>
            <w:vAlign w:val="top"/>
          </w:tcPr>
          <w:p>
            <w:pPr>
              <w:pStyle w:val="72"/>
              <w:keepNext w:val="0"/>
              <w:keepLines w:val="0"/>
              <w:suppressLineNumbers w:val="0"/>
              <w:spacing w:before="144" w:beforeAutospacing="0" w:after="0" w:afterAutospacing="0" w:line="221" w:lineRule="auto"/>
              <w:ind w:left="542" w:right="0"/>
              <w:rPr>
                <w:rFonts w:hint="default"/>
              </w:rPr>
            </w:pPr>
            <w:r>
              <w:rPr>
                <w:rFonts w:hint="default"/>
                <w:spacing w:val="-1"/>
              </w:rPr>
              <w:t>逾期交工违约金</w:t>
            </w:r>
          </w:p>
        </w:tc>
        <w:tc>
          <w:tcPr>
            <w:tcW w:w="1415" w:type="dxa"/>
            <w:vAlign w:val="top"/>
          </w:tcPr>
          <w:p>
            <w:pPr>
              <w:pStyle w:val="72"/>
              <w:keepNext w:val="0"/>
              <w:keepLines w:val="0"/>
              <w:suppressLineNumbers w:val="0"/>
              <w:spacing w:before="143" w:beforeAutospacing="0" w:after="0" w:afterAutospacing="0" w:line="233" w:lineRule="auto"/>
              <w:ind w:left="256" w:right="0"/>
              <w:rPr>
                <w:rFonts w:hint="default"/>
              </w:rPr>
            </w:pPr>
            <w:r>
              <w:rPr>
                <w:rFonts w:hint="default"/>
                <w:spacing w:val="-4"/>
              </w:rPr>
              <w:t>11.5（3）</w:t>
            </w:r>
          </w:p>
        </w:tc>
        <w:tc>
          <w:tcPr>
            <w:tcW w:w="3402" w:type="dxa"/>
            <w:vAlign w:val="top"/>
          </w:tcPr>
          <w:p>
            <w:pPr>
              <w:pStyle w:val="72"/>
              <w:keepNext w:val="0"/>
              <w:keepLines w:val="0"/>
              <w:suppressLineNumbers w:val="0"/>
              <w:tabs>
                <w:tab w:val="left" w:pos="529"/>
              </w:tabs>
              <w:spacing w:before="144" w:beforeAutospacing="0" w:after="0" w:afterAutospacing="0" w:line="221" w:lineRule="auto"/>
              <w:ind w:left="106" w:right="0"/>
              <w:rPr>
                <w:rFonts w:hint="default"/>
              </w:rPr>
            </w:pPr>
            <w:r>
              <w:rPr>
                <w:rFonts w:hint="default"/>
                <w:u w:val="single" w:color="auto"/>
              </w:rPr>
              <w:tab/>
            </w:r>
            <w:r>
              <w:rPr>
                <w:rFonts w:hint="default"/>
                <w:spacing w:val="-4"/>
              </w:rPr>
              <w:t>元/天</w:t>
            </w:r>
          </w:p>
        </w:tc>
        <w:tc>
          <w:tcPr>
            <w:tcW w:w="1389"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707" w:type="dxa"/>
            <w:vAlign w:val="top"/>
          </w:tcPr>
          <w:p>
            <w:pPr>
              <w:pStyle w:val="72"/>
              <w:keepNext w:val="0"/>
              <w:keepLines w:val="0"/>
              <w:suppressLineNumbers w:val="0"/>
              <w:spacing w:before="177" w:beforeAutospacing="0" w:after="0" w:afterAutospacing="0" w:line="182" w:lineRule="auto"/>
              <w:ind w:left="312" w:right="0"/>
              <w:rPr>
                <w:rFonts w:hint="default"/>
              </w:rPr>
            </w:pPr>
            <w:r>
              <w:rPr>
                <w:rFonts w:hint="default"/>
              </w:rPr>
              <w:t>3</w:t>
            </w:r>
          </w:p>
        </w:tc>
        <w:tc>
          <w:tcPr>
            <w:tcW w:w="2553" w:type="dxa"/>
            <w:vAlign w:val="top"/>
          </w:tcPr>
          <w:p>
            <w:pPr>
              <w:pStyle w:val="72"/>
              <w:keepNext w:val="0"/>
              <w:keepLines w:val="0"/>
              <w:suppressLineNumbers w:val="0"/>
              <w:spacing w:before="141" w:beforeAutospacing="0" w:after="0" w:afterAutospacing="0" w:line="221" w:lineRule="auto"/>
              <w:ind w:left="331" w:right="0"/>
              <w:rPr>
                <w:rFonts w:hint="default"/>
              </w:rPr>
            </w:pPr>
            <w:r>
              <w:rPr>
                <w:rFonts w:hint="default"/>
                <w:spacing w:val="-1"/>
              </w:rPr>
              <w:t>逾期交工违约金限额</w:t>
            </w:r>
          </w:p>
        </w:tc>
        <w:tc>
          <w:tcPr>
            <w:tcW w:w="1415" w:type="dxa"/>
            <w:vAlign w:val="top"/>
          </w:tcPr>
          <w:p>
            <w:pPr>
              <w:pStyle w:val="72"/>
              <w:keepNext w:val="0"/>
              <w:keepLines w:val="0"/>
              <w:suppressLineNumbers w:val="0"/>
              <w:spacing w:before="141" w:beforeAutospacing="0" w:after="0" w:afterAutospacing="0" w:line="233" w:lineRule="auto"/>
              <w:ind w:left="256" w:right="0"/>
              <w:rPr>
                <w:rFonts w:hint="default"/>
              </w:rPr>
            </w:pPr>
            <w:r>
              <w:rPr>
                <w:rFonts w:hint="default"/>
                <w:spacing w:val="-4"/>
              </w:rPr>
              <w:t>11.5（3）</w:t>
            </w:r>
          </w:p>
        </w:tc>
        <w:tc>
          <w:tcPr>
            <w:tcW w:w="3402" w:type="dxa"/>
            <w:vAlign w:val="top"/>
          </w:tcPr>
          <w:p>
            <w:pPr>
              <w:pStyle w:val="72"/>
              <w:keepNext w:val="0"/>
              <w:keepLines w:val="0"/>
              <w:suppressLineNumbers w:val="0"/>
              <w:tabs>
                <w:tab w:val="left" w:pos="530"/>
              </w:tabs>
              <w:spacing w:before="142" w:beforeAutospacing="0" w:after="0" w:afterAutospacing="0" w:line="219" w:lineRule="auto"/>
              <w:ind w:left="106" w:right="0"/>
              <w:rPr>
                <w:rFonts w:hint="default"/>
              </w:rPr>
            </w:pPr>
            <w:r>
              <w:rPr>
                <w:rFonts w:hint="default"/>
                <w:u w:val="single" w:color="auto"/>
              </w:rPr>
              <w:tab/>
            </w:r>
            <w:r>
              <w:rPr>
                <w:rFonts w:hint="default"/>
                <w:spacing w:val="-1"/>
              </w:rPr>
              <w:t>%签约合同价</w:t>
            </w:r>
          </w:p>
        </w:tc>
        <w:tc>
          <w:tcPr>
            <w:tcW w:w="1389"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707" w:type="dxa"/>
            <w:vAlign w:val="top"/>
          </w:tcPr>
          <w:p>
            <w:pPr>
              <w:pStyle w:val="72"/>
              <w:keepNext w:val="0"/>
              <w:keepLines w:val="0"/>
              <w:suppressLineNumbers w:val="0"/>
              <w:spacing w:before="263" w:beforeAutospacing="0" w:after="0" w:afterAutospacing="0" w:line="182" w:lineRule="auto"/>
              <w:ind w:left="307" w:right="0"/>
              <w:rPr>
                <w:rFonts w:hint="default"/>
              </w:rPr>
            </w:pPr>
            <w:r>
              <w:rPr>
                <w:rFonts w:hint="default"/>
              </w:rPr>
              <w:t>4</w:t>
            </w:r>
          </w:p>
        </w:tc>
        <w:tc>
          <w:tcPr>
            <w:tcW w:w="2553" w:type="dxa"/>
            <w:vAlign w:val="top"/>
          </w:tcPr>
          <w:p>
            <w:pPr>
              <w:pStyle w:val="72"/>
              <w:keepNext w:val="0"/>
              <w:keepLines w:val="0"/>
              <w:suppressLineNumbers w:val="0"/>
              <w:spacing w:before="228" w:beforeAutospacing="0" w:after="0" w:afterAutospacing="0" w:line="221" w:lineRule="auto"/>
              <w:ind w:left="545" w:right="0"/>
              <w:rPr>
                <w:rFonts w:hint="default"/>
              </w:rPr>
            </w:pPr>
            <w:r>
              <w:rPr>
                <w:rFonts w:hint="default"/>
                <w:spacing w:val="-1"/>
              </w:rPr>
              <w:t>提前交工的奖金</w:t>
            </w:r>
          </w:p>
        </w:tc>
        <w:tc>
          <w:tcPr>
            <w:tcW w:w="1415" w:type="dxa"/>
            <w:vAlign w:val="top"/>
          </w:tcPr>
          <w:p>
            <w:pPr>
              <w:pStyle w:val="72"/>
              <w:keepNext w:val="0"/>
              <w:keepLines w:val="0"/>
              <w:suppressLineNumbers w:val="0"/>
              <w:spacing w:before="262" w:beforeAutospacing="0" w:after="0" w:afterAutospacing="0" w:line="183" w:lineRule="auto"/>
              <w:ind w:left="517" w:right="0"/>
              <w:rPr>
                <w:rFonts w:hint="default"/>
              </w:rPr>
            </w:pPr>
            <w:r>
              <w:rPr>
                <w:rFonts w:hint="default"/>
                <w:spacing w:val="-5"/>
              </w:rPr>
              <w:t>11.6</w:t>
            </w:r>
          </w:p>
        </w:tc>
        <w:tc>
          <w:tcPr>
            <w:tcW w:w="3402" w:type="dxa"/>
            <w:vAlign w:val="top"/>
          </w:tcPr>
          <w:p>
            <w:pPr>
              <w:pStyle w:val="72"/>
              <w:keepNext w:val="0"/>
              <w:keepLines w:val="0"/>
              <w:suppressLineNumbers w:val="0"/>
              <w:spacing w:before="228" w:beforeAutospacing="0" w:after="0" w:afterAutospacing="0" w:line="221" w:lineRule="auto"/>
              <w:ind w:left="116" w:right="0"/>
              <w:rPr>
                <w:rFonts w:hint="default"/>
              </w:rPr>
            </w:pPr>
            <w:r>
              <w:rPr>
                <w:rFonts w:hint="default"/>
              </w:rPr>
              <w:t>无</w:t>
            </w:r>
          </w:p>
        </w:tc>
        <w:tc>
          <w:tcPr>
            <w:tcW w:w="1389"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707" w:type="dxa"/>
            <w:vAlign w:val="top"/>
          </w:tcPr>
          <w:p>
            <w:pPr>
              <w:pStyle w:val="72"/>
              <w:keepNext w:val="0"/>
              <w:keepLines w:val="0"/>
              <w:suppressLineNumbers w:val="0"/>
              <w:spacing w:before="294" w:beforeAutospacing="0" w:after="0" w:afterAutospacing="0" w:line="181" w:lineRule="auto"/>
              <w:ind w:left="312" w:right="0"/>
              <w:rPr>
                <w:rFonts w:hint="default"/>
              </w:rPr>
            </w:pPr>
            <w:r>
              <w:rPr>
                <w:rFonts w:hint="default"/>
              </w:rPr>
              <w:t>5</w:t>
            </w:r>
          </w:p>
        </w:tc>
        <w:tc>
          <w:tcPr>
            <w:tcW w:w="2553" w:type="dxa"/>
            <w:vAlign w:val="top"/>
          </w:tcPr>
          <w:p>
            <w:pPr>
              <w:pStyle w:val="72"/>
              <w:keepNext w:val="0"/>
              <w:keepLines w:val="0"/>
              <w:suppressLineNumbers w:val="0"/>
              <w:spacing w:before="257" w:beforeAutospacing="0" w:after="0" w:afterAutospacing="0" w:line="221" w:lineRule="auto"/>
              <w:ind w:left="333" w:right="0"/>
              <w:rPr>
                <w:rFonts w:hint="default"/>
              </w:rPr>
            </w:pPr>
            <w:r>
              <w:rPr>
                <w:rFonts w:hint="default"/>
                <w:spacing w:val="-1"/>
              </w:rPr>
              <w:t>提前交工的奖金限额</w:t>
            </w:r>
          </w:p>
        </w:tc>
        <w:tc>
          <w:tcPr>
            <w:tcW w:w="1415" w:type="dxa"/>
            <w:vAlign w:val="top"/>
          </w:tcPr>
          <w:p>
            <w:pPr>
              <w:pStyle w:val="72"/>
              <w:keepNext w:val="0"/>
              <w:keepLines w:val="0"/>
              <w:suppressLineNumbers w:val="0"/>
              <w:spacing w:before="292" w:beforeAutospacing="0" w:after="0" w:afterAutospacing="0" w:line="183" w:lineRule="auto"/>
              <w:ind w:left="517" w:right="0"/>
              <w:rPr>
                <w:rFonts w:hint="default"/>
              </w:rPr>
            </w:pPr>
            <w:r>
              <w:rPr>
                <w:rFonts w:hint="default"/>
                <w:spacing w:val="-6"/>
              </w:rPr>
              <w:t>11.6</w:t>
            </w:r>
          </w:p>
        </w:tc>
        <w:tc>
          <w:tcPr>
            <w:tcW w:w="3402" w:type="dxa"/>
            <w:vAlign w:val="top"/>
          </w:tcPr>
          <w:p>
            <w:pPr>
              <w:pStyle w:val="72"/>
              <w:keepNext w:val="0"/>
              <w:keepLines w:val="0"/>
              <w:suppressLineNumbers w:val="0"/>
              <w:spacing w:before="258" w:beforeAutospacing="0" w:after="0" w:afterAutospacing="0" w:line="221" w:lineRule="auto"/>
              <w:ind w:left="116" w:right="0"/>
              <w:rPr>
                <w:rFonts w:hint="default"/>
              </w:rPr>
            </w:pPr>
            <w:r>
              <w:rPr>
                <w:rFonts w:hint="default"/>
              </w:rPr>
              <w:t>无</w:t>
            </w:r>
          </w:p>
        </w:tc>
        <w:tc>
          <w:tcPr>
            <w:tcW w:w="1389"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707" w:type="dxa"/>
            <w:vAlign w:val="center"/>
          </w:tcPr>
          <w:p>
            <w:pPr>
              <w:pStyle w:val="72"/>
              <w:keepNext w:val="0"/>
              <w:keepLines w:val="0"/>
              <w:suppressLineNumbers w:val="0"/>
              <w:spacing w:before="68" w:beforeAutospacing="0" w:after="0" w:afterAutospacing="0" w:line="182" w:lineRule="auto"/>
              <w:ind w:left="309" w:right="0"/>
              <w:jc w:val="both"/>
              <w:rPr>
                <w:rFonts w:hint="default"/>
              </w:rPr>
            </w:pPr>
            <w:r>
              <w:rPr>
                <w:rFonts w:hint="default"/>
              </w:rPr>
              <w:t>6</w:t>
            </w:r>
          </w:p>
        </w:tc>
        <w:tc>
          <w:tcPr>
            <w:tcW w:w="2553" w:type="dxa"/>
            <w:vAlign w:val="center"/>
          </w:tcPr>
          <w:p>
            <w:pPr>
              <w:pStyle w:val="72"/>
              <w:keepNext w:val="0"/>
              <w:keepLines w:val="0"/>
              <w:suppressLineNumbers w:val="0"/>
              <w:spacing w:before="68" w:beforeAutospacing="0" w:after="0" w:afterAutospacing="0" w:line="219" w:lineRule="auto"/>
              <w:ind w:left="333" w:right="0"/>
              <w:jc w:val="both"/>
              <w:rPr>
                <w:rFonts w:hint="default"/>
              </w:rPr>
            </w:pPr>
            <w:r>
              <w:rPr>
                <w:rFonts w:hint="default"/>
                <w:spacing w:val="-1"/>
              </w:rPr>
              <w:t>价格调整的差额计算</w:t>
            </w:r>
          </w:p>
        </w:tc>
        <w:tc>
          <w:tcPr>
            <w:tcW w:w="1415" w:type="dxa"/>
            <w:vAlign w:val="center"/>
          </w:tcPr>
          <w:p>
            <w:pPr>
              <w:pStyle w:val="72"/>
              <w:keepNext w:val="0"/>
              <w:keepLines w:val="0"/>
              <w:suppressLineNumbers w:val="0"/>
              <w:spacing w:before="68" w:beforeAutospacing="0" w:after="0" w:afterAutospacing="0" w:line="183" w:lineRule="auto"/>
              <w:ind w:left="517" w:right="0"/>
              <w:jc w:val="both"/>
              <w:rPr>
                <w:rFonts w:hint="default"/>
                <w:highlight w:val="none"/>
              </w:rPr>
            </w:pPr>
            <w:r>
              <w:rPr>
                <w:rFonts w:hint="default"/>
                <w:spacing w:val="-6"/>
                <w:highlight w:val="none"/>
              </w:rPr>
              <w:t>16.1</w:t>
            </w:r>
          </w:p>
        </w:tc>
        <w:tc>
          <w:tcPr>
            <w:tcW w:w="3402" w:type="dxa"/>
            <w:vAlign w:val="center"/>
          </w:tcPr>
          <w:p>
            <w:pPr>
              <w:pStyle w:val="72"/>
              <w:keepNext w:val="0"/>
              <w:keepLines w:val="0"/>
              <w:suppressLineNumbers w:val="0"/>
              <w:spacing w:before="209" w:beforeAutospacing="0" w:after="0" w:afterAutospacing="0" w:line="249" w:lineRule="auto"/>
              <w:ind w:left="114" w:right="103" w:firstLine="1"/>
              <w:jc w:val="both"/>
              <w:rPr>
                <w:rFonts w:hint="default"/>
                <w:highlight w:val="none"/>
              </w:rPr>
            </w:pPr>
            <w:r>
              <w:rPr>
                <w:rFonts w:hint="default"/>
                <w:highlight w:val="none"/>
                <w:lang w:val="en-US" w:eastAsia="zh-CN"/>
              </w:rPr>
              <w:t>合同期内不调价</w:t>
            </w:r>
          </w:p>
        </w:tc>
        <w:tc>
          <w:tcPr>
            <w:tcW w:w="1389"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6" w:hRule="atLeast"/>
        </w:trPr>
        <w:tc>
          <w:tcPr>
            <w:tcW w:w="707" w:type="dxa"/>
            <w:vAlign w:val="top"/>
          </w:tcPr>
          <w:p>
            <w:pPr>
              <w:keepNext w:val="0"/>
              <w:keepLines w:val="0"/>
              <w:suppressLineNumbers w:val="0"/>
              <w:spacing w:before="0" w:beforeAutospacing="0" w:after="0" w:afterAutospacing="0" w:line="268" w:lineRule="auto"/>
              <w:ind w:left="0" w:right="0"/>
              <w:rPr>
                <w:rFonts w:hint="default" w:ascii="Arial"/>
                <w:sz w:val="21"/>
              </w:rPr>
            </w:pPr>
          </w:p>
          <w:p>
            <w:pPr>
              <w:keepNext w:val="0"/>
              <w:keepLines w:val="0"/>
              <w:suppressLineNumbers w:val="0"/>
              <w:spacing w:before="0" w:beforeAutospacing="0" w:after="0" w:afterAutospacing="0" w:line="269" w:lineRule="auto"/>
              <w:ind w:left="0" w:right="0"/>
              <w:rPr>
                <w:rFonts w:hint="default" w:ascii="Arial"/>
                <w:sz w:val="21"/>
              </w:rPr>
            </w:pPr>
          </w:p>
          <w:p>
            <w:pPr>
              <w:keepNext w:val="0"/>
              <w:keepLines w:val="0"/>
              <w:suppressLineNumbers w:val="0"/>
              <w:spacing w:before="0" w:beforeAutospacing="0" w:after="0" w:afterAutospacing="0" w:line="269" w:lineRule="auto"/>
              <w:ind w:left="0" w:right="0"/>
              <w:rPr>
                <w:rFonts w:hint="default" w:ascii="Arial"/>
                <w:sz w:val="21"/>
              </w:rPr>
            </w:pPr>
          </w:p>
          <w:p>
            <w:pPr>
              <w:keepNext w:val="0"/>
              <w:keepLines w:val="0"/>
              <w:suppressLineNumbers w:val="0"/>
              <w:spacing w:before="0" w:beforeAutospacing="0" w:after="0" w:afterAutospacing="0" w:line="269" w:lineRule="auto"/>
              <w:ind w:left="0" w:right="0"/>
              <w:rPr>
                <w:rFonts w:hint="default" w:ascii="Arial"/>
                <w:sz w:val="21"/>
              </w:rPr>
            </w:pPr>
          </w:p>
          <w:p>
            <w:pPr>
              <w:pStyle w:val="72"/>
              <w:keepNext w:val="0"/>
              <w:keepLines w:val="0"/>
              <w:suppressLineNumbers w:val="0"/>
              <w:spacing w:before="69" w:beforeAutospacing="0" w:after="0" w:afterAutospacing="0" w:line="181" w:lineRule="auto"/>
              <w:ind w:left="313" w:right="0"/>
              <w:rPr>
                <w:rFonts w:hint="default"/>
              </w:rPr>
            </w:pPr>
            <w:r>
              <w:rPr>
                <w:rFonts w:hint="default"/>
              </w:rPr>
              <w:t>7</w:t>
            </w:r>
          </w:p>
        </w:tc>
        <w:tc>
          <w:tcPr>
            <w:tcW w:w="2553" w:type="dxa"/>
            <w:vAlign w:val="top"/>
          </w:tcPr>
          <w:p>
            <w:pPr>
              <w:keepNext w:val="0"/>
              <w:keepLines w:val="0"/>
              <w:suppressLineNumbers w:val="0"/>
              <w:spacing w:before="0" w:beforeAutospacing="0" w:after="0" w:afterAutospacing="0" w:line="259" w:lineRule="auto"/>
              <w:ind w:left="0" w:right="0"/>
              <w:rPr>
                <w:rFonts w:hint="default" w:ascii="Arial"/>
                <w:sz w:val="21"/>
              </w:rPr>
            </w:pPr>
          </w:p>
          <w:p>
            <w:pPr>
              <w:keepNext w:val="0"/>
              <w:keepLines w:val="0"/>
              <w:suppressLineNumbers w:val="0"/>
              <w:spacing w:before="0" w:beforeAutospacing="0" w:after="0" w:afterAutospacing="0" w:line="260" w:lineRule="auto"/>
              <w:ind w:left="0" w:right="0"/>
              <w:rPr>
                <w:rFonts w:hint="default" w:ascii="Arial"/>
                <w:sz w:val="21"/>
              </w:rPr>
            </w:pPr>
          </w:p>
          <w:p>
            <w:pPr>
              <w:keepNext w:val="0"/>
              <w:keepLines w:val="0"/>
              <w:suppressLineNumbers w:val="0"/>
              <w:spacing w:before="0" w:beforeAutospacing="0" w:after="0" w:afterAutospacing="0" w:line="260" w:lineRule="auto"/>
              <w:ind w:left="0" w:right="0"/>
              <w:rPr>
                <w:rFonts w:hint="default" w:ascii="Arial"/>
                <w:sz w:val="21"/>
              </w:rPr>
            </w:pPr>
          </w:p>
          <w:p>
            <w:pPr>
              <w:keepNext w:val="0"/>
              <w:keepLines w:val="0"/>
              <w:suppressLineNumbers w:val="0"/>
              <w:spacing w:before="0" w:beforeAutospacing="0" w:after="0" w:afterAutospacing="0" w:line="260" w:lineRule="auto"/>
              <w:ind w:left="0" w:right="0"/>
              <w:rPr>
                <w:rFonts w:hint="default" w:ascii="Arial"/>
                <w:sz w:val="21"/>
              </w:rPr>
            </w:pPr>
          </w:p>
          <w:p>
            <w:pPr>
              <w:pStyle w:val="72"/>
              <w:keepNext w:val="0"/>
              <w:keepLines w:val="0"/>
              <w:suppressLineNumbers w:val="0"/>
              <w:spacing w:before="68" w:beforeAutospacing="0" w:after="0" w:afterAutospacing="0" w:line="221" w:lineRule="auto"/>
              <w:ind w:left="545" w:right="0"/>
              <w:rPr>
                <w:rFonts w:hint="default"/>
              </w:rPr>
            </w:pPr>
            <w:r>
              <w:rPr>
                <w:rFonts w:hint="default"/>
                <w:spacing w:val="-1"/>
              </w:rPr>
              <w:t>质量保证金金额</w:t>
            </w:r>
          </w:p>
        </w:tc>
        <w:tc>
          <w:tcPr>
            <w:tcW w:w="1415" w:type="dxa"/>
            <w:vAlign w:val="top"/>
          </w:tcPr>
          <w:p>
            <w:pPr>
              <w:keepNext w:val="0"/>
              <w:keepLines w:val="0"/>
              <w:suppressLineNumbers w:val="0"/>
              <w:spacing w:before="0" w:beforeAutospacing="0" w:after="0" w:afterAutospacing="0" w:line="268" w:lineRule="auto"/>
              <w:ind w:left="0" w:right="0"/>
              <w:rPr>
                <w:rFonts w:hint="default" w:ascii="Arial"/>
                <w:sz w:val="21"/>
              </w:rPr>
            </w:pPr>
          </w:p>
          <w:p>
            <w:pPr>
              <w:keepNext w:val="0"/>
              <w:keepLines w:val="0"/>
              <w:suppressLineNumbers w:val="0"/>
              <w:spacing w:before="0" w:beforeAutospacing="0" w:after="0" w:afterAutospacing="0" w:line="268" w:lineRule="auto"/>
              <w:ind w:left="0" w:right="0"/>
              <w:rPr>
                <w:rFonts w:hint="default" w:ascii="Arial"/>
                <w:sz w:val="21"/>
              </w:rPr>
            </w:pPr>
          </w:p>
          <w:p>
            <w:pPr>
              <w:keepNext w:val="0"/>
              <w:keepLines w:val="0"/>
              <w:suppressLineNumbers w:val="0"/>
              <w:spacing w:before="0" w:beforeAutospacing="0" w:after="0" w:afterAutospacing="0" w:line="268" w:lineRule="auto"/>
              <w:ind w:left="0" w:right="0"/>
              <w:rPr>
                <w:rFonts w:hint="default" w:ascii="Arial"/>
                <w:sz w:val="21"/>
              </w:rPr>
            </w:pPr>
          </w:p>
          <w:p>
            <w:pPr>
              <w:keepNext w:val="0"/>
              <w:keepLines w:val="0"/>
              <w:suppressLineNumbers w:val="0"/>
              <w:spacing w:before="0" w:beforeAutospacing="0" w:after="0" w:afterAutospacing="0" w:line="269" w:lineRule="auto"/>
              <w:ind w:left="0" w:right="0"/>
              <w:rPr>
                <w:rFonts w:hint="default" w:ascii="Arial"/>
                <w:sz w:val="21"/>
              </w:rPr>
            </w:pPr>
          </w:p>
          <w:p>
            <w:pPr>
              <w:pStyle w:val="72"/>
              <w:keepNext w:val="0"/>
              <w:keepLines w:val="0"/>
              <w:suppressLineNumbers w:val="0"/>
              <w:spacing w:before="68" w:beforeAutospacing="0" w:after="0" w:afterAutospacing="0" w:line="183" w:lineRule="auto"/>
              <w:ind w:left="412" w:right="0"/>
              <w:rPr>
                <w:rFonts w:hint="default"/>
              </w:rPr>
            </w:pPr>
            <w:r>
              <w:rPr>
                <w:rFonts w:hint="default"/>
                <w:spacing w:val="-4"/>
              </w:rPr>
              <w:t>17.4.1</w:t>
            </w:r>
          </w:p>
        </w:tc>
        <w:tc>
          <w:tcPr>
            <w:tcW w:w="3402" w:type="dxa"/>
            <w:vAlign w:val="top"/>
          </w:tcPr>
          <w:p>
            <w:pPr>
              <w:keepNext w:val="0"/>
              <w:keepLines w:val="0"/>
              <w:suppressLineNumbers w:val="0"/>
              <w:spacing w:before="0" w:beforeAutospacing="0" w:after="0" w:afterAutospacing="0" w:line="243" w:lineRule="auto"/>
              <w:ind w:left="0" w:right="0"/>
              <w:rPr>
                <w:rFonts w:hint="default" w:ascii="Arial"/>
                <w:sz w:val="21"/>
              </w:rPr>
            </w:pPr>
          </w:p>
          <w:p>
            <w:pPr>
              <w:keepNext w:val="0"/>
              <w:keepLines w:val="0"/>
              <w:suppressLineNumbers w:val="0"/>
              <w:spacing w:before="0" w:beforeAutospacing="0" w:after="0" w:afterAutospacing="0" w:line="243" w:lineRule="auto"/>
              <w:ind w:left="0" w:right="0"/>
              <w:rPr>
                <w:rFonts w:hint="default" w:ascii="Arial"/>
                <w:sz w:val="21"/>
              </w:rPr>
            </w:pPr>
          </w:p>
          <w:p>
            <w:pPr>
              <w:keepNext w:val="0"/>
              <w:keepLines w:val="0"/>
              <w:suppressLineNumbers w:val="0"/>
              <w:spacing w:before="0" w:beforeAutospacing="0" w:after="0" w:afterAutospacing="0" w:line="243" w:lineRule="auto"/>
              <w:ind w:left="0" w:right="0"/>
              <w:rPr>
                <w:rFonts w:hint="default" w:ascii="Arial"/>
                <w:sz w:val="21"/>
              </w:rPr>
            </w:pPr>
          </w:p>
          <w:p>
            <w:pPr>
              <w:keepNext w:val="0"/>
              <w:keepLines w:val="0"/>
              <w:suppressLineNumbers w:val="0"/>
              <w:spacing w:before="0" w:beforeAutospacing="0" w:after="0" w:afterAutospacing="0" w:line="243" w:lineRule="auto"/>
              <w:ind w:left="0" w:right="0"/>
              <w:rPr>
                <w:rFonts w:hint="default" w:ascii="Arial"/>
                <w:sz w:val="21"/>
              </w:rPr>
            </w:pPr>
          </w:p>
          <w:p>
            <w:pPr>
              <w:pStyle w:val="72"/>
              <w:keepNext w:val="0"/>
              <w:keepLines w:val="0"/>
              <w:suppressLineNumbers w:val="0"/>
              <w:tabs>
                <w:tab w:val="left" w:pos="530"/>
              </w:tabs>
              <w:spacing w:before="69" w:beforeAutospacing="0" w:after="0" w:afterAutospacing="0" w:line="219" w:lineRule="auto"/>
              <w:ind w:left="106" w:right="0"/>
              <w:rPr>
                <w:rFonts w:hint="default"/>
              </w:rPr>
            </w:pPr>
            <w:r>
              <w:rPr>
                <w:rFonts w:hint="default"/>
                <w:u w:val="single" w:color="auto"/>
              </w:rPr>
              <w:tab/>
            </w:r>
            <w:r>
              <w:rPr>
                <w:rFonts w:hint="default"/>
                <w:spacing w:val="-1"/>
              </w:rPr>
              <w:t>%合同价格。</w:t>
            </w:r>
          </w:p>
          <w:p>
            <w:pPr>
              <w:pStyle w:val="72"/>
              <w:keepNext w:val="0"/>
              <w:keepLines w:val="0"/>
              <w:suppressLineNumbers w:val="0"/>
              <w:spacing w:before="50" w:beforeAutospacing="0" w:after="0" w:afterAutospacing="0" w:line="221" w:lineRule="auto"/>
              <w:ind w:left="115" w:right="0"/>
              <w:rPr>
                <w:rFonts w:hint="default"/>
              </w:rPr>
            </w:pPr>
            <w:r>
              <w:rPr>
                <w:rFonts w:hint="default"/>
                <w:spacing w:val="-8"/>
              </w:rPr>
              <w:t>质量保证金是否计付息：否。</w:t>
            </w:r>
          </w:p>
        </w:tc>
        <w:tc>
          <w:tcPr>
            <w:tcW w:w="1389" w:type="dxa"/>
            <w:vAlign w:val="top"/>
          </w:tcPr>
          <w:p>
            <w:pPr>
              <w:keepNext w:val="0"/>
              <w:keepLines w:val="0"/>
              <w:suppressLineNumbers w:val="0"/>
              <w:spacing w:before="0" w:beforeAutospacing="0" w:after="0" w:afterAutospacing="0"/>
              <w:ind w:left="0" w:right="0"/>
              <w:rPr>
                <w:rFonts w:hint="default" w:ascii="Arial"/>
                <w:sz w:val="21"/>
              </w:rPr>
            </w:pPr>
          </w:p>
        </w:tc>
      </w:tr>
    </w:tbl>
    <w:p>
      <w:pPr>
        <w:pStyle w:val="8"/>
      </w:pPr>
    </w:p>
    <w:p>
      <w:pPr>
        <w:sectPr>
          <w:footerReference r:id="rId21" w:type="default"/>
          <w:pgSz w:w="11907" w:h="16841"/>
          <w:pgMar w:top="1427" w:right="1214" w:bottom="1216" w:left="1219" w:header="0" w:footer="1055" w:gutter="0"/>
          <w:pgNumType w:fmt="decimal"/>
          <w:cols w:space="720" w:num="1"/>
        </w:sectPr>
      </w:pPr>
    </w:p>
    <w:p>
      <w:pPr>
        <w:pStyle w:val="8"/>
        <w:spacing w:line="248" w:lineRule="auto"/>
      </w:pPr>
    </w:p>
    <w:p>
      <w:pPr>
        <w:pStyle w:val="8"/>
        <w:spacing w:line="249" w:lineRule="auto"/>
      </w:pPr>
    </w:p>
    <w:p>
      <w:pPr>
        <w:spacing w:before="68" w:line="220" w:lineRule="auto"/>
        <w:ind w:left="3559"/>
        <w:outlineLvl w:val="1"/>
        <w:rPr>
          <w:rFonts w:ascii="宋体" w:hAnsi="宋体" w:eastAsia="宋体" w:cs="宋体"/>
          <w:sz w:val="21"/>
          <w:szCs w:val="21"/>
        </w:rPr>
      </w:pPr>
      <w:bookmarkStart w:id="201" w:name="bookmark50"/>
      <w:bookmarkEnd w:id="201"/>
      <w:bookmarkStart w:id="202" w:name="_Toc3202"/>
      <w:r>
        <w:rPr>
          <w:rFonts w:ascii="宋体" w:hAnsi="宋体" w:eastAsia="宋体" w:cs="宋体"/>
          <w:sz w:val="21"/>
          <w:szCs w:val="21"/>
          <w14:textOutline w14:w="3831" w14:cap="flat" w14:cmpd="sng">
            <w14:solidFill>
              <w14:srgbClr w14:val="000000"/>
            </w14:solidFill>
            <w14:prstDash w14:val="solid"/>
            <w14:miter w14:val="0"/>
          </w14:textOutline>
        </w:rPr>
        <w:t>二、授权委托书或法定代表人身份证明</w:t>
      </w:r>
      <w:bookmarkEnd w:id="202"/>
    </w:p>
    <w:p>
      <w:pPr>
        <w:pStyle w:val="8"/>
        <w:spacing w:line="424" w:lineRule="auto"/>
      </w:pPr>
    </w:p>
    <w:p>
      <w:pPr>
        <w:spacing w:before="36" w:line="179" w:lineRule="auto"/>
        <w:ind w:left="6093"/>
        <w:rPr>
          <w:rFonts w:ascii="宋体" w:hAnsi="宋体" w:eastAsia="宋体" w:cs="宋体"/>
          <w:sz w:val="11"/>
          <w:szCs w:val="11"/>
        </w:rPr>
      </w:pPr>
      <w:r>
        <w:rPr>
          <w:rFonts w:ascii="宋体" w:hAnsi="宋体" w:eastAsia="宋体" w:cs="宋体"/>
          <w:sz w:val="11"/>
          <w:szCs w:val="11"/>
        </w:rPr>
        <w:t>①</w:t>
      </w:r>
    </w:p>
    <w:p>
      <w:pPr>
        <w:spacing w:line="216" w:lineRule="auto"/>
        <w:ind w:left="4414"/>
        <w:rPr>
          <w:rFonts w:ascii="宋体" w:hAnsi="宋体" w:eastAsia="宋体" w:cs="宋体"/>
          <w:sz w:val="21"/>
          <w:szCs w:val="21"/>
        </w:rPr>
      </w:pPr>
      <w:r>
        <w:rPr>
          <w:rFonts w:ascii="宋体" w:hAnsi="宋体" w:eastAsia="宋体" w:cs="宋体"/>
          <w:spacing w:val="-3"/>
          <w:sz w:val="21"/>
          <w:szCs w:val="21"/>
          <w14:textOutline w14:w="3831" w14:cap="flat" w14:cmpd="sng">
            <w14:solidFill>
              <w14:srgbClr w14:val="000000"/>
            </w14:solidFill>
            <w14:prstDash w14:val="solid"/>
            <w14:miter w14:val="0"/>
          </w14:textOutline>
        </w:rPr>
        <w:t>（一）授权委托书</w:t>
      </w:r>
    </w:p>
    <w:p>
      <w:pPr>
        <w:spacing w:before="178" w:line="335" w:lineRule="auto"/>
        <w:ind w:left="339" w:firstLine="478"/>
        <w:jc w:val="both"/>
        <w:rPr>
          <w:rFonts w:ascii="宋体" w:hAnsi="宋体" w:eastAsia="宋体" w:cs="宋体"/>
          <w:sz w:val="21"/>
          <w:szCs w:val="21"/>
        </w:rPr>
      </w:pPr>
      <w:r>
        <w:rPr>
          <w:rFonts w:ascii="宋体" w:hAnsi="宋体" w:eastAsia="宋体" w:cs="宋体"/>
          <w:spacing w:val="-27"/>
          <w:sz w:val="21"/>
          <w:szCs w:val="21"/>
        </w:rPr>
        <w:t>本人</w:t>
      </w:r>
      <w:r>
        <w:rPr>
          <w:rFonts w:hint="eastAsia" w:ascii="宋体" w:hAnsi="宋体" w:cs="宋体"/>
          <w:spacing w:val="-7"/>
          <w:sz w:val="21"/>
          <w:szCs w:val="21"/>
          <w:u w:val="single"/>
          <w:lang w:val="en-US" w:eastAsia="zh-CN"/>
        </w:rPr>
        <w:t xml:space="preserve">          </w:t>
      </w:r>
      <w:r>
        <w:rPr>
          <w:rFonts w:ascii="宋体" w:hAnsi="宋体" w:eastAsia="宋体" w:cs="宋体"/>
          <w:spacing w:val="-27"/>
          <w:sz w:val="21"/>
          <w:szCs w:val="21"/>
        </w:rPr>
        <w:t>（姓名）系</w:t>
      </w:r>
      <w:r>
        <w:rPr>
          <w:rFonts w:hint="eastAsia" w:ascii="宋体" w:hAnsi="宋体" w:cs="宋体"/>
          <w:spacing w:val="-7"/>
          <w:sz w:val="21"/>
          <w:szCs w:val="21"/>
          <w:u w:val="single"/>
          <w:lang w:val="en-US" w:eastAsia="zh-CN"/>
        </w:rPr>
        <w:t xml:space="preserve">          </w:t>
      </w:r>
      <w:r>
        <w:rPr>
          <w:rFonts w:ascii="宋体" w:hAnsi="宋体" w:eastAsia="宋体" w:cs="宋体"/>
          <w:spacing w:val="-27"/>
          <w:sz w:val="21"/>
          <w:szCs w:val="21"/>
        </w:rPr>
        <w:t>（投标人名称）的法定代表人，现委托</w:t>
      </w:r>
      <w:r>
        <w:rPr>
          <w:rFonts w:hint="eastAsia" w:ascii="宋体" w:hAnsi="宋体" w:cs="宋体"/>
          <w:spacing w:val="-7"/>
          <w:sz w:val="21"/>
          <w:szCs w:val="21"/>
          <w:u w:val="single"/>
          <w:lang w:val="en-US" w:eastAsia="zh-CN"/>
        </w:rPr>
        <w:t xml:space="preserve">          </w:t>
      </w:r>
      <w:r>
        <w:rPr>
          <w:rFonts w:ascii="宋体" w:hAnsi="宋体" w:eastAsia="宋体" w:cs="宋体"/>
          <w:spacing w:val="-27"/>
          <w:sz w:val="21"/>
          <w:szCs w:val="21"/>
        </w:rPr>
        <w:t>（姓名）</w:t>
      </w:r>
      <w:r>
        <w:rPr>
          <w:rFonts w:ascii="宋体" w:hAnsi="宋体" w:eastAsia="宋体" w:cs="宋体"/>
          <w:sz w:val="21"/>
          <w:szCs w:val="21"/>
        </w:rPr>
        <w:t>为我方代理人。代理人根据授权，以我方名义签署、澄清确认、递交、撤回、修改</w:t>
      </w:r>
      <w:r>
        <w:rPr>
          <w:rFonts w:hint="eastAsia" w:ascii="宋体" w:hAnsi="宋体" w:cs="宋体"/>
          <w:spacing w:val="-7"/>
          <w:sz w:val="21"/>
          <w:szCs w:val="21"/>
          <w:u w:val="single"/>
          <w:lang w:val="en-US" w:eastAsia="zh-CN"/>
        </w:rPr>
        <w:t xml:space="preserve">          </w:t>
      </w:r>
      <w:r>
        <w:rPr>
          <w:rFonts w:ascii="宋体" w:hAnsi="宋体" w:eastAsia="宋体" w:cs="宋体"/>
          <w:sz w:val="21"/>
          <w:szCs w:val="21"/>
        </w:rPr>
        <w:t>（项目</w:t>
      </w:r>
      <w:r>
        <w:rPr>
          <w:rFonts w:ascii="宋体" w:hAnsi="宋体" w:eastAsia="宋体" w:cs="宋体"/>
          <w:spacing w:val="-6"/>
          <w:sz w:val="21"/>
          <w:szCs w:val="21"/>
        </w:rPr>
        <w:t>名称）施工投标文件、签订合同和处理有关事宜，其法律后果由我方承担。</w:t>
      </w:r>
    </w:p>
    <w:p>
      <w:pPr>
        <w:spacing w:before="163" w:line="410" w:lineRule="exact"/>
        <w:ind w:left="1296"/>
        <w:rPr>
          <w:rFonts w:ascii="宋体" w:hAnsi="宋体" w:eastAsia="宋体" w:cs="宋体"/>
          <w:sz w:val="21"/>
          <w:szCs w:val="21"/>
        </w:rPr>
      </w:pPr>
      <w:r>
        <w:rPr>
          <w:rFonts w:ascii="宋体" w:hAnsi="宋体" w:eastAsia="宋体" w:cs="宋体"/>
          <w:spacing w:val="-5"/>
          <w:position w:val="15"/>
          <w:sz w:val="21"/>
          <w:szCs w:val="21"/>
        </w:rPr>
        <w:t>委托期限：自本委托书签署之日起至投标有效期期满。</w:t>
      </w:r>
    </w:p>
    <w:p>
      <w:pPr>
        <w:spacing w:before="1" w:line="220" w:lineRule="auto"/>
        <w:ind w:left="1296"/>
        <w:rPr>
          <w:rFonts w:ascii="宋体" w:hAnsi="宋体" w:eastAsia="宋体" w:cs="宋体"/>
          <w:sz w:val="21"/>
          <w:szCs w:val="21"/>
        </w:rPr>
      </w:pPr>
      <w:r>
        <w:rPr>
          <w:rFonts w:ascii="宋体" w:hAnsi="宋体" w:eastAsia="宋体" w:cs="宋体"/>
          <w:spacing w:val="-3"/>
          <w:sz w:val="21"/>
          <w:szCs w:val="21"/>
        </w:rPr>
        <w:t>代理人无转委托权。</w:t>
      </w:r>
    </w:p>
    <w:p>
      <w:pPr>
        <w:pStyle w:val="8"/>
        <w:spacing w:line="261" w:lineRule="auto"/>
      </w:pPr>
    </w:p>
    <w:p>
      <w:pPr>
        <w:pStyle w:val="8"/>
        <w:spacing w:line="261" w:lineRule="auto"/>
      </w:pPr>
    </w:p>
    <w:p>
      <w:pPr>
        <w:spacing w:before="68" w:line="220" w:lineRule="auto"/>
        <w:ind w:left="773"/>
        <w:rPr>
          <w:rFonts w:ascii="宋体" w:hAnsi="宋体" w:eastAsia="宋体" w:cs="宋体"/>
          <w:sz w:val="21"/>
          <w:szCs w:val="21"/>
        </w:rPr>
      </w:pPr>
      <w:r>
        <w:rPr>
          <w:rFonts w:ascii="宋体" w:hAnsi="宋体" w:eastAsia="宋体" w:cs="宋体"/>
          <w:spacing w:val="-1"/>
          <w:sz w:val="21"/>
          <w:szCs w:val="21"/>
        </w:rPr>
        <w:t>附：法定代表人身份证复印件及委托代理人身份证复印件。</w:t>
      </w:r>
    </w:p>
    <w:p>
      <w:pPr>
        <w:pStyle w:val="8"/>
        <w:spacing w:line="253" w:lineRule="auto"/>
      </w:pPr>
    </w:p>
    <w:p>
      <w:pPr>
        <w:pStyle w:val="8"/>
        <w:spacing w:line="254" w:lineRule="auto"/>
      </w:pPr>
    </w:p>
    <w:p>
      <w:pPr>
        <w:spacing w:before="69" w:line="360" w:lineRule="auto"/>
        <w:ind w:left="4187" w:right="1413"/>
        <w:rPr>
          <w:rFonts w:hint="default" w:ascii="宋体" w:hAnsi="宋体" w:eastAsia="宋体" w:cs="宋体"/>
          <w:sz w:val="21"/>
          <w:szCs w:val="21"/>
          <w:lang w:val="en-US" w:eastAsia="zh-CN"/>
        </w:rPr>
      </w:pPr>
      <w:r>
        <w:rPr>
          <w:rFonts w:ascii="宋体" w:hAnsi="宋体" w:eastAsia="宋体" w:cs="宋体"/>
          <w:spacing w:val="-10"/>
          <w:sz w:val="21"/>
          <w:szCs w:val="21"/>
        </w:rPr>
        <w:t>投标人</w:t>
      </w:r>
      <w:r>
        <w:rPr>
          <w:rFonts w:ascii="宋体" w:hAnsi="宋体" w:eastAsia="宋体" w:cs="宋体"/>
          <w:spacing w:val="1"/>
          <w:sz w:val="21"/>
          <w:szCs w:val="21"/>
        </w:rPr>
        <w:t>：</w:t>
      </w:r>
      <w:r>
        <w:rPr>
          <w:rFonts w:hint="eastAsia" w:ascii="宋体" w:hAnsi="宋体" w:cs="宋体"/>
          <w:spacing w:val="-7"/>
          <w:sz w:val="21"/>
          <w:szCs w:val="21"/>
          <w:u w:val="single"/>
          <w:lang w:val="en-US" w:eastAsia="zh-CN"/>
        </w:rPr>
        <w:t xml:space="preserve">                         </w:t>
      </w:r>
      <w:r>
        <w:rPr>
          <w:rFonts w:ascii="宋体" w:hAnsi="宋体" w:eastAsia="宋体" w:cs="宋体"/>
          <w:spacing w:val="1"/>
          <w:sz w:val="21"/>
          <w:szCs w:val="21"/>
        </w:rPr>
        <w:t>（</w:t>
      </w:r>
      <w:r>
        <w:rPr>
          <w:rFonts w:hint="eastAsia" w:ascii="宋体" w:hAnsi="宋体" w:cs="宋体"/>
          <w:spacing w:val="-10"/>
          <w:sz w:val="21"/>
          <w:szCs w:val="21"/>
          <w:lang w:eastAsia="zh-CN"/>
        </w:rPr>
        <w:t>企业电子章</w:t>
      </w:r>
      <w:r>
        <w:rPr>
          <w:rFonts w:ascii="宋体" w:hAnsi="宋体" w:eastAsia="宋体" w:cs="宋体"/>
          <w:spacing w:val="-10"/>
          <w:sz w:val="21"/>
          <w:szCs w:val="21"/>
        </w:rPr>
        <w:t>）</w:t>
      </w:r>
      <w:r>
        <w:rPr>
          <w:rFonts w:ascii="宋体" w:hAnsi="宋体" w:eastAsia="宋体" w:cs="宋体"/>
          <w:spacing w:val="-7"/>
          <w:sz w:val="21"/>
          <w:szCs w:val="21"/>
        </w:rPr>
        <w:t>法定代表人</w:t>
      </w:r>
      <w:r>
        <w:rPr>
          <w:rFonts w:ascii="宋体" w:hAnsi="宋体" w:eastAsia="宋体" w:cs="宋体"/>
          <w:spacing w:val="-11"/>
          <w:sz w:val="21"/>
          <w:szCs w:val="21"/>
        </w:rPr>
        <w:t>：</w:t>
      </w:r>
      <w:r>
        <w:rPr>
          <w:rFonts w:hint="eastAsia" w:ascii="宋体" w:hAnsi="宋体" w:cs="宋体"/>
          <w:spacing w:val="-7"/>
          <w:sz w:val="21"/>
          <w:szCs w:val="21"/>
          <w:u w:val="single"/>
          <w:lang w:val="en-US" w:eastAsia="zh-CN"/>
        </w:rPr>
        <w:t xml:space="preserve">                 </w:t>
      </w:r>
      <w:r>
        <w:rPr>
          <w:rFonts w:ascii="宋体" w:hAnsi="宋体" w:eastAsia="宋体" w:cs="宋体"/>
          <w:spacing w:val="-11"/>
          <w:sz w:val="21"/>
          <w:szCs w:val="21"/>
        </w:rPr>
        <w:t>（</w:t>
      </w:r>
      <w:r>
        <w:rPr>
          <w:rFonts w:hint="eastAsia" w:ascii="宋体" w:hAnsi="宋体" w:cs="宋体"/>
          <w:spacing w:val="-7"/>
          <w:sz w:val="21"/>
          <w:szCs w:val="21"/>
          <w:lang w:eastAsia="zh-CN"/>
        </w:rPr>
        <w:t>签字或电子签章</w:t>
      </w:r>
      <w:r>
        <w:rPr>
          <w:rFonts w:ascii="宋体" w:hAnsi="宋体" w:eastAsia="宋体" w:cs="宋体"/>
          <w:spacing w:val="-7"/>
          <w:sz w:val="21"/>
          <w:szCs w:val="21"/>
        </w:rPr>
        <w:t>）</w:t>
      </w:r>
      <w:r>
        <w:rPr>
          <w:rFonts w:ascii="宋体" w:hAnsi="宋体" w:eastAsia="宋体" w:cs="宋体"/>
          <w:spacing w:val="-17"/>
          <w:sz w:val="21"/>
          <w:szCs w:val="21"/>
        </w:rPr>
        <w:t>身份证号码：</w:t>
      </w:r>
      <w:r>
        <w:rPr>
          <w:rFonts w:hint="eastAsia" w:ascii="宋体" w:hAnsi="宋体" w:cs="宋体"/>
          <w:spacing w:val="-7"/>
          <w:sz w:val="21"/>
          <w:szCs w:val="21"/>
          <w:u w:val="single"/>
          <w:lang w:val="en-US" w:eastAsia="zh-CN"/>
        </w:rPr>
        <w:t xml:space="preserve">                                  </w:t>
      </w:r>
    </w:p>
    <w:p>
      <w:pPr>
        <w:spacing w:before="1" w:line="219" w:lineRule="auto"/>
        <w:ind w:left="4186"/>
        <w:rPr>
          <w:rFonts w:ascii="宋体" w:hAnsi="宋体" w:eastAsia="宋体" w:cs="宋体"/>
          <w:sz w:val="21"/>
          <w:szCs w:val="21"/>
        </w:rPr>
      </w:pPr>
      <w:r>
        <w:rPr>
          <w:rFonts w:ascii="宋体" w:hAnsi="宋体" w:eastAsia="宋体" w:cs="宋体"/>
          <w:spacing w:val="-7"/>
          <w:sz w:val="21"/>
          <w:szCs w:val="21"/>
        </w:rPr>
        <w:t>委托代理人</w:t>
      </w:r>
      <w:r>
        <w:rPr>
          <w:rFonts w:hint="eastAsia" w:ascii="宋体" w:hAnsi="宋体" w:cs="宋体"/>
          <w:spacing w:val="-7"/>
          <w:sz w:val="21"/>
          <w:szCs w:val="21"/>
          <w:lang w:eastAsia="zh-CN"/>
        </w:rPr>
        <w:t>：</w:t>
      </w:r>
      <w:r>
        <w:rPr>
          <w:rFonts w:hint="eastAsia" w:ascii="宋体" w:hAnsi="宋体" w:cs="宋体"/>
          <w:spacing w:val="-7"/>
          <w:sz w:val="21"/>
          <w:szCs w:val="21"/>
          <w:u w:val="single"/>
          <w:lang w:val="en-US" w:eastAsia="zh-CN"/>
        </w:rPr>
        <w:t xml:space="preserve">                  </w:t>
      </w:r>
      <w:r>
        <w:rPr>
          <w:rFonts w:ascii="宋体" w:hAnsi="宋体" w:eastAsia="宋体" w:cs="宋体"/>
          <w:spacing w:val="-11"/>
          <w:sz w:val="21"/>
          <w:szCs w:val="21"/>
        </w:rPr>
        <w:t>（</w:t>
      </w:r>
      <w:r>
        <w:rPr>
          <w:rFonts w:hint="eastAsia" w:ascii="宋体" w:hAnsi="宋体" w:cs="宋体"/>
          <w:spacing w:val="-7"/>
          <w:sz w:val="21"/>
          <w:szCs w:val="21"/>
          <w:lang w:eastAsia="zh-CN"/>
        </w:rPr>
        <w:t>签字或电子签章</w:t>
      </w:r>
      <w:r>
        <w:rPr>
          <w:rFonts w:ascii="宋体" w:hAnsi="宋体" w:eastAsia="宋体" w:cs="宋体"/>
          <w:spacing w:val="-7"/>
          <w:sz w:val="21"/>
          <w:szCs w:val="21"/>
        </w:rPr>
        <w:t>）</w:t>
      </w:r>
    </w:p>
    <w:p>
      <w:pPr>
        <w:spacing w:before="157" w:line="221" w:lineRule="auto"/>
        <w:ind w:left="4193"/>
        <w:rPr>
          <w:rFonts w:hint="eastAsia" w:ascii="宋体" w:hAnsi="宋体" w:cs="宋体"/>
          <w:spacing w:val="-7"/>
          <w:sz w:val="21"/>
          <w:szCs w:val="21"/>
          <w:u w:val="single"/>
          <w:lang w:val="en-US" w:eastAsia="zh-CN"/>
        </w:rPr>
      </w:pPr>
      <w:r>
        <w:rPr>
          <w:rFonts w:ascii="宋体" w:hAnsi="宋体" w:eastAsia="宋体" w:cs="宋体"/>
          <w:spacing w:val="-17"/>
          <w:sz w:val="21"/>
          <w:szCs w:val="21"/>
        </w:rPr>
        <w:t>身份证号码</w:t>
      </w:r>
      <w:r>
        <w:rPr>
          <w:rFonts w:hint="eastAsia" w:ascii="宋体" w:hAnsi="宋体" w:cs="宋体"/>
          <w:spacing w:val="-17"/>
          <w:sz w:val="21"/>
          <w:szCs w:val="21"/>
          <w:lang w:eastAsia="zh-CN"/>
        </w:rPr>
        <w:t>：</w:t>
      </w:r>
      <w:r>
        <w:rPr>
          <w:rFonts w:hint="eastAsia" w:ascii="宋体" w:hAnsi="宋体" w:cs="宋体"/>
          <w:spacing w:val="-7"/>
          <w:sz w:val="21"/>
          <w:szCs w:val="21"/>
          <w:u w:val="single"/>
          <w:lang w:val="en-US" w:eastAsia="zh-CN"/>
        </w:rPr>
        <w:t xml:space="preserve">                                  </w:t>
      </w:r>
    </w:p>
    <w:p>
      <w:pPr>
        <w:spacing w:before="157" w:line="221" w:lineRule="auto"/>
        <w:ind w:left="4193"/>
        <w:rPr>
          <w:rFonts w:ascii="宋体" w:hAnsi="宋体" w:eastAsia="宋体" w:cs="宋体"/>
          <w:sz w:val="21"/>
          <w:szCs w:val="21"/>
          <w:u w:val="single"/>
        </w:rPr>
      </w:pPr>
      <w:r>
        <w:rPr>
          <w:rFonts w:hint="eastAsia" w:ascii="宋体" w:hAnsi="宋体" w:cs="宋体"/>
          <w:spacing w:val="-7"/>
          <w:sz w:val="21"/>
          <w:szCs w:val="21"/>
          <w:u w:val="single"/>
          <w:lang w:val="en-US" w:eastAsia="zh-CN"/>
        </w:rPr>
        <w:t xml:space="preserve">         </w:t>
      </w:r>
      <w:r>
        <w:rPr>
          <w:rFonts w:ascii="宋体" w:hAnsi="宋体" w:eastAsia="宋体" w:cs="宋体"/>
          <w:spacing w:val="-7"/>
          <w:sz w:val="21"/>
          <w:szCs w:val="21"/>
          <w:u w:val="none"/>
        </w:rPr>
        <w:t>年</w:t>
      </w:r>
      <w:r>
        <w:rPr>
          <w:rFonts w:hint="eastAsia" w:ascii="宋体" w:hAnsi="宋体" w:cs="宋体"/>
          <w:spacing w:val="-7"/>
          <w:sz w:val="21"/>
          <w:szCs w:val="21"/>
          <w:u w:val="single"/>
          <w:lang w:val="en-US" w:eastAsia="zh-CN"/>
        </w:rPr>
        <w:t xml:space="preserve">         </w:t>
      </w:r>
      <w:r>
        <w:rPr>
          <w:rFonts w:hint="eastAsia" w:ascii="宋体" w:hAnsi="宋体" w:cs="宋体"/>
          <w:spacing w:val="-7"/>
          <w:sz w:val="21"/>
          <w:szCs w:val="21"/>
          <w:u w:val="none"/>
          <w:lang w:val="en-US" w:eastAsia="zh-CN"/>
        </w:rPr>
        <w:t xml:space="preserve"> </w:t>
      </w:r>
      <w:r>
        <w:rPr>
          <w:rFonts w:ascii="宋体" w:hAnsi="宋体" w:eastAsia="宋体" w:cs="宋体"/>
          <w:spacing w:val="-7"/>
          <w:sz w:val="21"/>
          <w:szCs w:val="21"/>
          <w:u w:val="none"/>
        </w:rPr>
        <w:t>月</w:t>
      </w:r>
      <w:r>
        <w:rPr>
          <w:rFonts w:hint="eastAsia" w:ascii="宋体" w:hAnsi="宋体" w:cs="宋体"/>
          <w:spacing w:val="-7"/>
          <w:sz w:val="21"/>
          <w:szCs w:val="21"/>
          <w:u w:val="single"/>
          <w:lang w:val="en-US" w:eastAsia="zh-CN"/>
        </w:rPr>
        <w:t xml:space="preserve">         </w:t>
      </w:r>
      <w:r>
        <w:rPr>
          <w:rFonts w:hint="eastAsia" w:ascii="宋体" w:hAnsi="宋体" w:cs="宋体"/>
          <w:spacing w:val="-7"/>
          <w:sz w:val="21"/>
          <w:szCs w:val="21"/>
          <w:u w:val="none"/>
          <w:lang w:val="en-US" w:eastAsia="zh-CN"/>
        </w:rPr>
        <w:t xml:space="preserve"> </w:t>
      </w:r>
      <w:r>
        <w:rPr>
          <w:rFonts w:ascii="宋体" w:hAnsi="宋体" w:eastAsia="宋体" w:cs="宋体"/>
          <w:spacing w:val="-7"/>
          <w:sz w:val="21"/>
          <w:szCs w:val="21"/>
          <w:u w:val="none"/>
        </w:rPr>
        <w:t>日</w:t>
      </w:r>
    </w:p>
    <w:p>
      <w:pPr>
        <w:spacing w:before="8"/>
      </w:pPr>
    </w:p>
    <w:p>
      <w:pPr>
        <w:spacing w:before="8"/>
      </w:pPr>
    </w:p>
    <w:p>
      <w:pPr>
        <w:spacing w:before="8"/>
      </w:pPr>
    </w:p>
    <w:p>
      <w:pPr>
        <w:spacing w:before="8"/>
      </w:pPr>
    </w:p>
    <w:p>
      <w:pPr>
        <w:spacing w:before="8"/>
      </w:pPr>
    </w:p>
    <w:p>
      <w:pPr>
        <w:spacing w:before="8"/>
      </w:pPr>
    </w:p>
    <w:p>
      <w:pPr>
        <w:spacing w:before="7"/>
      </w:pPr>
    </w:p>
    <w:p>
      <w:pPr>
        <w:sectPr>
          <w:footerReference r:id="rId22" w:type="default"/>
          <w:pgSz w:w="11907" w:h="16841"/>
          <w:pgMar w:top="1431" w:right="1229" w:bottom="1216" w:left="895" w:header="0" w:footer="1055" w:gutter="0"/>
          <w:pgNumType w:fmt="decimal"/>
          <w:cols w:equalWidth="0" w:num="1">
            <w:col w:w="9782"/>
          </w:cols>
        </w:sectPr>
      </w:pPr>
    </w:p>
    <w:p>
      <w:pPr>
        <w:spacing w:before="42" w:line="218" w:lineRule="auto"/>
        <w:ind w:left="516"/>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①</w:t>
      </w:r>
    </w:p>
    <w:p>
      <w:pPr>
        <w:pStyle w:val="8"/>
        <w:spacing w:line="14" w:lineRule="auto"/>
        <w:rPr>
          <w:sz w:val="2"/>
        </w:rPr>
      </w:pPr>
      <w:r>
        <w:rPr>
          <w:sz w:val="2"/>
          <w:szCs w:val="2"/>
        </w:rPr>
        <w:br w:type="column"/>
      </w:r>
    </w:p>
    <w:p>
      <w:pPr>
        <w:spacing w:before="119" w:line="186" w:lineRule="auto"/>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如果由投标人的法定代表人签署投标文件，则无须提交授权委托书。</w:t>
      </w:r>
    </w:p>
    <w:p>
      <w:pPr>
        <w:spacing w:line="186" w:lineRule="auto"/>
        <w:rPr>
          <w:rFonts w:ascii="宋体" w:hAnsi="宋体" w:eastAsia="宋体" w:cs="宋体"/>
          <w:sz w:val="21"/>
          <w:szCs w:val="21"/>
        </w:rPr>
        <w:sectPr>
          <w:type w:val="continuous"/>
          <w:pgSz w:w="11907" w:h="16841"/>
          <w:pgMar w:top="1431" w:right="1229" w:bottom="1216" w:left="895" w:header="0" w:footer="1055" w:gutter="0"/>
          <w:pgNumType w:fmt="decimal"/>
          <w:cols w:equalWidth="0" w:num="2">
            <w:col w:w="848" w:space="100"/>
            <w:col w:w="8834"/>
          </w:cols>
        </w:sectPr>
      </w:pPr>
    </w:p>
    <w:p>
      <w:pPr>
        <w:pStyle w:val="8"/>
        <w:spacing w:line="242" w:lineRule="auto"/>
      </w:pPr>
    </w:p>
    <w:p>
      <w:pPr>
        <w:spacing w:before="68" w:line="221" w:lineRule="auto"/>
        <w:ind w:left="3856"/>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（二）法定代表人身份证明</w:t>
      </w:r>
    </w:p>
    <w:p>
      <w:pPr>
        <w:pStyle w:val="8"/>
        <w:tabs>
          <w:tab w:val="left" w:pos="5080"/>
        </w:tabs>
        <w:spacing w:beforeLines="0" w:afterLines="0"/>
        <w:ind w:left="224"/>
        <w:rPr>
          <w:rFonts w:hint="eastAsia" w:ascii="宋体" w:hAnsi="宋体" w:eastAsia="宋体" w:cs="宋体"/>
          <w:color w:val="auto"/>
          <w:sz w:val="24"/>
          <w:szCs w:val="24"/>
        </w:rPr>
      </w:pPr>
      <w:r>
        <w:rPr>
          <w:rFonts w:hint="eastAsia" w:ascii="宋体" w:hAnsi="宋体" w:eastAsia="宋体" w:cs="宋体"/>
          <w:color w:val="auto"/>
          <w:spacing w:val="-1"/>
          <w:sz w:val="24"/>
          <w:szCs w:val="24"/>
        </w:rPr>
        <w:t>投</w:t>
      </w:r>
      <w:r>
        <w:rPr>
          <w:rFonts w:hint="eastAsia" w:ascii="宋体" w:hAnsi="宋体" w:eastAsia="宋体" w:cs="宋体"/>
          <w:color w:val="auto"/>
          <w:sz w:val="24"/>
          <w:szCs w:val="24"/>
        </w:rPr>
        <w:t>标人名称：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p>
    <w:p>
      <w:pPr>
        <w:pStyle w:val="8"/>
        <w:tabs>
          <w:tab w:val="left" w:pos="3999"/>
          <w:tab w:val="left" w:pos="5440"/>
          <w:tab w:val="left" w:pos="7185"/>
          <w:tab w:val="left" w:pos="8920"/>
        </w:tabs>
        <w:spacing w:before="134" w:beforeLines="0" w:afterLines="0" w:line="343" w:lineRule="auto"/>
        <w:ind w:left="224" w:right="263"/>
        <w:rPr>
          <w:rFonts w:hint="eastAsia" w:ascii="宋体" w:hAnsi="宋体" w:eastAsia="宋体" w:cs="宋体"/>
          <w:color w:val="auto"/>
          <w:sz w:val="24"/>
          <w:szCs w:val="24"/>
          <w:u w:val="single"/>
        </w:rPr>
      </w:pPr>
      <w:r>
        <w:rPr>
          <w:rFonts w:hint="eastAsia" w:ascii="宋体" w:hAnsi="宋体" w:eastAsia="宋体" w:cs="宋体"/>
          <w:color w:val="auto"/>
          <w:sz w:val="24"/>
          <w:szCs w:val="24"/>
        </w:rPr>
        <w:t>姓名：</w:t>
      </w:r>
      <w:r>
        <w:rPr>
          <w:rFonts w:hint="eastAsia" w:ascii="宋体" w:hAnsi="宋体" w:eastAsia="宋体" w:cs="宋体"/>
          <w:color w:val="auto"/>
          <w:spacing w:val="118"/>
          <w:sz w:val="24"/>
          <w:szCs w:val="24"/>
          <w:u w:val="single"/>
        </w:rPr>
        <w:t xml:space="preserve"> </w:t>
      </w:r>
      <w:r>
        <w:rPr>
          <w:rFonts w:hint="eastAsia" w:ascii="宋体" w:eastAsia="宋体" w:cs="宋体"/>
          <w:color w:val="auto"/>
          <w:spacing w:val="118"/>
          <w:sz w:val="24"/>
          <w:szCs w:val="24"/>
          <w:u w:val="single"/>
          <w:lang w:val="en-US" w:eastAsia="zh-CN"/>
        </w:rPr>
        <w:t xml:space="preserve">  </w:t>
      </w:r>
      <w:r>
        <w:rPr>
          <w:rFonts w:hint="eastAsia" w:ascii="宋体" w:hAnsi="宋体" w:eastAsia="宋体" w:cs="宋体"/>
          <w:color w:val="auto"/>
          <w:spacing w:val="117"/>
          <w:sz w:val="24"/>
          <w:szCs w:val="24"/>
        </w:rPr>
        <w:t xml:space="preserve"> </w:t>
      </w:r>
      <w:r>
        <w:rPr>
          <w:rFonts w:hint="eastAsia" w:ascii="宋体" w:hAnsi="宋体" w:eastAsia="宋体" w:cs="宋体"/>
          <w:color w:val="auto"/>
          <w:sz w:val="24"/>
          <w:szCs w:val="24"/>
        </w:rPr>
        <w:t>性别：</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年龄：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职务：</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u w:val="single"/>
        </w:rPr>
        <w:t xml:space="preserve"> </w:t>
      </w:r>
    </w:p>
    <w:p>
      <w:pPr>
        <w:pStyle w:val="8"/>
        <w:tabs>
          <w:tab w:val="left" w:pos="3999"/>
          <w:tab w:val="left" w:pos="5440"/>
          <w:tab w:val="left" w:pos="7185"/>
          <w:tab w:val="left" w:pos="8920"/>
        </w:tabs>
        <w:spacing w:before="134" w:beforeLines="0" w:afterLines="0" w:line="343" w:lineRule="auto"/>
        <w:ind w:left="224" w:right="263"/>
        <w:rPr>
          <w:rFonts w:hint="eastAsia" w:ascii="宋体" w:hAnsi="宋体" w:eastAsia="宋体" w:cs="宋体"/>
          <w:color w:val="auto"/>
          <w:sz w:val="24"/>
          <w:szCs w:val="24"/>
        </w:rPr>
      </w:pPr>
      <w:r>
        <w:rPr>
          <w:rFonts w:hint="eastAsia" w:ascii="宋体" w:hAnsi="宋体" w:eastAsia="宋体" w:cs="宋体"/>
          <w:color w:val="auto"/>
          <w:sz w:val="24"/>
          <w:szCs w:val="24"/>
        </w:rPr>
        <w:t>系</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（投标人名称）的法定代表人。</w:t>
      </w:r>
    </w:p>
    <w:p>
      <w:pPr>
        <w:pStyle w:val="8"/>
        <w:spacing w:beforeLines="0" w:afterLines="0" w:line="307" w:lineRule="exact"/>
        <w:ind w:left="704"/>
        <w:rPr>
          <w:rFonts w:hint="eastAsia" w:ascii="宋体" w:hAnsi="宋体" w:eastAsia="宋体" w:cs="宋体"/>
          <w:color w:val="auto"/>
          <w:sz w:val="24"/>
          <w:szCs w:val="24"/>
        </w:rPr>
      </w:pPr>
      <w:r>
        <w:rPr>
          <w:rFonts w:hint="eastAsia" w:ascii="宋体" w:hAnsi="宋体" w:eastAsia="宋体" w:cs="宋体"/>
          <w:color w:val="auto"/>
          <w:sz w:val="24"/>
          <w:szCs w:val="24"/>
        </w:rPr>
        <w:t>特此证明。</w:t>
      </w:r>
    </w:p>
    <w:p>
      <w:pPr>
        <w:pStyle w:val="8"/>
        <w:spacing w:beforeLines="0" w:afterLines="0"/>
        <w:rPr>
          <w:rFonts w:hint="eastAsia" w:ascii="宋体" w:hAnsi="宋体" w:eastAsia="宋体" w:cs="宋体"/>
          <w:color w:val="auto"/>
          <w:sz w:val="24"/>
          <w:szCs w:val="24"/>
        </w:rPr>
      </w:pPr>
    </w:p>
    <w:p>
      <w:pPr>
        <w:pStyle w:val="8"/>
        <w:spacing w:before="1" w:beforeLines="0" w:afterLines="0"/>
        <w:rPr>
          <w:rFonts w:hint="eastAsia" w:ascii="宋体" w:hAnsi="宋体" w:eastAsia="宋体" w:cs="宋体"/>
          <w:color w:val="auto"/>
          <w:sz w:val="23"/>
          <w:szCs w:val="24"/>
        </w:rPr>
      </w:pPr>
    </w:p>
    <w:p>
      <w:pPr>
        <w:spacing w:beforeLines="0" w:afterLines="0"/>
        <w:ind w:left="224"/>
        <w:rPr>
          <w:rFonts w:hint="eastAsia" w:ascii="宋体" w:hAnsi="宋体" w:eastAsia="宋体" w:cs="宋体"/>
          <w:color w:val="auto"/>
          <w:sz w:val="21"/>
          <w:szCs w:val="22"/>
        </w:rPr>
      </w:pPr>
      <w:r>
        <w:rPr>
          <w:rFonts w:hint="eastAsia" w:ascii="宋体" w:hAnsi="宋体" w:eastAsia="宋体" w:cs="宋体"/>
          <w:color w:val="auto"/>
          <w:sz w:val="21"/>
          <w:szCs w:val="22"/>
        </w:rPr>
        <w:t>附：法定代表人身份证复印件。</w:t>
      </w:r>
    </w:p>
    <w:p>
      <w:pPr>
        <w:pStyle w:val="8"/>
        <w:spacing w:beforeLines="0" w:afterLines="0"/>
        <w:rPr>
          <w:rFonts w:hint="eastAsia" w:ascii="宋体" w:hAnsi="宋体" w:eastAsia="宋体" w:cs="宋体"/>
          <w:color w:val="auto"/>
          <w:sz w:val="20"/>
          <w:szCs w:val="24"/>
        </w:rPr>
      </w:pPr>
    </w:p>
    <w:p>
      <w:pPr>
        <w:pStyle w:val="8"/>
        <w:spacing w:beforeLines="0" w:afterLines="0"/>
        <w:rPr>
          <w:rFonts w:hint="eastAsia" w:ascii="宋体" w:hAnsi="宋体" w:eastAsia="宋体" w:cs="宋体"/>
          <w:color w:val="auto"/>
          <w:sz w:val="20"/>
          <w:szCs w:val="24"/>
        </w:rPr>
      </w:pPr>
    </w:p>
    <w:p>
      <w:pPr>
        <w:pStyle w:val="8"/>
        <w:spacing w:beforeLines="0" w:afterLines="0"/>
        <w:rPr>
          <w:rFonts w:hint="eastAsia" w:ascii="宋体" w:hAnsi="宋体" w:eastAsia="宋体" w:cs="宋体"/>
          <w:color w:val="auto"/>
          <w:sz w:val="20"/>
          <w:szCs w:val="24"/>
        </w:rPr>
      </w:pPr>
    </w:p>
    <w:p>
      <w:pPr>
        <w:pStyle w:val="8"/>
        <w:spacing w:before="9" w:beforeLines="0" w:afterLines="0"/>
        <w:rPr>
          <w:rFonts w:hint="eastAsia" w:ascii="宋体" w:hAnsi="宋体" w:eastAsia="宋体" w:cs="宋体"/>
          <w:color w:val="auto"/>
          <w:sz w:val="19"/>
          <w:szCs w:val="24"/>
        </w:rPr>
      </w:pPr>
    </w:p>
    <w:p>
      <w:pPr>
        <w:pStyle w:val="8"/>
        <w:tabs>
          <w:tab w:val="left" w:pos="6345"/>
        </w:tabs>
        <w:spacing w:beforeLines="0" w:afterLines="0"/>
        <w:ind w:left="3345"/>
        <w:rPr>
          <w:rFonts w:hint="eastAsia"/>
          <w:color w:val="auto"/>
          <w:sz w:val="24"/>
          <w:szCs w:val="24"/>
        </w:rPr>
      </w:pPr>
      <w:r>
        <w:rPr>
          <w:rFonts w:hint="eastAsia" w:ascii="宋体" w:hAnsi="宋体" w:eastAsia="宋体" w:cs="宋体"/>
          <w:color w:val="auto"/>
          <w:sz w:val="24"/>
          <w:szCs w:val="24"/>
        </w:rPr>
        <w:t>投标人：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w:t>
      </w:r>
      <w:r>
        <w:rPr>
          <w:rFonts w:hint="eastAsia" w:ascii="宋体" w:eastAsia="宋体" w:cs="宋体"/>
          <w:color w:val="auto"/>
          <w:sz w:val="24"/>
          <w:szCs w:val="24"/>
          <w:lang w:eastAsia="zh-CN"/>
        </w:rPr>
        <w:t>企业电子章</w:t>
      </w:r>
      <w:r>
        <w:rPr>
          <w:rFonts w:hint="eastAsia" w:ascii="宋体" w:hAnsi="宋体" w:eastAsia="宋体" w:cs="宋体"/>
          <w:color w:val="auto"/>
          <w:sz w:val="24"/>
          <w:szCs w:val="24"/>
        </w:rPr>
        <w:t>）</w:t>
      </w:r>
    </w:p>
    <w:p>
      <w:pPr>
        <w:pStyle w:val="8"/>
        <w:spacing w:line="247" w:lineRule="auto"/>
      </w:pPr>
    </w:p>
    <w:p>
      <w:pPr>
        <w:pStyle w:val="8"/>
        <w:spacing w:line="247" w:lineRule="auto"/>
      </w:pPr>
    </w:p>
    <w:p>
      <w:pPr>
        <w:tabs>
          <w:tab w:val="left" w:pos="6400"/>
        </w:tabs>
        <w:spacing w:before="68" w:line="221" w:lineRule="auto"/>
        <w:ind w:left="5772"/>
        <w:rPr>
          <w:rFonts w:ascii="宋体" w:hAnsi="宋体" w:eastAsia="宋体" w:cs="宋体"/>
          <w:sz w:val="21"/>
          <w:szCs w:val="21"/>
        </w:rPr>
        <w:sectPr>
          <w:footerReference r:id="rId23" w:type="default"/>
          <w:pgSz w:w="11907" w:h="16841"/>
          <w:pgMar w:top="1431" w:right="1090" w:bottom="1216" w:left="1088" w:header="0" w:footer="1055" w:gutter="0"/>
          <w:pgNumType w:fmt="decimal"/>
          <w:cols w:space="720" w:num="1"/>
        </w:sectPr>
      </w:pPr>
      <w:r>
        <w:rPr>
          <w:rFonts w:ascii="宋体" w:hAnsi="宋体" w:eastAsia="宋体" w:cs="宋体"/>
          <w:sz w:val="21"/>
          <w:szCs w:val="21"/>
          <w:u w:val="single" w:color="auto"/>
        </w:rPr>
        <w:tab/>
      </w:r>
      <w:r>
        <w:rPr>
          <w:rFonts w:ascii="宋体" w:hAnsi="宋体" w:eastAsia="宋体" w:cs="宋体"/>
          <w:spacing w:val="-7"/>
          <w:sz w:val="21"/>
          <w:szCs w:val="21"/>
        </w:rPr>
        <w:t>年</w:t>
      </w:r>
      <w:r>
        <w:rPr>
          <w:rFonts w:hint="eastAsia" w:ascii="宋体" w:hAnsi="宋体" w:cs="宋体"/>
          <w:spacing w:val="-7"/>
          <w:sz w:val="21"/>
          <w:szCs w:val="21"/>
          <w:u w:val="single"/>
          <w:lang w:val="en-US" w:eastAsia="zh-CN"/>
        </w:rPr>
        <w:t xml:space="preserve">    </w:t>
      </w:r>
      <w:r>
        <w:rPr>
          <w:rFonts w:ascii="宋体" w:hAnsi="宋体" w:eastAsia="宋体" w:cs="宋体"/>
          <w:spacing w:val="-7"/>
          <w:sz w:val="21"/>
          <w:szCs w:val="21"/>
        </w:rPr>
        <w:t>月</w:t>
      </w:r>
      <w:r>
        <w:rPr>
          <w:rFonts w:hint="eastAsia" w:ascii="宋体" w:hAnsi="宋体" w:cs="宋体"/>
          <w:spacing w:val="-7"/>
          <w:sz w:val="21"/>
          <w:szCs w:val="21"/>
          <w:u w:val="single"/>
          <w:lang w:val="en-US" w:eastAsia="zh-CN"/>
        </w:rPr>
        <w:t xml:space="preserve">     </w:t>
      </w:r>
      <w:r>
        <w:rPr>
          <w:rFonts w:ascii="宋体" w:hAnsi="宋体" w:eastAsia="宋体" w:cs="宋体"/>
          <w:spacing w:val="-7"/>
          <w:sz w:val="21"/>
          <w:szCs w:val="21"/>
        </w:rPr>
        <w:t>日</w:t>
      </w:r>
    </w:p>
    <w:p>
      <w:pPr>
        <w:pStyle w:val="8"/>
        <w:spacing w:line="248" w:lineRule="auto"/>
      </w:pPr>
      <w:bookmarkStart w:id="203" w:name="bookmark51"/>
      <w:bookmarkEnd w:id="203"/>
    </w:p>
    <w:p>
      <w:pPr>
        <w:pStyle w:val="8"/>
        <w:spacing w:line="249" w:lineRule="auto"/>
      </w:pPr>
    </w:p>
    <w:p>
      <w:pPr>
        <w:spacing w:before="69" w:line="222" w:lineRule="auto"/>
        <w:ind w:left="4332"/>
        <w:outlineLvl w:val="2"/>
        <w:rPr>
          <w:rFonts w:ascii="宋体" w:hAnsi="宋体" w:eastAsia="宋体" w:cs="宋体"/>
          <w:sz w:val="21"/>
          <w:szCs w:val="21"/>
        </w:rPr>
      </w:pPr>
      <w:bookmarkStart w:id="204" w:name="bookmark52"/>
      <w:bookmarkEnd w:id="204"/>
      <w:r>
        <w:rPr>
          <w:rFonts w:hint="eastAsia" w:ascii="宋体" w:hAnsi="宋体" w:eastAsia="宋体" w:cs="宋体"/>
          <w:spacing w:val="-3"/>
          <w:sz w:val="21"/>
          <w:szCs w:val="21"/>
          <w:lang w:val="en-US" w:eastAsia="zh-CN"/>
          <w14:textOutline w14:w="3831" w14:cap="flat" w14:cmpd="sng">
            <w14:solidFill>
              <w14:srgbClr w14:val="000000"/>
            </w14:solidFill>
            <w14:prstDash w14:val="solid"/>
            <w14:miter w14:val="0"/>
          </w14:textOutline>
        </w:rPr>
        <w:t>三</w:t>
      </w:r>
      <w:r>
        <w:rPr>
          <w:rFonts w:ascii="宋体" w:hAnsi="宋体" w:eastAsia="宋体" w:cs="宋体"/>
          <w:spacing w:val="-3"/>
          <w:sz w:val="21"/>
          <w:szCs w:val="21"/>
          <w14:textOutline w14:w="3831" w14:cap="flat" w14:cmpd="sng">
            <w14:solidFill>
              <w14:srgbClr w14:val="000000"/>
            </w14:solidFill>
            <w14:prstDash w14:val="solid"/>
            <w14:miter w14:val="0"/>
          </w14:textOutline>
        </w:rPr>
        <w:t>、施工组织设计</w:t>
      </w:r>
    </w:p>
    <w:p>
      <w:pPr>
        <w:pStyle w:val="8"/>
        <w:spacing w:line="410" w:lineRule="auto"/>
      </w:pPr>
    </w:p>
    <w:p>
      <w:pPr>
        <w:spacing w:before="69" w:line="220" w:lineRule="auto"/>
        <w:ind w:left="437"/>
        <w:rPr>
          <w:rFonts w:ascii="宋体" w:hAnsi="宋体" w:eastAsia="宋体" w:cs="宋体"/>
          <w:sz w:val="21"/>
          <w:szCs w:val="21"/>
        </w:rPr>
      </w:pPr>
      <w:r>
        <w:rPr>
          <w:rFonts w:ascii="Times New Roman" w:hAnsi="Times New Roman" w:eastAsia="Times New Roman" w:cs="Times New Roman"/>
          <w:spacing w:val="-8"/>
          <w:sz w:val="21"/>
          <w:szCs w:val="21"/>
        </w:rPr>
        <w:t>1.</w:t>
      </w:r>
      <w:r>
        <w:rPr>
          <w:rFonts w:ascii="宋体" w:hAnsi="宋体" w:eastAsia="宋体" w:cs="宋体"/>
          <w:spacing w:val="-8"/>
          <w:sz w:val="21"/>
          <w:szCs w:val="21"/>
        </w:rPr>
        <w:t>投标人应按评分办法中施工组织设计要求编制施工组织设计（文</w:t>
      </w:r>
      <w:r>
        <w:rPr>
          <w:rFonts w:ascii="宋体" w:hAnsi="宋体" w:eastAsia="宋体" w:cs="宋体"/>
          <w:spacing w:val="-9"/>
          <w:sz w:val="21"/>
          <w:szCs w:val="21"/>
        </w:rPr>
        <w:t>字宜精炼、内容具有针对性</w:t>
      </w:r>
      <w:r>
        <w:rPr>
          <w:rFonts w:ascii="宋体" w:hAnsi="宋体" w:eastAsia="宋体" w:cs="宋体"/>
          <w:spacing w:val="4"/>
          <w:sz w:val="21"/>
          <w:szCs w:val="21"/>
        </w:rPr>
        <w:t>）：</w:t>
      </w:r>
    </w:p>
    <w:p>
      <w:pPr>
        <w:spacing w:before="157" w:line="408" w:lineRule="exact"/>
        <w:jc w:val="right"/>
        <w:rPr>
          <w:rFonts w:ascii="宋体" w:hAnsi="宋体" w:eastAsia="宋体" w:cs="宋体"/>
          <w:sz w:val="21"/>
          <w:szCs w:val="21"/>
        </w:rPr>
      </w:pPr>
      <w:r>
        <w:rPr>
          <w:rFonts w:ascii="Times New Roman" w:hAnsi="Times New Roman" w:eastAsia="Times New Roman" w:cs="Times New Roman"/>
          <w:spacing w:val="-3"/>
          <w:position w:val="15"/>
          <w:sz w:val="21"/>
          <w:szCs w:val="21"/>
        </w:rPr>
        <w:t>2.</w:t>
      </w:r>
      <w:r>
        <w:rPr>
          <w:rFonts w:ascii="宋体" w:hAnsi="宋体" w:eastAsia="宋体" w:cs="宋体"/>
          <w:spacing w:val="-3"/>
          <w:position w:val="15"/>
          <w:sz w:val="21"/>
          <w:szCs w:val="21"/>
        </w:rPr>
        <w:t>施工组织设计除采用文字表述外可附下列图表，图表及格式要求附后（图表格式仅供参考，不作为</w:t>
      </w:r>
    </w:p>
    <w:p>
      <w:pPr>
        <w:spacing w:line="220" w:lineRule="auto"/>
        <w:rPr>
          <w:rFonts w:ascii="宋体" w:hAnsi="宋体" w:eastAsia="宋体" w:cs="宋体"/>
          <w:sz w:val="21"/>
          <w:szCs w:val="21"/>
        </w:rPr>
      </w:pPr>
      <w:r>
        <w:rPr>
          <w:rFonts w:ascii="宋体" w:hAnsi="宋体" w:eastAsia="宋体" w:cs="宋体"/>
          <w:spacing w:val="-4"/>
          <w:sz w:val="21"/>
          <w:szCs w:val="21"/>
        </w:rPr>
        <w:t>废标条件）。</w:t>
      </w:r>
    </w:p>
    <w:p>
      <w:pPr>
        <w:spacing w:before="156" w:line="220" w:lineRule="auto"/>
        <w:ind w:left="1100"/>
        <w:rPr>
          <w:rFonts w:ascii="宋体" w:hAnsi="宋体" w:eastAsia="宋体" w:cs="宋体"/>
          <w:sz w:val="21"/>
          <w:szCs w:val="21"/>
        </w:rPr>
      </w:pPr>
      <w:r>
        <w:rPr>
          <w:rFonts w:ascii="宋体" w:hAnsi="宋体" w:eastAsia="宋体" w:cs="宋体"/>
          <w:spacing w:val="-4"/>
          <w:sz w:val="21"/>
          <w:szCs w:val="21"/>
        </w:rPr>
        <w:t>附表一施工总体计划表</w:t>
      </w:r>
    </w:p>
    <w:p>
      <w:pPr>
        <w:spacing w:before="161" w:line="408" w:lineRule="exact"/>
        <w:ind w:left="1100"/>
        <w:rPr>
          <w:rFonts w:ascii="宋体" w:hAnsi="宋体" w:eastAsia="宋体" w:cs="宋体"/>
          <w:sz w:val="21"/>
          <w:szCs w:val="21"/>
        </w:rPr>
      </w:pPr>
      <w:r>
        <w:rPr>
          <w:rFonts w:ascii="宋体" w:hAnsi="宋体" w:eastAsia="宋体" w:cs="宋体"/>
          <w:spacing w:val="-3"/>
          <w:position w:val="15"/>
          <w:sz w:val="21"/>
          <w:szCs w:val="21"/>
        </w:rPr>
        <w:t>附表二分项工程进度率计划（斜率图）</w:t>
      </w:r>
    </w:p>
    <w:p>
      <w:pPr>
        <w:spacing w:before="1" w:line="219" w:lineRule="auto"/>
        <w:ind w:left="1100"/>
        <w:rPr>
          <w:rFonts w:ascii="宋体" w:hAnsi="宋体" w:eastAsia="宋体" w:cs="宋体"/>
          <w:sz w:val="21"/>
          <w:szCs w:val="21"/>
        </w:rPr>
      </w:pPr>
      <w:r>
        <w:rPr>
          <w:rFonts w:ascii="宋体" w:hAnsi="宋体" w:eastAsia="宋体" w:cs="宋体"/>
          <w:spacing w:val="-4"/>
          <w:sz w:val="21"/>
          <w:szCs w:val="21"/>
        </w:rPr>
        <w:t>附表三工程管理曲线</w:t>
      </w:r>
    </w:p>
    <w:p>
      <w:pPr>
        <w:spacing w:before="158" w:line="220" w:lineRule="auto"/>
        <w:ind w:left="1100"/>
        <w:rPr>
          <w:rFonts w:ascii="宋体" w:hAnsi="宋体" w:eastAsia="宋体" w:cs="宋体"/>
          <w:sz w:val="21"/>
          <w:szCs w:val="21"/>
        </w:rPr>
      </w:pPr>
      <w:r>
        <w:rPr>
          <w:rFonts w:ascii="宋体" w:hAnsi="宋体" w:eastAsia="宋体" w:cs="宋体"/>
          <w:spacing w:val="-3"/>
          <w:sz w:val="21"/>
          <w:szCs w:val="21"/>
        </w:rPr>
        <w:t>附表四分项工程生产率和施工周期表</w:t>
      </w:r>
    </w:p>
    <w:p>
      <w:pPr>
        <w:spacing w:before="158" w:line="220" w:lineRule="auto"/>
        <w:ind w:left="1100"/>
        <w:rPr>
          <w:rFonts w:ascii="宋体" w:hAnsi="宋体" w:eastAsia="宋体" w:cs="宋体"/>
          <w:sz w:val="21"/>
          <w:szCs w:val="21"/>
        </w:rPr>
      </w:pPr>
      <w:r>
        <w:rPr>
          <w:rFonts w:ascii="宋体" w:hAnsi="宋体" w:eastAsia="宋体" w:cs="宋体"/>
          <w:spacing w:val="-4"/>
          <w:sz w:val="21"/>
          <w:szCs w:val="21"/>
        </w:rPr>
        <w:t>附表五施工总平面图</w:t>
      </w:r>
    </w:p>
    <w:p>
      <w:pPr>
        <w:spacing w:before="160" w:line="220" w:lineRule="auto"/>
        <w:ind w:left="1100"/>
        <w:rPr>
          <w:rFonts w:ascii="宋体" w:hAnsi="宋体" w:eastAsia="宋体" w:cs="宋体"/>
          <w:sz w:val="21"/>
          <w:szCs w:val="21"/>
        </w:rPr>
      </w:pPr>
      <w:r>
        <w:rPr>
          <w:rFonts w:ascii="宋体" w:hAnsi="宋体" w:eastAsia="宋体" w:cs="宋体"/>
          <w:spacing w:val="-4"/>
          <w:sz w:val="21"/>
          <w:szCs w:val="21"/>
        </w:rPr>
        <w:t>附表六劳动力计划表</w:t>
      </w:r>
    </w:p>
    <w:p>
      <w:pPr>
        <w:spacing w:before="158" w:line="220" w:lineRule="auto"/>
        <w:ind w:left="1100"/>
        <w:rPr>
          <w:rFonts w:ascii="宋体" w:hAnsi="宋体" w:eastAsia="宋体" w:cs="宋体"/>
          <w:sz w:val="21"/>
          <w:szCs w:val="21"/>
        </w:rPr>
      </w:pPr>
      <w:r>
        <w:rPr>
          <w:rFonts w:ascii="宋体" w:hAnsi="宋体" w:eastAsia="宋体" w:cs="宋体"/>
          <w:spacing w:val="-4"/>
          <w:sz w:val="21"/>
          <w:szCs w:val="21"/>
        </w:rPr>
        <w:t>附表七临时占地计划表</w:t>
      </w:r>
    </w:p>
    <w:p>
      <w:pPr>
        <w:spacing w:before="157" w:line="220" w:lineRule="auto"/>
        <w:ind w:left="1100"/>
        <w:rPr>
          <w:rFonts w:ascii="宋体" w:hAnsi="宋体" w:eastAsia="宋体" w:cs="宋体"/>
          <w:sz w:val="21"/>
          <w:szCs w:val="21"/>
        </w:rPr>
        <w:sectPr>
          <w:footerReference r:id="rId24" w:type="default"/>
          <w:pgSz w:w="11907" w:h="16841"/>
          <w:pgMar w:top="1431" w:right="1136" w:bottom="1216" w:left="1087" w:header="0" w:footer="1055" w:gutter="0"/>
          <w:pgNumType w:fmt="decimal"/>
          <w:cols w:space="720" w:num="1"/>
        </w:sectPr>
      </w:pPr>
      <w:r>
        <w:rPr>
          <w:rFonts w:ascii="宋体" w:hAnsi="宋体" w:eastAsia="宋体" w:cs="宋体"/>
          <w:spacing w:val="-3"/>
          <w:sz w:val="21"/>
          <w:szCs w:val="21"/>
        </w:rPr>
        <w:t>附表八外供电力需求计划表</w:t>
      </w:r>
    </w:p>
    <w:p>
      <w:pPr>
        <w:pStyle w:val="8"/>
        <w:spacing w:line="243" w:lineRule="auto"/>
      </w:pPr>
    </w:p>
    <w:p>
      <w:pPr>
        <w:spacing w:before="68" w:line="220" w:lineRule="auto"/>
        <w:ind w:left="262"/>
        <w:rPr>
          <w:rFonts w:hint="default" w:ascii="宋体" w:hAnsi="宋体" w:eastAsia="宋体" w:cs="宋体"/>
          <w:sz w:val="21"/>
          <w:szCs w:val="21"/>
          <w:lang w:val="en-US" w:eastAsia="zh-CN"/>
        </w:rPr>
      </w:pPr>
      <w:r>
        <w:rPr>
          <w:rFonts w:ascii="宋体" w:hAnsi="宋体" w:eastAsia="宋体" w:cs="宋体"/>
          <w:spacing w:val="-1"/>
          <w:sz w:val="21"/>
          <w:szCs w:val="21"/>
          <w14:textOutline w14:w="3831" w14:cap="flat" w14:cmpd="sng">
            <w14:solidFill>
              <w14:srgbClr w14:val="000000"/>
            </w14:solidFill>
            <w14:prstDash w14:val="solid"/>
            <w14:miter w14:val="0"/>
          </w14:textOutline>
        </w:rPr>
        <w:t>附表一施工总体计划表</w:t>
      </w:r>
      <w:r>
        <w:rPr>
          <w:rFonts w:hint="eastAsia" w:ascii="宋体" w:hAnsi="宋体" w:eastAsia="宋体" w:cs="宋体"/>
          <w:spacing w:val="-1"/>
          <w:sz w:val="21"/>
          <w:szCs w:val="21"/>
          <w:lang w:eastAsia="zh-CN"/>
          <w14:textOutline w14:w="3831" w14:cap="flat" w14:cmpd="sng">
            <w14:solidFill>
              <w14:srgbClr w14:val="000000"/>
            </w14:solidFill>
            <w14:prstDash w14:val="solid"/>
            <w14:miter w14:val="0"/>
          </w14:textOutline>
        </w:rPr>
        <w:t>（</w:t>
      </w:r>
      <w:r>
        <w:rPr>
          <w:rFonts w:hint="eastAsia" w:ascii="宋体" w:hAnsi="宋体" w:eastAsia="宋体" w:cs="宋体"/>
          <w:spacing w:val="-1"/>
          <w:sz w:val="21"/>
          <w:szCs w:val="21"/>
          <w:lang w:val="en-US" w:eastAsia="zh-CN"/>
          <w14:textOutline w14:w="3831" w14:cap="flat" w14:cmpd="sng">
            <w14:solidFill>
              <w14:srgbClr w14:val="000000"/>
            </w14:solidFill>
            <w14:prstDash w14:val="solid"/>
            <w14:miter w14:val="0"/>
          </w14:textOutline>
        </w:rPr>
        <w:t>参考）</w:t>
      </w:r>
    </w:p>
    <w:p>
      <w:pPr>
        <w:spacing w:before="29"/>
      </w:pPr>
    </w:p>
    <w:p>
      <w:pPr>
        <w:spacing w:before="28"/>
      </w:pPr>
    </w:p>
    <w:tbl>
      <w:tblPr>
        <w:tblStyle w:val="68"/>
        <w:tblW w:w="1440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33"/>
        <w:gridCol w:w="422"/>
        <w:gridCol w:w="425"/>
        <w:gridCol w:w="425"/>
        <w:gridCol w:w="425"/>
        <w:gridCol w:w="425"/>
        <w:gridCol w:w="425"/>
        <w:gridCol w:w="422"/>
        <w:gridCol w:w="425"/>
        <w:gridCol w:w="425"/>
        <w:gridCol w:w="425"/>
        <w:gridCol w:w="425"/>
        <w:gridCol w:w="422"/>
        <w:gridCol w:w="425"/>
        <w:gridCol w:w="425"/>
        <w:gridCol w:w="425"/>
        <w:gridCol w:w="425"/>
        <w:gridCol w:w="425"/>
        <w:gridCol w:w="422"/>
        <w:gridCol w:w="425"/>
        <w:gridCol w:w="424"/>
        <w:gridCol w:w="427"/>
        <w:gridCol w:w="425"/>
        <w:gridCol w:w="420"/>
        <w:gridCol w:w="427"/>
        <w:gridCol w:w="357"/>
        <w:gridCol w:w="357"/>
        <w:gridCol w:w="357"/>
        <w:gridCol w:w="357"/>
        <w:gridCol w:w="3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2433" w:type="dxa"/>
            <w:vAlign w:val="top"/>
          </w:tcPr>
          <w:p>
            <w:pPr>
              <w:pStyle w:val="72"/>
              <w:keepNext w:val="0"/>
              <w:keepLines w:val="0"/>
              <w:suppressLineNumbers w:val="0"/>
              <w:spacing w:before="105" w:beforeAutospacing="0" w:after="0" w:afterAutospacing="0" w:line="221" w:lineRule="auto"/>
              <w:ind w:left="728" w:right="0"/>
              <w:rPr>
                <w:rFonts w:hint="default"/>
              </w:rPr>
            </w:pPr>
            <w:r>
              <w:rPr>
                <w:rFonts w:hint="default"/>
                <w:spacing w:val="-11"/>
              </w:rPr>
              <w:t>年度</w:t>
            </w:r>
          </w:p>
        </w:tc>
        <w:tc>
          <w:tcPr>
            <w:tcW w:w="2547" w:type="dxa"/>
            <w:gridSpan w:val="6"/>
            <w:tcBorders>
              <w:right w:val="nil"/>
            </w:tcBorders>
            <w:vAlign w:val="top"/>
          </w:tcPr>
          <w:p>
            <w:pPr>
              <w:keepNext w:val="0"/>
              <w:keepLines w:val="0"/>
              <w:suppressLineNumbers w:val="0"/>
              <w:spacing w:before="0" w:beforeAutospacing="0" w:after="0" w:afterAutospacing="0"/>
              <w:ind w:left="0" w:right="0"/>
              <w:rPr>
                <w:rFonts w:hint="default" w:ascii="Arial"/>
                <w:sz w:val="21"/>
              </w:rPr>
            </w:pPr>
            <w:r>
              <w:rPr>
                <w:rFonts w:hint="default"/>
              </w:rPr>
              <mc:AlternateContent>
                <mc:Choice Requires="wps">
                  <w:drawing>
                    <wp:anchor distT="0" distB="0" distL="114300" distR="114300" simplePos="0" relativeHeight="251668480" behindDoc="0" locked="0" layoutInCell="1" allowOverlap="1">
                      <wp:simplePos x="0" y="0"/>
                      <wp:positionH relativeFrom="rightMargin">
                        <wp:posOffset>-227965</wp:posOffset>
                      </wp:positionH>
                      <wp:positionV relativeFrom="topMargin">
                        <wp:posOffset>197485</wp:posOffset>
                      </wp:positionV>
                      <wp:extent cx="318770" cy="6350"/>
                      <wp:effectExtent l="0" t="0" r="0" b="0"/>
                      <wp:wrapNone/>
                      <wp:docPr id="39" name="矩形 39"/>
                      <wp:cNvGraphicFramePr/>
                      <a:graphic xmlns:a="http://schemas.openxmlformats.org/drawingml/2006/main">
                        <a:graphicData uri="http://schemas.microsoft.com/office/word/2010/wordprocessingShape">
                          <wps:wsp>
                            <wps:cNvSpPr/>
                            <wps:spPr>
                              <a:xfrm>
                                <a:off x="0" y="0"/>
                                <a:ext cx="318770" cy="635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109.4pt;margin-top:15.8pt;height:0.5pt;width:25.1pt;mso-position-horizontal-relative:page;mso-position-vertical-relative:page;z-index:251668480;mso-width-relative:page;mso-height-relative:page;" fillcolor="#000000" filled="t" stroked="f" coordsize="21600,21600" o:gfxdata="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MgDV&#10;btgAAAAIAQAADwAAAAAAAAABACAAAAAiAAAAZHJzL2Rvd25yZXYueG1sUEsBAhQAFAAAAAgAh07i&#10;QGez0wiwAQAAXgMAAA4AAAAAAAAAAQAgAAAAJwEAAGRycy9lMm9Eb2MueG1sUEsFBgAAAAAGAAYA&#10;WQEAAEkFAAAAAA==&#10;">
                      <v:fill on="t" focussize="0,0"/>
                      <v:stroke on="f"/>
                      <v:imagedata o:title=""/>
                      <o:lock v:ext="edit" aspectratio="f"/>
                    </v:rect>
                  </w:pict>
                </mc:Fallback>
              </mc:AlternateContent>
            </w:r>
          </w:p>
        </w:tc>
        <w:tc>
          <w:tcPr>
            <w:tcW w:w="2544" w:type="dxa"/>
            <w:gridSpan w:val="6"/>
            <w:tcBorders>
              <w:left w:val="nil"/>
            </w:tcBorders>
            <w:vAlign w:val="top"/>
          </w:tcPr>
          <w:p>
            <w:pPr>
              <w:pStyle w:val="72"/>
              <w:keepNext w:val="0"/>
              <w:keepLines w:val="0"/>
              <w:suppressLineNumbers w:val="0"/>
              <w:spacing w:before="105" w:beforeAutospacing="0" w:after="0" w:afterAutospacing="0" w:line="221" w:lineRule="auto"/>
              <w:ind w:left="151" w:right="0"/>
              <w:rPr>
                <w:rFonts w:hint="default"/>
              </w:rPr>
            </w:pPr>
            <w:r>
              <w:rPr>
                <w:rFonts w:hint="default"/>
              </w:rPr>
              <w:t>年</w:t>
            </w:r>
          </w:p>
        </w:tc>
        <w:tc>
          <w:tcPr>
            <w:tcW w:w="2547" w:type="dxa"/>
            <w:gridSpan w:val="6"/>
            <w:tcBorders>
              <w:right w:val="nil"/>
            </w:tcBorders>
            <w:vAlign w:val="top"/>
          </w:tcPr>
          <w:p>
            <w:pPr>
              <w:keepNext w:val="0"/>
              <w:keepLines w:val="0"/>
              <w:suppressLineNumbers w:val="0"/>
              <w:spacing w:before="0" w:beforeAutospacing="0" w:after="0" w:afterAutospacing="0"/>
              <w:ind w:left="0" w:right="0"/>
              <w:rPr>
                <w:rFonts w:hint="default" w:ascii="Arial"/>
                <w:sz w:val="21"/>
              </w:rPr>
            </w:pPr>
            <w:r>
              <w:rPr>
                <w:rFonts w:hint="default"/>
              </w:rPr>
              <mc:AlternateContent>
                <mc:Choice Requires="wps">
                  <w:drawing>
                    <wp:anchor distT="0" distB="0" distL="114300" distR="114300" simplePos="0" relativeHeight="251667456" behindDoc="0" locked="0" layoutInCell="1" allowOverlap="1">
                      <wp:simplePos x="0" y="0"/>
                      <wp:positionH relativeFrom="rightMargin">
                        <wp:posOffset>-226060</wp:posOffset>
                      </wp:positionH>
                      <wp:positionV relativeFrom="topMargin">
                        <wp:posOffset>197485</wp:posOffset>
                      </wp:positionV>
                      <wp:extent cx="318770" cy="6350"/>
                      <wp:effectExtent l="0" t="0" r="0" b="0"/>
                      <wp:wrapNone/>
                      <wp:docPr id="32" name="矩形 32"/>
                      <wp:cNvGraphicFramePr/>
                      <a:graphic xmlns:a="http://schemas.openxmlformats.org/drawingml/2006/main">
                        <a:graphicData uri="http://schemas.microsoft.com/office/word/2010/wordprocessingShape">
                          <wps:wsp>
                            <wps:cNvSpPr/>
                            <wps:spPr>
                              <a:xfrm>
                                <a:off x="0" y="0"/>
                                <a:ext cx="318770" cy="635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109.55pt;margin-top:15.8pt;height:0.5pt;width:25.1pt;mso-position-horizontal-relative:page;mso-position-vertical-relative:page;z-index:251667456;mso-width-relative:page;mso-height-relative:page;" fillcolor="#000000" filled="t" stroked="f" coordsize="21600,21600" o:gfxdata="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0LHjrW&#10;AAAACAEAAA8AAAAAAAAAAQAgAAAAIgAAAGRycy9kb3ducmV2LnhtbFBLAQIUABQAAAAIAIdO4kAS&#10;vWq0sAEAAF4DAAAOAAAAAAAAAAEAIAAAACUBAABkcnMvZTJvRG9jLnhtbFBLBQYAAAAABgAGAFkB&#10;AABHBQAAAAA=&#10;">
                      <v:fill on="t" focussize="0,0"/>
                      <v:stroke on="f"/>
                      <v:imagedata o:title=""/>
                      <o:lock v:ext="edit" aspectratio="f"/>
                    </v:rect>
                  </w:pict>
                </mc:Fallback>
              </mc:AlternateContent>
            </w:r>
          </w:p>
        </w:tc>
        <w:tc>
          <w:tcPr>
            <w:tcW w:w="2548" w:type="dxa"/>
            <w:gridSpan w:val="6"/>
            <w:tcBorders>
              <w:left w:val="nil"/>
            </w:tcBorders>
            <w:vAlign w:val="top"/>
          </w:tcPr>
          <w:p>
            <w:pPr>
              <w:pStyle w:val="72"/>
              <w:keepNext w:val="0"/>
              <w:keepLines w:val="0"/>
              <w:suppressLineNumbers w:val="0"/>
              <w:spacing w:before="105" w:beforeAutospacing="0" w:after="0" w:afterAutospacing="0" w:line="221" w:lineRule="auto"/>
              <w:ind w:left="154" w:right="0"/>
              <w:rPr>
                <w:rFonts w:hint="default"/>
              </w:rPr>
            </w:pPr>
            <w:r>
              <w:rPr>
                <w:rFonts w:hint="default"/>
              </w:rPr>
              <w:t>年</w:t>
            </w:r>
          </w:p>
        </w:tc>
        <w:tc>
          <w:tcPr>
            <w:tcW w:w="1788" w:type="dxa"/>
            <w:gridSpan w:val="5"/>
            <w:vAlign w:val="top"/>
          </w:tcPr>
          <w:p>
            <w:pPr>
              <w:pStyle w:val="72"/>
              <w:keepNext w:val="0"/>
              <w:keepLines w:val="0"/>
              <w:suppressLineNumbers w:val="0"/>
              <w:tabs>
                <w:tab w:val="left" w:pos="1040"/>
              </w:tabs>
              <w:spacing w:before="105" w:beforeAutospacing="0" w:after="0" w:afterAutospacing="0" w:line="221" w:lineRule="auto"/>
              <w:ind w:left="540" w:right="0"/>
              <w:rPr>
                <w:rFonts w:hint="default"/>
              </w:rPr>
            </w:pPr>
            <w:r>
              <w:rPr>
                <w:rFonts w:hint="default"/>
                <w:u w:val="single" w:color="auto"/>
              </w:rPr>
              <w:tab/>
            </w:r>
            <w:r>
              <w:rPr>
                <w:rFonts w:hint="default"/>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2433" w:type="dxa"/>
            <w:vAlign w:val="top"/>
          </w:tcPr>
          <w:p>
            <w:pPr>
              <w:pStyle w:val="72"/>
              <w:keepNext w:val="0"/>
              <w:keepLines w:val="0"/>
              <w:suppressLineNumbers w:val="0"/>
              <w:spacing w:before="99" w:beforeAutospacing="0" w:after="0" w:afterAutospacing="0" w:line="221" w:lineRule="auto"/>
              <w:ind w:left="1967" w:right="0"/>
              <w:rPr>
                <w:rFonts w:hint="default"/>
              </w:rPr>
            </w:pPr>
            <w:r>
              <w:rPr>
                <w:rFonts w:hint="default"/>
              </w:rPr>
              <mc:AlternateContent>
                <mc:Choice Requires="wps">
                  <w:drawing>
                    <wp:anchor distT="0" distB="0" distL="114300" distR="114300" simplePos="0" relativeHeight="251666432" behindDoc="1" locked="0" layoutInCell="1" allowOverlap="1">
                      <wp:simplePos x="0" y="0"/>
                      <wp:positionH relativeFrom="column">
                        <wp:posOffset>-3175</wp:posOffset>
                      </wp:positionH>
                      <wp:positionV relativeFrom="paragraph">
                        <wp:posOffset>-26035</wp:posOffset>
                      </wp:positionV>
                      <wp:extent cx="1541145" cy="438785"/>
                      <wp:effectExtent l="0" t="0" r="2540" b="3810"/>
                      <wp:wrapNone/>
                      <wp:docPr id="35" name="任意多边形 35"/>
                      <wp:cNvGraphicFramePr/>
                      <a:graphic xmlns:a="http://schemas.openxmlformats.org/drawingml/2006/main">
                        <a:graphicData uri="http://schemas.microsoft.com/office/word/2010/wordprocessingShape">
                          <wps:wsp>
                            <wps:cNvSpPr/>
                            <wps:spPr>
                              <a:xfrm>
                                <a:off x="0" y="0"/>
                                <a:ext cx="1541145" cy="438785"/>
                              </a:xfrm>
                              <a:custGeom>
                                <a:avLst/>
                                <a:gdLst/>
                                <a:ahLst/>
                                <a:cxnLst/>
                                <a:pathLst>
                                  <a:path w="2426" h="690">
                                    <a:moveTo>
                                      <a:pt x="2" y="7"/>
                                    </a:moveTo>
                                    <a:lnTo>
                                      <a:pt x="2424" y="683"/>
                                    </a:ln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0.25pt;margin-top:-2.05pt;height:34.55pt;width:121.35pt;z-index:-251650048;mso-width-relative:page;mso-height-relative:page;" filled="f" stroked="t" coordsize="2426,690" o:gfxdata="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ZNdrbXAAAABwEAAA8AAAAAAAAAAQAgAAAAIgAA&#10;AGRycy9kb3ducmV2LnhtbFBLAQIUABQAAAAIAIdO4kBUWlzIQgIAAJMEAAAOAAAAAAAAAAEAIAAA&#10;ACYBAABkcnMvZTJvRG9jLnhtbFBLBQYAAAAABgAGAFkBAADaBQAAAAA=&#10;" path="m2,7l2424,683e">
                      <v:fill on="f" focussize="0,0"/>
                      <v:stroke color="#000000" joinstyle="round"/>
                      <v:imagedata o:title=""/>
                      <o:lock v:ext="edit" aspectratio="f"/>
                    </v:shape>
                  </w:pict>
                </mc:Fallback>
              </mc:AlternateContent>
            </w:r>
            <w:r>
              <w:rPr>
                <w:rFonts w:hint="default"/>
                <w:spacing w:val="-3"/>
              </w:rPr>
              <w:t>月份</w:t>
            </w:r>
          </w:p>
          <w:p>
            <w:pPr>
              <w:pStyle w:val="72"/>
              <w:keepNext w:val="0"/>
              <w:keepLines w:val="0"/>
              <w:suppressLineNumbers w:val="0"/>
              <w:spacing w:before="21" w:beforeAutospacing="0" w:after="0" w:afterAutospacing="0" w:line="221" w:lineRule="auto"/>
              <w:ind w:left="73" w:right="0"/>
              <w:rPr>
                <w:rFonts w:hint="default"/>
              </w:rPr>
            </w:pPr>
            <w:r>
              <w:rPr>
                <w:rFonts w:hint="default"/>
                <w:spacing w:val="-12"/>
              </w:rPr>
              <w:t>主要工程项目</w:t>
            </w:r>
          </w:p>
        </w:tc>
        <w:tc>
          <w:tcPr>
            <w:tcW w:w="422" w:type="dxa"/>
            <w:vAlign w:val="top"/>
          </w:tcPr>
          <w:p>
            <w:pPr>
              <w:keepNext w:val="0"/>
              <w:keepLines w:val="0"/>
              <w:suppressLineNumbers w:val="0"/>
              <w:spacing w:before="0" w:beforeAutospacing="0" w:after="0" w:afterAutospacing="0" w:line="268" w:lineRule="auto"/>
              <w:ind w:left="0" w:right="0"/>
              <w:rPr>
                <w:rFonts w:hint="default" w:ascii="Arial"/>
                <w:sz w:val="21"/>
              </w:rPr>
            </w:pPr>
          </w:p>
          <w:p>
            <w:pPr>
              <w:keepNext w:val="0"/>
              <w:keepLines w:val="0"/>
              <w:suppressLineNumbers w:val="0"/>
              <w:spacing w:before="61" w:beforeAutospacing="0" w:after="0" w:afterAutospacing="0" w:line="187" w:lineRule="auto"/>
              <w:ind w:left="178" w:right="0"/>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1</w:t>
            </w:r>
          </w:p>
        </w:tc>
        <w:tc>
          <w:tcPr>
            <w:tcW w:w="425" w:type="dxa"/>
            <w:vAlign w:val="top"/>
          </w:tcPr>
          <w:p>
            <w:pPr>
              <w:keepNext w:val="0"/>
              <w:keepLines w:val="0"/>
              <w:suppressLineNumbers w:val="0"/>
              <w:spacing w:before="0" w:beforeAutospacing="0" w:after="0" w:afterAutospacing="0" w:line="268" w:lineRule="auto"/>
              <w:ind w:left="0" w:right="0"/>
              <w:rPr>
                <w:rFonts w:hint="default" w:ascii="Arial"/>
                <w:sz w:val="21"/>
              </w:rPr>
            </w:pPr>
          </w:p>
          <w:p>
            <w:pPr>
              <w:keepNext w:val="0"/>
              <w:keepLines w:val="0"/>
              <w:suppressLineNumbers w:val="0"/>
              <w:spacing w:before="61" w:beforeAutospacing="0" w:after="0" w:afterAutospacing="0" w:line="187" w:lineRule="auto"/>
              <w:ind w:left="161" w:right="0"/>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2</w:t>
            </w:r>
          </w:p>
        </w:tc>
        <w:tc>
          <w:tcPr>
            <w:tcW w:w="425" w:type="dxa"/>
            <w:vAlign w:val="top"/>
          </w:tcPr>
          <w:p>
            <w:pPr>
              <w:keepNext w:val="0"/>
              <w:keepLines w:val="0"/>
              <w:suppressLineNumbers w:val="0"/>
              <w:spacing w:before="0" w:beforeAutospacing="0" w:after="0" w:afterAutospacing="0" w:line="268" w:lineRule="auto"/>
              <w:ind w:left="0" w:right="0"/>
              <w:rPr>
                <w:rFonts w:hint="default" w:ascii="Arial"/>
                <w:sz w:val="21"/>
              </w:rPr>
            </w:pPr>
          </w:p>
          <w:p>
            <w:pPr>
              <w:keepNext w:val="0"/>
              <w:keepLines w:val="0"/>
              <w:suppressLineNumbers w:val="0"/>
              <w:spacing w:before="60" w:beforeAutospacing="0" w:after="0" w:afterAutospacing="0" w:line="187" w:lineRule="auto"/>
              <w:ind w:left="163" w:right="0"/>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3</w:t>
            </w:r>
          </w:p>
        </w:tc>
        <w:tc>
          <w:tcPr>
            <w:tcW w:w="425" w:type="dxa"/>
            <w:vAlign w:val="top"/>
          </w:tcPr>
          <w:p>
            <w:pPr>
              <w:keepNext w:val="0"/>
              <w:keepLines w:val="0"/>
              <w:suppressLineNumbers w:val="0"/>
              <w:spacing w:before="0" w:beforeAutospacing="0" w:after="0" w:afterAutospacing="0" w:line="268" w:lineRule="auto"/>
              <w:ind w:left="0" w:right="0"/>
              <w:rPr>
                <w:rFonts w:hint="default" w:ascii="Arial"/>
                <w:sz w:val="21"/>
              </w:rPr>
            </w:pPr>
          </w:p>
          <w:p>
            <w:pPr>
              <w:keepNext w:val="0"/>
              <w:keepLines w:val="0"/>
              <w:suppressLineNumbers w:val="0"/>
              <w:spacing w:before="61" w:beforeAutospacing="0" w:after="0" w:afterAutospacing="0" w:line="187" w:lineRule="auto"/>
              <w:ind w:left="158" w:right="0"/>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4</w:t>
            </w:r>
          </w:p>
        </w:tc>
        <w:tc>
          <w:tcPr>
            <w:tcW w:w="425" w:type="dxa"/>
            <w:vAlign w:val="top"/>
          </w:tcPr>
          <w:p>
            <w:pPr>
              <w:keepNext w:val="0"/>
              <w:keepLines w:val="0"/>
              <w:suppressLineNumbers w:val="0"/>
              <w:spacing w:before="0" w:beforeAutospacing="0" w:after="0" w:afterAutospacing="0" w:line="271" w:lineRule="auto"/>
              <w:ind w:left="0" w:right="0"/>
              <w:rPr>
                <w:rFonts w:hint="default" w:ascii="Arial"/>
                <w:sz w:val="21"/>
              </w:rPr>
            </w:pPr>
          </w:p>
          <w:p>
            <w:pPr>
              <w:keepNext w:val="0"/>
              <w:keepLines w:val="0"/>
              <w:suppressLineNumbers w:val="0"/>
              <w:spacing w:before="60" w:beforeAutospacing="0" w:after="0" w:afterAutospacing="0" w:line="184" w:lineRule="auto"/>
              <w:ind w:left="164" w:right="0"/>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5</w:t>
            </w:r>
          </w:p>
        </w:tc>
        <w:tc>
          <w:tcPr>
            <w:tcW w:w="425" w:type="dxa"/>
            <w:vAlign w:val="top"/>
          </w:tcPr>
          <w:p>
            <w:pPr>
              <w:keepNext w:val="0"/>
              <w:keepLines w:val="0"/>
              <w:suppressLineNumbers w:val="0"/>
              <w:spacing w:before="0" w:beforeAutospacing="0" w:after="0" w:afterAutospacing="0" w:line="268" w:lineRule="auto"/>
              <w:ind w:left="0" w:right="0"/>
              <w:rPr>
                <w:rFonts w:hint="default" w:ascii="Arial"/>
                <w:sz w:val="21"/>
              </w:rPr>
            </w:pPr>
          </w:p>
          <w:p>
            <w:pPr>
              <w:keepNext w:val="0"/>
              <w:keepLines w:val="0"/>
              <w:suppressLineNumbers w:val="0"/>
              <w:spacing w:before="60" w:beforeAutospacing="0" w:after="0" w:afterAutospacing="0" w:line="187" w:lineRule="auto"/>
              <w:ind w:left="163" w:right="0"/>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6</w:t>
            </w:r>
          </w:p>
        </w:tc>
        <w:tc>
          <w:tcPr>
            <w:tcW w:w="422" w:type="dxa"/>
            <w:vAlign w:val="top"/>
          </w:tcPr>
          <w:p>
            <w:pPr>
              <w:keepNext w:val="0"/>
              <w:keepLines w:val="0"/>
              <w:suppressLineNumbers w:val="0"/>
              <w:spacing w:before="0" w:beforeAutospacing="0" w:after="0" w:afterAutospacing="0" w:line="271" w:lineRule="auto"/>
              <w:ind w:left="0" w:right="0"/>
              <w:rPr>
                <w:rFonts w:hint="default" w:ascii="Arial"/>
                <w:sz w:val="21"/>
              </w:rPr>
            </w:pPr>
          </w:p>
          <w:p>
            <w:pPr>
              <w:keepNext w:val="0"/>
              <w:keepLines w:val="0"/>
              <w:suppressLineNumbers w:val="0"/>
              <w:spacing w:before="60" w:beforeAutospacing="0" w:after="0" w:afterAutospacing="0" w:line="184" w:lineRule="auto"/>
              <w:ind w:left="162" w:right="0"/>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7</w:t>
            </w:r>
          </w:p>
        </w:tc>
        <w:tc>
          <w:tcPr>
            <w:tcW w:w="425" w:type="dxa"/>
            <w:vAlign w:val="top"/>
          </w:tcPr>
          <w:p>
            <w:pPr>
              <w:keepNext w:val="0"/>
              <w:keepLines w:val="0"/>
              <w:suppressLineNumbers w:val="0"/>
              <w:spacing w:before="0" w:beforeAutospacing="0" w:after="0" w:afterAutospacing="0" w:line="268" w:lineRule="auto"/>
              <w:ind w:left="0" w:right="0"/>
              <w:rPr>
                <w:rFonts w:hint="default" w:ascii="Arial"/>
                <w:sz w:val="21"/>
              </w:rPr>
            </w:pPr>
          </w:p>
          <w:p>
            <w:pPr>
              <w:keepNext w:val="0"/>
              <w:keepLines w:val="0"/>
              <w:suppressLineNumbers w:val="0"/>
              <w:spacing w:before="60" w:beforeAutospacing="0" w:after="0" w:afterAutospacing="0" w:line="187" w:lineRule="auto"/>
              <w:ind w:left="167" w:right="0"/>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8</w:t>
            </w:r>
          </w:p>
        </w:tc>
        <w:tc>
          <w:tcPr>
            <w:tcW w:w="425" w:type="dxa"/>
            <w:vAlign w:val="top"/>
          </w:tcPr>
          <w:p>
            <w:pPr>
              <w:keepNext w:val="0"/>
              <w:keepLines w:val="0"/>
              <w:suppressLineNumbers w:val="0"/>
              <w:spacing w:before="0" w:beforeAutospacing="0" w:after="0" w:afterAutospacing="0" w:line="268" w:lineRule="auto"/>
              <w:ind w:left="0" w:right="0"/>
              <w:rPr>
                <w:rFonts w:hint="default" w:ascii="Arial"/>
                <w:sz w:val="21"/>
              </w:rPr>
            </w:pPr>
          </w:p>
          <w:p>
            <w:pPr>
              <w:keepNext w:val="0"/>
              <w:keepLines w:val="0"/>
              <w:suppressLineNumbers w:val="0"/>
              <w:spacing w:before="60" w:beforeAutospacing="0" w:after="0" w:afterAutospacing="0" w:line="187" w:lineRule="auto"/>
              <w:ind w:left="162" w:right="0"/>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9</w:t>
            </w:r>
          </w:p>
        </w:tc>
        <w:tc>
          <w:tcPr>
            <w:tcW w:w="425" w:type="dxa"/>
            <w:vAlign w:val="top"/>
          </w:tcPr>
          <w:p>
            <w:pPr>
              <w:keepNext w:val="0"/>
              <w:keepLines w:val="0"/>
              <w:suppressLineNumbers w:val="0"/>
              <w:spacing w:before="0" w:beforeAutospacing="0" w:after="0" w:afterAutospacing="0" w:line="268" w:lineRule="auto"/>
              <w:ind w:left="0" w:right="0"/>
              <w:rPr>
                <w:rFonts w:hint="default" w:ascii="Arial"/>
                <w:sz w:val="21"/>
              </w:rPr>
            </w:pPr>
          </w:p>
          <w:p>
            <w:pPr>
              <w:keepNext w:val="0"/>
              <w:keepLines w:val="0"/>
              <w:suppressLineNumbers w:val="0"/>
              <w:spacing w:before="60" w:beforeAutospacing="0" w:after="0" w:afterAutospacing="0" w:line="187" w:lineRule="auto"/>
              <w:ind w:left="131" w:right="0"/>
              <w:rPr>
                <w:rFonts w:hint="default" w:ascii="Times New Roman" w:hAnsi="Times New Roman" w:eastAsia="Times New Roman" w:cs="Times New Roman"/>
                <w:sz w:val="21"/>
                <w:szCs w:val="21"/>
              </w:rPr>
            </w:pPr>
            <w:r>
              <w:rPr>
                <w:rFonts w:hint="default" w:ascii="Times New Roman" w:hAnsi="Times New Roman" w:eastAsia="Times New Roman" w:cs="Times New Roman"/>
                <w:spacing w:val="-6"/>
                <w:sz w:val="21"/>
                <w:szCs w:val="21"/>
              </w:rPr>
              <w:t>10</w:t>
            </w:r>
          </w:p>
        </w:tc>
        <w:tc>
          <w:tcPr>
            <w:tcW w:w="425" w:type="dxa"/>
            <w:vAlign w:val="top"/>
          </w:tcPr>
          <w:p>
            <w:pPr>
              <w:keepNext w:val="0"/>
              <w:keepLines w:val="0"/>
              <w:suppressLineNumbers w:val="0"/>
              <w:spacing w:before="0" w:beforeAutospacing="0" w:after="0" w:afterAutospacing="0" w:line="268" w:lineRule="auto"/>
              <w:ind w:left="0" w:right="0"/>
              <w:rPr>
                <w:rFonts w:hint="default" w:ascii="Arial"/>
                <w:sz w:val="21"/>
              </w:rPr>
            </w:pPr>
          </w:p>
          <w:p>
            <w:pPr>
              <w:keepNext w:val="0"/>
              <w:keepLines w:val="0"/>
              <w:suppressLineNumbers w:val="0"/>
              <w:spacing w:before="61" w:beforeAutospacing="0" w:after="0" w:afterAutospacing="0" w:line="187" w:lineRule="auto"/>
              <w:ind w:left="136" w:right="0"/>
              <w:rPr>
                <w:rFonts w:hint="default" w:ascii="Times New Roman" w:hAnsi="Times New Roman" w:eastAsia="Times New Roman" w:cs="Times New Roman"/>
                <w:sz w:val="21"/>
                <w:szCs w:val="21"/>
              </w:rPr>
            </w:pPr>
            <w:r>
              <w:rPr>
                <w:rFonts w:hint="default" w:ascii="Times New Roman" w:hAnsi="Times New Roman" w:eastAsia="Times New Roman" w:cs="Times New Roman"/>
                <w:spacing w:val="-8"/>
                <w:sz w:val="21"/>
                <w:szCs w:val="21"/>
              </w:rPr>
              <w:t>11</w:t>
            </w:r>
          </w:p>
        </w:tc>
        <w:tc>
          <w:tcPr>
            <w:tcW w:w="422" w:type="dxa"/>
            <w:vAlign w:val="top"/>
          </w:tcPr>
          <w:p>
            <w:pPr>
              <w:keepNext w:val="0"/>
              <w:keepLines w:val="0"/>
              <w:suppressLineNumbers w:val="0"/>
              <w:spacing w:before="0" w:beforeAutospacing="0" w:after="0" w:afterAutospacing="0" w:line="268" w:lineRule="auto"/>
              <w:ind w:left="0" w:right="0"/>
              <w:rPr>
                <w:rFonts w:hint="default" w:ascii="Arial"/>
                <w:sz w:val="21"/>
              </w:rPr>
            </w:pPr>
          </w:p>
          <w:p>
            <w:pPr>
              <w:keepNext w:val="0"/>
              <w:keepLines w:val="0"/>
              <w:suppressLineNumbers w:val="0"/>
              <w:spacing w:before="61" w:beforeAutospacing="0" w:after="0" w:afterAutospacing="0" w:line="187" w:lineRule="auto"/>
              <w:ind w:left="131" w:right="0"/>
              <w:rPr>
                <w:rFonts w:hint="default" w:ascii="Times New Roman" w:hAnsi="Times New Roman" w:eastAsia="Times New Roman" w:cs="Times New Roman"/>
                <w:sz w:val="21"/>
                <w:szCs w:val="21"/>
              </w:rPr>
            </w:pPr>
            <w:r>
              <w:rPr>
                <w:rFonts w:hint="default" w:ascii="Times New Roman" w:hAnsi="Times New Roman" w:eastAsia="Times New Roman" w:cs="Times New Roman"/>
                <w:spacing w:val="-6"/>
                <w:sz w:val="21"/>
                <w:szCs w:val="21"/>
              </w:rPr>
              <w:t>12</w:t>
            </w:r>
          </w:p>
        </w:tc>
        <w:tc>
          <w:tcPr>
            <w:tcW w:w="425" w:type="dxa"/>
            <w:vAlign w:val="top"/>
          </w:tcPr>
          <w:p>
            <w:pPr>
              <w:keepNext w:val="0"/>
              <w:keepLines w:val="0"/>
              <w:suppressLineNumbers w:val="0"/>
              <w:spacing w:before="0" w:beforeAutospacing="0" w:after="0" w:afterAutospacing="0" w:line="268" w:lineRule="auto"/>
              <w:ind w:left="0" w:right="0"/>
              <w:rPr>
                <w:rFonts w:hint="default" w:ascii="Arial"/>
                <w:sz w:val="21"/>
              </w:rPr>
            </w:pPr>
          </w:p>
          <w:p>
            <w:pPr>
              <w:keepNext w:val="0"/>
              <w:keepLines w:val="0"/>
              <w:suppressLineNumbers w:val="0"/>
              <w:spacing w:before="61" w:beforeAutospacing="0" w:after="0" w:afterAutospacing="0" w:line="187" w:lineRule="auto"/>
              <w:ind w:left="181" w:right="0"/>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1</w:t>
            </w:r>
          </w:p>
        </w:tc>
        <w:tc>
          <w:tcPr>
            <w:tcW w:w="425" w:type="dxa"/>
            <w:vAlign w:val="top"/>
          </w:tcPr>
          <w:p>
            <w:pPr>
              <w:keepNext w:val="0"/>
              <w:keepLines w:val="0"/>
              <w:suppressLineNumbers w:val="0"/>
              <w:spacing w:before="0" w:beforeAutospacing="0" w:after="0" w:afterAutospacing="0" w:line="268" w:lineRule="auto"/>
              <w:ind w:left="0" w:right="0"/>
              <w:rPr>
                <w:rFonts w:hint="default" w:ascii="Arial"/>
                <w:sz w:val="21"/>
              </w:rPr>
            </w:pPr>
          </w:p>
          <w:p>
            <w:pPr>
              <w:keepNext w:val="0"/>
              <w:keepLines w:val="0"/>
              <w:suppressLineNumbers w:val="0"/>
              <w:spacing w:before="61" w:beforeAutospacing="0" w:after="0" w:afterAutospacing="0" w:line="187" w:lineRule="auto"/>
              <w:ind w:left="158" w:right="0"/>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2</w:t>
            </w:r>
          </w:p>
        </w:tc>
        <w:tc>
          <w:tcPr>
            <w:tcW w:w="425" w:type="dxa"/>
            <w:vAlign w:val="top"/>
          </w:tcPr>
          <w:p>
            <w:pPr>
              <w:keepNext w:val="0"/>
              <w:keepLines w:val="0"/>
              <w:suppressLineNumbers w:val="0"/>
              <w:spacing w:before="0" w:beforeAutospacing="0" w:after="0" w:afterAutospacing="0" w:line="268" w:lineRule="auto"/>
              <w:ind w:left="0" w:right="0"/>
              <w:rPr>
                <w:rFonts w:hint="default" w:ascii="Arial"/>
                <w:sz w:val="21"/>
              </w:rPr>
            </w:pPr>
          </w:p>
          <w:p>
            <w:pPr>
              <w:keepNext w:val="0"/>
              <w:keepLines w:val="0"/>
              <w:suppressLineNumbers w:val="0"/>
              <w:spacing w:before="60" w:beforeAutospacing="0" w:after="0" w:afterAutospacing="0" w:line="187" w:lineRule="auto"/>
              <w:ind w:left="162" w:right="0"/>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3</w:t>
            </w:r>
          </w:p>
        </w:tc>
        <w:tc>
          <w:tcPr>
            <w:tcW w:w="425" w:type="dxa"/>
            <w:vAlign w:val="top"/>
          </w:tcPr>
          <w:p>
            <w:pPr>
              <w:keepNext w:val="0"/>
              <w:keepLines w:val="0"/>
              <w:suppressLineNumbers w:val="0"/>
              <w:spacing w:before="0" w:beforeAutospacing="0" w:after="0" w:afterAutospacing="0" w:line="268" w:lineRule="auto"/>
              <w:ind w:left="0" w:right="0"/>
              <w:rPr>
                <w:rFonts w:hint="default" w:ascii="Arial"/>
                <w:sz w:val="21"/>
              </w:rPr>
            </w:pPr>
          </w:p>
          <w:p>
            <w:pPr>
              <w:keepNext w:val="0"/>
              <w:keepLines w:val="0"/>
              <w:suppressLineNumbers w:val="0"/>
              <w:spacing w:before="61" w:beforeAutospacing="0" w:after="0" w:afterAutospacing="0" w:line="187" w:lineRule="auto"/>
              <w:ind w:left="157" w:right="0"/>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4</w:t>
            </w:r>
          </w:p>
        </w:tc>
        <w:tc>
          <w:tcPr>
            <w:tcW w:w="425" w:type="dxa"/>
            <w:vAlign w:val="top"/>
          </w:tcPr>
          <w:p>
            <w:pPr>
              <w:keepNext w:val="0"/>
              <w:keepLines w:val="0"/>
              <w:suppressLineNumbers w:val="0"/>
              <w:spacing w:before="0" w:beforeAutospacing="0" w:after="0" w:afterAutospacing="0" w:line="271" w:lineRule="auto"/>
              <w:ind w:left="0" w:right="0"/>
              <w:rPr>
                <w:rFonts w:hint="default" w:ascii="Arial"/>
                <w:sz w:val="21"/>
              </w:rPr>
            </w:pPr>
          </w:p>
          <w:p>
            <w:pPr>
              <w:keepNext w:val="0"/>
              <w:keepLines w:val="0"/>
              <w:suppressLineNumbers w:val="0"/>
              <w:spacing w:before="60" w:beforeAutospacing="0" w:after="0" w:afterAutospacing="0" w:line="184" w:lineRule="auto"/>
              <w:ind w:left="164" w:right="0"/>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5</w:t>
            </w:r>
          </w:p>
        </w:tc>
        <w:tc>
          <w:tcPr>
            <w:tcW w:w="422" w:type="dxa"/>
            <w:vAlign w:val="top"/>
          </w:tcPr>
          <w:p>
            <w:pPr>
              <w:keepNext w:val="0"/>
              <w:keepLines w:val="0"/>
              <w:suppressLineNumbers w:val="0"/>
              <w:spacing w:before="0" w:beforeAutospacing="0" w:after="0" w:afterAutospacing="0" w:line="268" w:lineRule="auto"/>
              <w:ind w:left="0" w:right="0"/>
              <w:rPr>
                <w:rFonts w:hint="default" w:ascii="Arial"/>
                <w:sz w:val="21"/>
              </w:rPr>
            </w:pPr>
          </w:p>
          <w:p>
            <w:pPr>
              <w:keepNext w:val="0"/>
              <w:keepLines w:val="0"/>
              <w:suppressLineNumbers w:val="0"/>
              <w:spacing w:before="60" w:beforeAutospacing="0" w:after="0" w:afterAutospacing="0" w:line="187" w:lineRule="auto"/>
              <w:ind w:left="165" w:right="0"/>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6</w:t>
            </w:r>
          </w:p>
        </w:tc>
        <w:tc>
          <w:tcPr>
            <w:tcW w:w="425" w:type="dxa"/>
            <w:vAlign w:val="top"/>
          </w:tcPr>
          <w:p>
            <w:pPr>
              <w:keepNext w:val="0"/>
              <w:keepLines w:val="0"/>
              <w:suppressLineNumbers w:val="0"/>
              <w:spacing w:before="0" w:beforeAutospacing="0" w:after="0" w:afterAutospacing="0" w:line="271" w:lineRule="auto"/>
              <w:ind w:left="0" w:right="0"/>
              <w:rPr>
                <w:rFonts w:hint="default" w:ascii="Arial"/>
                <w:sz w:val="21"/>
              </w:rPr>
            </w:pPr>
          </w:p>
          <w:p>
            <w:pPr>
              <w:keepNext w:val="0"/>
              <w:keepLines w:val="0"/>
              <w:suppressLineNumbers w:val="0"/>
              <w:spacing w:before="60" w:beforeAutospacing="0" w:after="0" w:afterAutospacing="0" w:line="184" w:lineRule="auto"/>
              <w:ind w:left="162" w:right="0"/>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7</w:t>
            </w:r>
          </w:p>
        </w:tc>
        <w:tc>
          <w:tcPr>
            <w:tcW w:w="424" w:type="dxa"/>
            <w:vAlign w:val="top"/>
          </w:tcPr>
          <w:p>
            <w:pPr>
              <w:keepNext w:val="0"/>
              <w:keepLines w:val="0"/>
              <w:suppressLineNumbers w:val="0"/>
              <w:spacing w:before="0" w:beforeAutospacing="0" w:after="0" w:afterAutospacing="0" w:line="268" w:lineRule="auto"/>
              <w:ind w:left="0" w:right="0"/>
              <w:rPr>
                <w:rFonts w:hint="default" w:ascii="Arial"/>
                <w:sz w:val="21"/>
              </w:rPr>
            </w:pPr>
          </w:p>
          <w:p>
            <w:pPr>
              <w:keepNext w:val="0"/>
              <w:keepLines w:val="0"/>
              <w:suppressLineNumbers w:val="0"/>
              <w:spacing w:before="60" w:beforeAutospacing="0" w:after="0" w:afterAutospacing="0" w:line="187" w:lineRule="auto"/>
              <w:ind w:left="167" w:right="0"/>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8</w:t>
            </w:r>
          </w:p>
        </w:tc>
        <w:tc>
          <w:tcPr>
            <w:tcW w:w="427" w:type="dxa"/>
            <w:vAlign w:val="top"/>
          </w:tcPr>
          <w:p>
            <w:pPr>
              <w:keepNext w:val="0"/>
              <w:keepLines w:val="0"/>
              <w:suppressLineNumbers w:val="0"/>
              <w:spacing w:before="0" w:beforeAutospacing="0" w:after="0" w:afterAutospacing="0" w:line="268" w:lineRule="auto"/>
              <w:ind w:left="0" w:right="0"/>
              <w:rPr>
                <w:rFonts w:hint="default" w:ascii="Arial"/>
                <w:sz w:val="21"/>
              </w:rPr>
            </w:pPr>
          </w:p>
          <w:p>
            <w:pPr>
              <w:keepNext w:val="0"/>
              <w:keepLines w:val="0"/>
              <w:suppressLineNumbers w:val="0"/>
              <w:spacing w:before="60" w:beforeAutospacing="0" w:after="0" w:afterAutospacing="0" w:line="187" w:lineRule="auto"/>
              <w:ind w:left="166" w:right="0"/>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9</w:t>
            </w:r>
          </w:p>
        </w:tc>
        <w:tc>
          <w:tcPr>
            <w:tcW w:w="425" w:type="dxa"/>
            <w:vAlign w:val="top"/>
          </w:tcPr>
          <w:p>
            <w:pPr>
              <w:keepNext w:val="0"/>
              <w:keepLines w:val="0"/>
              <w:suppressLineNumbers w:val="0"/>
              <w:spacing w:before="0" w:beforeAutospacing="0" w:after="0" w:afterAutospacing="0" w:line="268" w:lineRule="auto"/>
              <w:ind w:left="0" w:right="0"/>
              <w:rPr>
                <w:rFonts w:hint="default" w:ascii="Arial"/>
                <w:sz w:val="21"/>
              </w:rPr>
            </w:pPr>
          </w:p>
          <w:p>
            <w:pPr>
              <w:keepNext w:val="0"/>
              <w:keepLines w:val="0"/>
              <w:suppressLineNumbers w:val="0"/>
              <w:spacing w:before="60" w:beforeAutospacing="0" w:after="0" w:afterAutospacing="0" w:line="187" w:lineRule="auto"/>
              <w:ind w:left="134" w:right="0"/>
              <w:rPr>
                <w:rFonts w:hint="default" w:ascii="Times New Roman" w:hAnsi="Times New Roman" w:eastAsia="Times New Roman" w:cs="Times New Roman"/>
                <w:sz w:val="21"/>
                <w:szCs w:val="21"/>
              </w:rPr>
            </w:pPr>
            <w:r>
              <w:rPr>
                <w:rFonts w:hint="default" w:ascii="Times New Roman" w:hAnsi="Times New Roman" w:eastAsia="Times New Roman" w:cs="Times New Roman"/>
                <w:spacing w:val="-6"/>
                <w:sz w:val="21"/>
                <w:szCs w:val="21"/>
              </w:rPr>
              <w:t>10</w:t>
            </w:r>
          </w:p>
        </w:tc>
        <w:tc>
          <w:tcPr>
            <w:tcW w:w="420" w:type="dxa"/>
            <w:vAlign w:val="top"/>
          </w:tcPr>
          <w:p>
            <w:pPr>
              <w:keepNext w:val="0"/>
              <w:keepLines w:val="0"/>
              <w:suppressLineNumbers w:val="0"/>
              <w:spacing w:before="0" w:beforeAutospacing="0" w:after="0" w:afterAutospacing="0" w:line="268" w:lineRule="auto"/>
              <w:ind w:left="0" w:right="0"/>
              <w:rPr>
                <w:rFonts w:hint="default" w:ascii="Arial"/>
                <w:sz w:val="21"/>
              </w:rPr>
            </w:pPr>
          </w:p>
          <w:p>
            <w:pPr>
              <w:keepNext w:val="0"/>
              <w:keepLines w:val="0"/>
              <w:suppressLineNumbers w:val="0"/>
              <w:spacing w:before="61" w:beforeAutospacing="0" w:after="0" w:afterAutospacing="0" w:line="187" w:lineRule="auto"/>
              <w:ind w:left="136" w:right="0"/>
              <w:rPr>
                <w:rFonts w:hint="default" w:ascii="Times New Roman" w:hAnsi="Times New Roman" w:eastAsia="Times New Roman" w:cs="Times New Roman"/>
                <w:sz w:val="21"/>
                <w:szCs w:val="21"/>
              </w:rPr>
            </w:pPr>
            <w:r>
              <w:rPr>
                <w:rFonts w:hint="default" w:ascii="Times New Roman" w:hAnsi="Times New Roman" w:eastAsia="Times New Roman" w:cs="Times New Roman"/>
                <w:spacing w:val="-8"/>
                <w:sz w:val="21"/>
                <w:szCs w:val="21"/>
              </w:rPr>
              <w:t>11</w:t>
            </w:r>
          </w:p>
        </w:tc>
        <w:tc>
          <w:tcPr>
            <w:tcW w:w="427" w:type="dxa"/>
            <w:vAlign w:val="top"/>
          </w:tcPr>
          <w:p>
            <w:pPr>
              <w:keepNext w:val="0"/>
              <w:keepLines w:val="0"/>
              <w:suppressLineNumbers w:val="0"/>
              <w:spacing w:before="0" w:beforeAutospacing="0" w:after="0" w:afterAutospacing="0" w:line="268" w:lineRule="auto"/>
              <w:ind w:left="0" w:right="0"/>
              <w:rPr>
                <w:rFonts w:hint="default" w:ascii="Arial"/>
                <w:sz w:val="21"/>
              </w:rPr>
            </w:pPr>
          </w:p>
          <w:p>
            <w:pPr>
              <w:keepNext w:val="0"/>
              <w:keepLines w:val="0"/>
              <w:suppressLineNumbers w:val="0"/>
              <w:spacing w:before="61" w:beforeAutospacing="0" w:after="0" w:afterAutospacing="0" w:line="187" w:lineRule="auto"/>
              <w:ind w:left="136" w:right="0"/>
              <w:rPr>
                <w:rFonts w:hint="default" w:ascii="Times New Roman" w:hAnsi="Times New Roman" w:eastAsia="Times New Roman" w:cs="Times New Roman"/>
                <w:sz w:val="21"/>
                <w:szCs w:val="21"/>
              </w:rPr>
            </w:pPr>
            <w:r>
              <w:rPr>
                <w:rFonts w:hint="default" w:ascii="Times New Roman" w:hAnsi="Times New Roman" w:eastAsia="Times New Roman" w:cs="Times New Roman"/>
                <w:spacing w:val="-6"/>
                <w:sz w:val="21"/>
                <w:szCs w:val="21"/>
              </w:rPr>
              <w:t>12</w:t>
            </w:r>
          </w:p>
        </w:tc>
        <w:tc>
          <w:tcPr>
            <w:tcW w:w="357" w:type="dxa"/>
            <w:vAlign w:val="top"/>
          </w:tcPr>
          <w:p>
            <w:pPr>
              <w:keepNext w:val="0"/>
              <w:keepLines w:val="0"/>
              <w:suppressLineNumbers w:val="0"/>
              <w:spacing w:before="0" w:beforeAutospacing="0" w:after="0" w:afterAutospacing="0" w:line="268" w:lineRule="auto"/>
              <w:ind w:left="0" w:right="0"/>
              <w:rPr>
                <w:rFonts w:hint="default" w:ascii="Arial"/>
                <w:sz w:val="21"/>
              </w:rPr>
            </w:pPr>
          </w:p>
          <w:p>
            <w:pPr>
              <w:keepNext w:val="0"/>
              <w:keepLines w:val="0"/>
              <w:suppressLineNumbers w:val="0"/>
              <w:spacing w:before="61" w:beforeAutospacing="0" w:after="0" w:afterAutospacing="0" w:line="187" w:lineRule="auto"/>
              <w:ind w:left="146" w:right="0"/>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1</w:t>
            </w:r>
          </w:p>
        </w:tc>
        <w:tc>
          <w:tcPr>
            <w:tcW w:w="357" w:type="dxa"/>
            <w:vAlign w:val="top"/>
          </w:tcPr>
          <w:p>
            <w:pPr>
              <w:keepNext w:val="0"/>
              <w:keepLines w:val="0"/>
              <w:suppressLineNumbers w:val="0"/>
              <w:spacing w:before="0" w:beforeAutospacing="0" w:after="0" w:afterAutospacing="0" w:line="268" w:lineRule="auto"/>
              <w:ind w:left="0" w:right="0"/>
              <w:rPr>
                <w:rFonts w:hint="default" w:ascii="Arial"/>
                <w:sz w:val="21"/>
              </w:rPr>
            </w:pPr>
          </w:p>
          <w:p>
            <w:pPr>
              <w:keepNext w:val="0"/>
              <w:keepLines w:val="0"/>
              <w:suppressLineNumbers w:val="0"/>
              <w:spacing w:before="61" w:beforeAutospacing="0" w:after="0" w:afterAutospacing="0" w:line="187" w:lineRule="auto"/>
              <w:ind w:left="129" w:right="0"/>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2</w:t>
            </w:r>
          </w:p>
        </w:tc>
        <w:tc>
          <w:tcPr>
            <w:tcW w:w="357" w:type="dxa"/>
            <w:vAlign w:val="top"/>
          </w:tcPr>
          <w:p>
            <w:pPr>
              <w:keepNext w:val="0"/>
              <w:keepLines w:val="0"/>
              <w:suppressLineNumbers w:val="0"/>
              <w:spacing w:before="0" w:beforeAutospacing="0" w:after="0" w:afterAutospacing="0" w:line="268" w:lineRule="auto"/>
              <w:ind w:left="0" w:right="0"/>
              <w:rPr>
                <w:rFonts w:hint="default" w:ascii="Arial"/>
                <w:sz w:val="21"/>
              </w:rPr>
            </w:pPr>
          </w:p>
          <w:p>
            <w:pPr>
              <w:keepNext w:val="0"/>
              <w:keepLines w:val="0"/>
              <w:suppressLineNumbers w:val="0"/>
              <w:spacing w:before="60" w:beforeAutospacing="0" w:after="0" w:afterAutospacing="0" w:line="187" w:lineRule="auto"/>
              <w:ind w:left="134" w:right="0"/>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3</w:t>
            </w:r>
          </w:p>
        </w:tc>
        <w:tc>
          <w:tcPr>
            <w:tcW w:w="357" w:type="dxa"/>
            <w:vAlign w:val="top"/>
          </w:tcPr>
          <w:p>
            <w:pPr>
              <w:keepNext w:val="0"/>
              <w:keepLines w:val="0"/>
              <w:suppressLineNumbers w:val="0"/>
              <w:spacing w:before="0" w:beforeAutospacing="0" w:after="0" w:afterAutospacing="0" w:line="268" w:lineRule="auto"/>
              <w:ind w:left="0" w:right="0"/>
              <w:rPr>
                <w:rFonts w:hint="default" w:ascii="Arial"/>
                <w:sz w:val="21"/>
              </w:rPr>
            </w:pPr>
          </w:p>
          <w:p>
            <w:pPr>
              <w:keepNext w:val="0"/>
              <w:keepLines w:val="0"/>
              <w:suppressLineNumbers w:val="0"/>
              <w:spacing w:before="61" w:beforeAutospacing="0" w:after="0" w:afterAutospacing="0" w:line="187" w:lineRule="auto"/>
              <w:ind w:left="129" w:right="0"/>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4</w:t>
            </w:r>
          </w:p>
        </w:tc>
        <w:tc>
          <w:tcPr>
            <w:tcW w:w="360" w:type="dxa"/>
            <w:vAlign w:val="top"/>
          </w:tcPr>
          <w:p>
            <w:pPr>
              <w:keepNext w:val="0"/>
              <w:keepLines w:val="0"/>
              <w:suppressLineNumbers w:val="0"/>
              <w:spacing w:before="0" w:beforeAutospacing="0" w:after="0" w:afterAutospacing="0" w:line="390" w:lineRule="auto"/>
              <w:ind w:left="0" w:right="0"/>
              <w:rPr>
                <w:rFonts w:hint="default" w:ascii="Arial"/>
                <w:sz w:val="21"/>
              </w:rPr>
            </w:pPr>
          </w:p>
          <w:p>
            <w:pPr>
              <w:keepNext w:val="0"/>
              <w:keepLines w:val="0"/>
              <w:suppressLineNumbers w:val="0"/>
              <w:spacing w:before="60" w:beforeAutospacing="0" w:after="0" w:afterAutospacing="0" w:line="66" w:lineRule="exact"/>
              <w:ind w:left="102" w:right="0"/>
              <w:rPr>
                <w:rFonts w:hint="default" w:ascii="Times New Roman" w:hAnsi="Times New Roman" w:eastAsia="Times New Roman" w:cs="Times New Roman"/>
                <w:sz w:val="21"/>
                <w:szCs w:val="21"/>
              </w:rPr>
            </w:pPr>
            <w:r>
              <w:rPr>
                <w:rFonts w:hint="default" w:ascii="Times New Roman" w:hAnsi="Times New Roman" w:eastAsia="Times New Roman" w:cs="Times New Roman"/>
                <w:position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2433" w:type="dxa"/>
            <w:vAlign w:val="top"/>
          </w:tcPr>
          <w:p>
            <w:pPr>
              <w:pStyle w:val="72"/>
              <w:keepNext w:val="0"/>
              <w:keepLines w:val="0"/>
              <w:suppressLineNumbers w:val="0"/>
              <w:spacing w:before="97" w:beforeAutospacing="0" w:after="0" w:afterAutospacing="0" w:line="201" w:lineRule="auto"/>
              <w:ind w:left="89" w:right="0"/>
              <w:rPr>
                <w:rFonts w:hint="default"/>
              </w:rPr>
            </w:pPr>
            <w:r>
              <w:rPr>
                <w:rFonts w:hint="default" w:ascii="Times New Roman" w:hAnsi="Times New Roman" w:eastAsia="Times New Roman" w:cs="Times New Roman"/>
                <w:spacing w:val="-4"/>
              </w:rPr>
              <w:t>1.</w:t>
            </w:r>
            <w:r>
              <w:rPr>
                <w:rFonts w:hint="default"/>
                <w:spacing w:val="-4"/>
              </w:rPr>
              <w:t>施工准备</w:t>
            </w: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4"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0"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6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433" w:type="dxa"/>
            <w:vAlign w:val="top"/>
          </w:tcPr>
          <w:p>
            <w:pPr>
              <w:pStyle w:val="72"/>
              <w:keepNext w:val="0"/>
              <w:keepLines w:val="0"/>
              <w:suppressLineNumbers w:val="0"/>
              <w:spacing w:before="97" w:beforeAutospacing="0" w:after="0" w:afterAutospacing="0" w:line="200" w:lineRule="auto"/>
              <w:ind w:left="69" w:right="0"/>
              <w:rPr>
                <w:rFonts w:hint="default"/>
              </w:rPr>
            </w:pPr>
            <w:r>
              <w:rPr>
                <w:rFonts w:hint="default" w:ascii="Times New Roman" w:hAnsi="Times New Roman" w:eastAsia="Times New Roman" w:cs="Times New Roman"/>
                <w:spacing w:val="-1"/>
              </w:rPr>
              <w:t>2.</w:t>
            </w:r>
            <w:r>
              <w:rPr>
                <w:rFonts w:hint="default"/>
                <w:spacing w:val="-1"/>
              </w:rPr>
              <w:t>路基处理</w:t>
            </w: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4"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0"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6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433" w:type="dxa"/>
            <w:vAlign w:val="top"/>
          </w:tcPr>
          <w:p>
            <w:pPr>
              <w:pStyle w:val="72"/>
              <w:keepNext w:val="0"/>
              <w:keepLines w:val="0"/>
              <w:suppressLineNumbers w:val="0"/>
              <w:spacing w:before="98" w:beforeAutospacing="0" w:after="0" w:afterAutospacing="0" w:line="197" w:lineRule="auto"/>
              <w:ind w:left="73" w:right="0"/>
              <w:rPr>
                <w:rFonts w:hint="default"/>
              </w:rPr>
            </w:pPr>
            <w:r>
              <w:rPr>
                <w:rFonts w:hint="default" w:ascii="Times New Roman" w:hAnsi="Times New Roman" w:eastAsia="Times New Roman" w:cs="Times New Roman"/>
                <w:spacing w:val="-1"/>
              </w:rPr>
              <w:t>3.</w:t>
            </w:r>
            <w:r>
              <w:rPr>
                <w:rFonts w:hint="default"/>
                <w:spacing w:val="-1"/>
              </w:rPr>
              <w:t>路基填筑</w:t>
            </w: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4"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0"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6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2433" w:type="dxa"/>
            <w:vAlign w:val="top"/>
          </w:tcPr>
          <w:p>
            <w:pPr>
              <w:pStyle w:val="72"/>
              <w:keepNext w:val="0"/>
              <w:keepLines w:val="0"/>
              <w:suppressLineNumbers w:val="0"/>
              <w:spacing w:before="98" w:beforeAutospacing="0" w:after="0" w:afterAutospacing="0" w:line="200" w:lineRule="auto"/>
              <w:ind w:left="67" w:right="0"/>
              <w:rPr>
                <w:rFonts w:hint="default"/>
              </w:rPr>
            </w:pPr>
            <w:r>
              <w:rPr>
                <w:rFonts w:hint="default" w:ascii="Times New Roman" w:hAnsi="Times New Roman" w:eastAsia="Times New Roman" w:cs="Times New Roman"/>
                <w:spacing w:val="-1"/>
              </w:rPr>
              <w:t>4.</w:t>
            </w:r>
            <w:r>
              <w:rPr>
                <w:rFonts w:hint="default"/>
                <w:spacing w:val="-1"/>
              </w:rPr>
              <w:t>涵洞</w:t>
            </w: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4"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0"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6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433" w:type="dxa"/>
            <w:vAlign w:val="top"/>
          </w:tcPr>
          <w:p>
            <w:pPr>
              <w:pStyle w:val="72"/>
              <w:keepNext w:val="0"/>
              <w:keepLines w:val="0"/>
              <w:suppressLineNumbers w:val="0"/>
              <w:spacing w:before="98" w:beforeAutospacing="0" w:after="0" w:afterAutospacing="0" w:line="199" w:lineRule="auto"/>
              <w:ind w:left="74" w:right="0"/>
              <w:rPr>
                <w:rFonts w:hint="default"/>
              </w:rPr>
            </w:pPr>
            <w:r>
              <w:rPr>
                <w:rFonts w:hint="default" w:ascii="Times New Roman" w:hAnsi="Times New Roman" w:eastAsia="Times New Roman" w:cs="Times New Roman"/>
                <w:spacing w:val="-2"/>
              </w:rPr>
              <w:t>5.</w:t>
            </w:r>
            <w:r>
              <w:rPr>
                <w:rFonts w:hint="default"/>
                <w:spacing w:val="-2"/>
              </w:rPr>
              <w:t>通道</w:t>
            </w: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4"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0"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6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433" w:type="dxa"/>
            <w:vAlign w:val="top"/>
          </w:tcPr>
          <w:p>
            <w:pPr>
              <w:pStyle w:val="72"/>
              <w:keepNext w:val="0"/>
              <w:keepLines w:val="0"/>
              <w:suppressLineNumbers w:val="0"/>
              <w:spacing w:before="98" w:beforeAutospacing="0" w:after="0" w:afterAutospacing="0" w:line="197" w:lineRule="auto"/>
              <w:ind w:left="73" w:right="0"/>
              <w:rPr>
                <w:rFonts w:hint="default"/>
              </w:rPr>
            </w:pPr>
            <w:r>
              <w:rPr>
                <w:rFonts w:hint="default" w:ascii="Times New Roman" w:hAnsi="Times New Roman" w:eastAsia="Times New Roman" w:cs="Times New Roman"/>
                <w:spacing w:val="-4"/>
              </w:rPr>
              <w:t>6.</w:t>
            </w:r>
            <w:r>
              <w:rPr>
                <w:rFonts w:hint="default"/>
                <w:spacing w:val="-4"/>
              </w:rPr>
              <w:t>防护及排水</w:t>
            </w: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4"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0"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6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2433" w:type="dxa"/>
            <w:vAlign w:val="top"/>
          </w:tcPr>
          <w:p>
            <w:pPr>
              <w:pStyle w:val="72"/>
              <w:keepNext w:val="0"/>
              <w:keepLines w:val="0"/>
              <w:suppressLineNumbers w:val="0"/>
              <w:spacing w:before="99" w:beforeAutospacing="0" w:after="0" w:afterAutospacing="0" w:line="199" w:lineRule="auto"/>
              <w:ind w:left="72" w:right="0"/>
              <w:rPr>
                <w:rFonts w:hint="default"/>
              </w:rPr>
            </w:pPr>
            <w:r>
              <w:rPr>
                <w:rFonts w:hint="default" w:ascii="Times New Roman" w:hAnsi="Times New Roman" w:eastAsia="Times New Roman" w:cs="Times New Roman"/>
                <w:spacing w:val="-1"/>
              </w:rPr>
              <w:t>7.</w:t>
            </w:r>
            <w:r>
              <w:rPr>
                <w:rFonts w:hint="default"/>
                <w:spacing w:val="-1"/>
              </w:rPr>
              <w:t>路面基层</w:t>
            </w: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4"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0"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6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2433" w:type="dxa"/>
            <w:vAlign w:val="top"/>
          </w:tcPr>
          <w:p>
            <w:pPr>
              <w:pStyle w:val="72"/>
              <w:keepNext w:val="0"/>
              <w:keepLines w:val="0"/>
              <w:suppressLineNumbers w:val="0"/>
              <w:spacing w:before="99" w:beforeAutospacing="0" w:after="0" w:afterAutospacing="0" w:line="199" w:lineRule="auto"/>
              <w:ind w:left="343" w:right="0"/>
              <w:rPr>
                <w:rFonts w:hint="default"/>
              </w:rPr>
            </w:pPr>
            <w:r>
              <w:rPr>
                <w:rFonts w:hint="default"/>
                <w:spacing w:val="-2"/>
              </w:rPr>
              <w:t>（</w:t>
            </w:r>
            <w:r>
              <w:rPr>
                <w:rFonts w:hint="default" w:ascii="Times New Roman" w:hAnsi="Times New Roman" w:eastAsia="Times New Roman" w:cs="Times New Roman"/>
                <w:spacing w:val="-2"/>
              </w:rPr>
              <w:t>1</w:t>
            </w:r>
            <w:r>
              <w:rPr>
                <w:rFonts w:hint="default"/>
                <w:spacing w:val="-2"/>
              </w:rPr>
              <w:t>）底基层</w:t>
            </w: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4"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0"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6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433" w:type="dxa"/>
            <w:vAlign w:val="top"/>
          </w:tcPr>
          <w:p>
            <w:pPr>
              <w:pStyle w:val="72"/>
              <w:keepNext w:val="0"/>
              <w:keepLines w:val="0"/>
              <w:suppressLineNumbers w:val="0"/>
              <w:spacing w:before="100" w:beforeAutospacing="0" w:after="0" w:afterAutospacing="0" w:line="196" w:lineRule="auto"/>
              <w:ind w:left="343" w:right="0"/>
              <w:rPr>
                <w:rFonts w:hint="default"/>
              </w:rPr>
            </w:pPr>
            <w:r>
              <w:rPr>
                <w:rFonts w:hint="default"/>
                <w:spacing w:val="-3"/>
              </w:rPr>
              <w:t>（</w:t>
            </w:r>
            <w:r>
              <w:rPr>
                <w:rFonts w:hint="default" w:ascii="Times New Roman" w:hAnsi="Times New Roman" w:eastAsia="Times New Roman" w:cs="Times New Roman"/>
                <w:spacing w:val="-3"/>
              </w:rPr>
              <w:t>2</w:t>
            </w:r>
            <w:r>
              <w:rPr>
                <w:rFonts w:hint="default"/>
                <w:spacing w:val="-3"/>
              </w:rPr>
              <w:t>）基层</w:t>
            </w: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4"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0"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6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2433" w:type="dxa"/>
            <w:vAlign w:val="top"/>
          </w:tcPr>
          <w:p>
            <w:pPr>
              <w:pStyle w:val="72"/>
              <w:keepNext w:val="0"/>
              <w:keepLines w:val="0"/>
              <w:suppressLineNumbers w:val="0"/>
              <w:spacing w:before="99" w:beforeAutospacing="0" w:after="0" w:afterAutospacing="0" w:line="199" w:lineRule="auto"/>
              <w:ind w:left="77" w:right="0"/>
              <w:rPr>
                <w:rFonts w:hint="default"/>
              </w:rPr>
            </w:pPr>
            <w:r>
              <w:rPr>
                <w:rFonts w:hint="default" w:ascii="Times New Roman" w:hAnsi="Times New Roman" w:eastAsia="Times New Roman" w:cs="Times New Roman"/>
                <w:spacing w:val="-2"/>
              </w:rPr>
              <w:t>8.</w:t>
            </w:r>
            <w:r>
              <w:rPr>
                <w:rFonts w:hint="default"/>
                <w:spacing w:val="-2"/>
              </w:rPr>
              <w:t>路面铺筑</w:t>
            </w: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4"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0"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6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2433" w:type="dxa"/>
            <w:vAlign w:val="top"/>
          </w:tcPr>
          <w:p>
            <w:pPr>
              <w:pStyle w:val="72"/>
              <w:keepNext w:val="0"/>
              <w:keepLines w:val="0"/>
              <w:suppressLineNumbers w:val="0"/>
              <w:spacing w:before="99" w:beforeAutospacing="0" w:after="0" w:afterAutospacing="0" w:line="199" w:lineRule="auto"/>
              <w:ind w:left="73" w:right="0"/>
              <w:rPr>
                <w:rFonts w:hint="default"/>
              </w:rPr>
            </w:pPr>
            <w:r>
              <w:rPr>
                <w:rFonts w:hint="default" w:ascii="Times New Roman" w:hAnsi="Times New Roman" w:eastAsia="Times New Roman" w:cs="Times New Roman"/>
                <w:spacing w:val="-1"/>
              </w:rPr>
              <w:t>9.</w:t>
            </w:r>
            <w:r>
              <w:rPr>
                <w:rFonts w:hint="default"/>
                <w:spacing w:val="-1"/>
              </w:rPr>
              <w:t>路面标志标线</w:t>
            </w: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4"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0"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6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433" w:type="dxa"/>
            <w:vAlign w:val="top"/>
          </w:tcPr>
          <w:p>
            <w:pPr>
              <w:pStyle w:val="72"/>
              <w:keepNext w:val="0"/>
              <w:keepLines w:val="0"/>
              <w:suppressLineNumbers w:val="0"/>
              <w:spacing w:before="100" w:beforeAutospacing="0" w:after="0" w:afterAutospacing="0" w:line="196" w:lineRule="auto"/>
              <w:ind w:left="89" w:right="0"/>
              <w:rPr>
                <w:rFonts w:hint="default"/>
              </w:rPr>
            </w:pPr>
            <w:r>
              <w:rPr>
                <w:rFonts w:hint="default" w:ascii="Times New Roman" w:hAnsi="Times New Roman" w:eastAsia="Times New Roman" w:cs="Times New Roman"/>
                <w:spacing w:val="-4"/>
              </w:rPr>
              <w:t>10.</w:t>
            </w:r>
            <w:r>
              <w:rPr>
                <w:rFonts w:hint="default"/>
                <w:spacing w:val="-4"/>
              </w:rPr>
              <w:t>桥梁工程</w:t>
            </w: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4"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0"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6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2433" w:type="dxa"/>
            <w:vAlign w:val="top"/>
          </w:tcPr>
          <w:p>
            <w:pPr>
              <w:pStyle w:val="72"/>
              <w:keepNext w:val="0"/>
              <w:keepLines w:val="0"/>
              <w:suppressLineNumbers w:val="0"/>
              <w:spacing w:before="99" w:beforeAutospacing="0" w:after="0" w:afterAutospacing="0" w:line="199" w:lineRule="auto"/>
              <w:ind w:left="343" w:right="0"/>
              <w:rPr>
                <w:rFonts w:hint="default"/>
              </w:rPr>
            </w:pPr>
            <w:r>
              <w:rPr>
                <w:rFonts w:hint="default"/>
                <w:spacing w:val="-2"/>
              </w:rPr>
              <w:t>（</w:t>
            </w:r>
            <w:r>
              <w:rPr>
                <w:rFonts w:hint="default" w:ascii="Times New Roman" w:hAnsi="Times New Roman" w:eastAsia="Times New Roman" w:cs="Times New Roman"/>
                <w:spacing w:val="-2"/>
              </w:rPr>
              <w:t>1</w:t>
            </w:r>
            <w:r>
              <w:rPr>
                <w:rFonts w:hint="default"/>
                <w:spacing w:val="-2"/>
              </w:rPr>
              <w:t>）基础工程</w:t>
            </w: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4"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0"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6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2433" w:type="dxa"/>
            <w:vAlign w:val="top"/>
          </w:tcPr>
          <w:p>
            <w:pPr>
              <w:pStyle w:val="72"/>
              <w:keepNext w:val="0"/>
              <w:keepLines w:val="0"/>
              <w:suppressLineNumbers w:val="0"/>
              <w:spacing w:before="99" w:beforeAutospacing="0" w:after="0" w:afterAutospacing="0" w:line="199" w:lineRule="auto"/>
              <w:ind w:left="343" w:right="0"/>
              <w:rPr>
                <w:rFonts w:hint="default"/>
              </w:rPr>
            </w:pPr>
            <w:r>
              <w:rPr>
                <w:rFonts w:hint="default"/>
                <w:spacing w:val="-3"/>
              </w:rPr>
              <w:t>（</w:t>
            </w:r>
            <w:r>
              <w:rPr>
                <w:rFonts w:hint="default" w:ascii="Times New Roman" w:hAnsi="Times New Roman" w:eastAsia="Times New Roman" w:cs="Times New Roman"/>
                <w:spacing w:val="-3"/>
              </w:rPr>
              <w:t>2</w:t>
            </w:r>
            <w:r>
              <w:rPr>
                <w:rFonts w:hint="default"/>
                <w:spacing w:val="-3"/>
              </w:rPr>
              <w:t>）墩台工程</w:t>
            </w: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4"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0"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6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433" w:type="dxa"/>
            <w:vAlign w:val="top"/>
          </w:tcPr>
          <w:p>
            <w:pPr>
              <w:pStyle w:val="72"/>
              <w:keepNext w:val="0"/>
              <w:keepLines w:val="0"/>
              <w:suppressLineNumbers w:val="0"/>
              <w:spacing w:before="99" w:beforeAutospacing="0" w:after="0" w:afterAutospacing="0" w:line="197" w:lineRule="auto"/>
              <w:ind w:left="343" w:right="0"/>
              <w:rPr>
                <w:rFonts w:hint="default"/>
              </w:rPr>
            </w:pPr>
            <w:r>
              <w:rPr>
                <w:rFonts w:hint="default"/>
                <w:spacing w:val="-3"/>
              </w:rPr>
              <w:t>（</w:t>
            </w:r>
            <w:r>
              <w:rPr>
                <w:rFonts w:hint="default" w:ascii="Times New Roman" w:hAnsi="Times New Roman" w:eastAsia="Times New Roman" w:cs="Times New Roman"/>
                <w:spacing w:val="-3"/>
              </w:rPr>
              <w:t>3</w:t>
            </w:r>
            <w:r>
              <w:rPr>
                <w:rFonts w:hint="default"/>
                <w:spacing w:val="-3"/>
              </w:rPr>
              <w:t>）梁体工程</w:t>
            </w: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4"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0"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6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433" w:type="dxa"/>
            <w:vAlign w:val="top"/>
          </w:tcPr>
          <w:p>
            <w:pPr>
              <w:pStyle w:val="72"/>
              <w:keepNext w:val="0"/>
              <w:keepLines w:val="0"/>
              <w:suppressLineNumbers w:val="0"/>
              <w:spacing w:before="99" w:beforeAutospacing="0" w:after="0" w:afterAutospacing="0" w:line="198" w:lineRule="auto"/>
              <w:ind w:left="343" w:right="0"/>
              <w:rPr>
                <w:rFonts w:hint="default"/>
              </w:rPr>
            </w:pPr>
            <w:r>
              <w:rPr>
                <w:rFonts w:hint="default"/>
                <w:spacing w:val="-3"/>
              </w:rPr>
              <w:t>（</w:t>
            </w:r>
            <w:r>
              <w:rPr>
                <w:rFonts w:hint="default" w:ascii="Times New Roman" w:hAnsi="Times New Roman" w:eastAsia="Times New Roman" w:cs="Times New Roman"/>
                <w:spacing w:val="-3"/>
              </w:rPr>
              <w:t>4</w:t>
            </w:r>
            <w:r>
              <w:rPr>
                <w:rFonts w:hint="default"/>
                <w:spacing w:val="-3"/>
              </w:rPr>
              <w:t>）梁体安装</w:t>
            </w: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4"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0"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6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433" w:type="dxa"/>
            <w:vAlign w:val="top"/>
          </w:tcPr>
          <w:p>
            <w:pPr>
              <w:pStyle w:val="72"/>
              <w:keepNext w:val="0"/>
              <w:keepLines w:val="0"/>
              <w:suppressLineNumbers w:val="0"/>
              <w:spacing w:before="100" w:beforeAutospacing="0" w:after="0" w:afterAutospacing="0" w:line="197" w:lineRule="auto"/>
              <w:ind w:left="0" w:right="0"/>
              <w:jc w:val="right"/>
              <w:rPr>
                <w:rFonts w:hint="default"/>
              </w:rPr>
            </w:pPr>
            <w:r>
              <w:rPr>
                <w:rFonts w:hint="default"/>
                <w:spacing w:val="-13"/>
              </w:rPr>
              <w:t>（</w:t>
            </w:r>
            <w:r>
              <w:rPr>
                <w:rFonts w:hint="default" w:ascii="Times New Roman" w:hAnsi="Times New Roman" w:eastAsia="Times New Roman" w:cs="Times New Roman"/>
                <w:spacing w:val="-13"/>
              </w:rPr>
              <w:t>5</w:t>
            </w:r>
            <w:r>
              <w:rPr>
                <w:rFonts w:hint="default"/>
                <w:spacing w:val="-12"/>
              </w:rPr>
              <w:t>）桥面铺装及人行</w:t>
            </w:r>
            <w:r>
              <w:rPr>
                <w:rFonts w:hint="default"/>
                <w:spacing w:val="-10"/>
              </w:rPr>
              <w:t>道</w:t>
            </w: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4"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0"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6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433" w:type="dxa"/>
            <w:vAlign w:val="top"/>
          </w:tcPr>
          <w:p>
            <w:pPr>
              <w:pStyle w:val="72"/>
              <w:keepNext w:val="0"/>
              <w:keepLines w:val="0"/>
              <w:suppressLineNumbers w:val="0"/>
              <w:spacing w:before="101" w:beforeAutospacing="0" w:after="0" w:afterAutospacing="0" w:line="195" w:lineRule="auto"/>
              <w:ind w:left="89" w:right="0"/>
              <w:rPr>
                <w:rFonts w:hint="default"/>
              </w:rPr>
            </w:pPr>
            <w:r>
              <w:rPr>
                <w:rFonts w:hint="default" w:ascii="Times New Roman" w:hAnsi="Times New Roman" w:eastAsia="Times New Roman" w:cs="Times New Roman"/>
                <w:spacing w:val="-5"/>
              </w:rPr>
              <w:t>11.</w:t>
            </w:r>
            <w:r>
              <w:rPr>
                <w:rFonts w:hint="default"/>
                <w:spacing w:val="-5"/>
              </w:rPr>
              <w:t>隧道</w:t>
            </w: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4"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0"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6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433" w:type="dxa"/>
            <w:vAlign w:val="top"/>
          </w:tcPr>
          <w:p>
            <w:pPr>
              <w:pStyle w:val="72"/>
              <w:keepNext w:val="0"/>
              <w:keepLines w:val="0"/>
              <w:suppressLineNumbers w:val="0"/>
              <w:spacing w:before="101" w:beforeAutospacing="0" w:after="0" w:afterAutospacing="0" w:line="201" w:lineRule="auto"/>
              <w:ind w:left="89" w:right="0"/>
              <w:rPr>
                <w:rFonts w:hint="default"/>
              </w:rPr>
            </w:pPr>
            <w:r>
              <w:rPr>
                <w:rFonts w:hint="default" w:ascii="Times New Roman" w:hAnsi="Times New Roman" w:eastAsia="Times New Roman" w:cs="Times New Roman"/>
                <w:spacing w:val="-5"/>
              </w:rPr>
              <w:t>12.</w:t>
            </w:r>
            <w:r>
              <w:rPr>
                <w:rFonts w:hint="default"/>
                <w:spacing w:val="-5"/>
              </w:rPr>
              <w:t>其他</w:t>
            </w: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2"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4"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425" w:type="dxa"/>
            <w:vAlign w:val="top"/>
          </w:tcPr>
          <w:p>
            <w:pPr>
              <w:keepNext w:val="0"/>
              <w:keepLines w:val="0"/>
              <w:suppressLineNumbers w:val="0"/>
              <w:spacing w:before="0" w:beforeAutospacing="0" w:after="0" w:afterAutospacing="0"/>
              <w:ind w:left="0" w:right="0"/>
              <w:rPr>
                <w:rFonts w:hint="default" w:ascii="Arial"/>
                <w:sz w:val="21"/>
              </w:rPr>
            </w:pPr>
          </w:p>
        </w:tc>
        <w:tc>
          <w:tcPr>
            <w:tcW w:w="420" w:type="dxa"/>
            <w:vAlign w:val="top"/>
          </w:tcPr>
          <w:p>
            <w:pPr>
              <w:keepNext w:val="0"/>
              <w:keepLines w:val="0"/>
              <w:suppressLineNumbers w:val="0"/>
              <w:spacing w:before="0" w:beforeAutospacing="0" w:after="0" w:afterAutospacing="0"/>
              <w:ind w:left="0" w:right="0"/>
              <w:rPr>
                <w:rFonts w:hint="default" w:ascii="Arial"/>
                <w:sz w:val="21"/>
              </w:rPr>
            </w:pPr>
          </w:p>
        </w:tc>
        <w:tc>
          <w:tcPr>
            <w:tcW w:w="42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57" w:type="dxa"/>
            <w:vAlign w:val="top"/>
          </w:tcPr>
          <w:p>
            <w:pPr>
              <w:keepNext w:val="0"/>
              <w:keepLines w:val="0"/>
              <w:suppressLineNumbers w:val="0"/>
              <w:spacing w:before="0" w:beforeAutospacing="0" w:after="0" w:afterAutospacing="0"/>
              <w:ind w:left="0" w:right="0"/>
              <w:rPr>
                <w:rFonts w:hint="default" w:ascii="Arial"/>
                <w:sz w:val="21"/>
              </w:rPr>
            </w:pPr>
          </w:p>
        </w:tc>
        <w:tc>
          <w:tcPr>
            <w:tcW w:w="360" w:type="dxa"/>
            <w:vAlign w:val="top"/>
          </w:tcPr>
          <w:p>
            <w:pPr>
              <w:keepNext w:val="0"/>
              <w:keepLines w:val="0"/>
              <w:suppressLineNumbers w:val="0"/>
              <w:spacing w:before="0" w:beforeAutospacing="0" w:after="0" w:afterAutospacing="0"/>
              <w:ind w:left="0" w:right="0"/>
              <w:rPr>
                <w:rFonts w:hint="default" w:ascii="Arial"/>
                <w:sz w:val="21"/>
              </w:rPr>
            </w:pPr>
          </w:p>
        </w:tc>
      </w:tr>
    </w:tbl>
    <w:p>
      <w:pPr>
        <w:pStyle w:val="8"/>
      </w:pPr>
    </w:p>
    <w:p>
      <w:pPr>
        <w:sectPr>
          <w:footerReference r:id="rId25" w:type="default"/>
          <w:pgSz w:w="16841" w:h="11907"/>
          <w:pgMar w:top="1012" w:right="1252" w:bottom="1214" w:left="1175" w:header="0" w:footer="1053" w:gutter="0"/>
          <w:pgNumType w:fmt="decimal"/>
          <w:cols w:space="720" w:num="1"/>
        </w:sectPr>
      </w:pPr>
    </w:p>
    <w:p>
      <w:pPr>
        <w:pStyle w:val="8"/>
        <w:spacing w:line="387" w:lineRule="auto"/>
      </w:pPr>
    </w:p>
    <w:p>
      <w:pPr>
        <w:spacing w:before="68" w:line="220" w:lineRule="auto"/>
        <w:ind w:left="457"/>
        <w:rPr>
          <w:rFonts w:ascii="宋体" w:hAnsi="宋体" w:eastAsia="宋体" w:cs="宋体"/>
          <w:sz w:val="21"/>
          <w:szCs w:val="21"/>
        </w:rPr>
      </w:pPr>
      <w:r>
        <w:rPr>
          <w:rFonts w:ascii="宋体" w:hAnsi="宋体" w:eastAsia="宋体" w:cs="宋体"/>
          <w:spacing w:val="-2"/>
          <w:sz w:val="21"/>
          <w:szCs w:val="21"/>
          <w14:textOutline w14:w="3831" w14:cap="flat" w14:cmpd="sng">
            <w14:solidFill>
              <w14:srgbClr w14:val="000000"/>
            </w14:solidFill>
            <w14:prstDash w14:val="solid"/>
            <w14:miter w14:val="0"/>
          </w14:textOutline>
        </w:rPr>
        <w:t>附表二分项工程进度率计划（斜率图）</w:t>
      </w:r>
      <w:r>
        <w:rPr>
          <w:rFonts w:hint="eastAsia" w:ascii="宋体" w:hAnsi="宋体" w:eastAsia="宋体" w:cs="宋体"/>
          <w:spacing w:val="-1"/>
          <w:sz w:val="21"/>
          <w:szCs w:val="21"/>
          <w:lang w:eastAsia="zh-CN"/>
          <w14:textOutline w14:w="3831" w14:cap="flat" w14:cmpd="sng">
            <w14:solidFill>
              <w14:srgbClr w14:val="000000"/>
            </w14:solidFill>
            <w14:prstDash w14:val="solid"/>
            <w14:miter w14:val="0"/>
          </w14:textOutline>
        </w:rPr>
        <w:t>（</w:t>
      </w:r>
      <w:r>
        <w:rPr>
          <w:rFonts w:hint="eastAsia" w:ascii="宋体" w:hAnsi="宋体" w:eastAsia="宋体" w:cs="宋体"/>
          <w:spacing w:val="-1"/>
          <w:sz w:val="21"/>
          <w:szCs w:val="21"/>
          <w:lang w:val="en-US" w:eastAsia="zh-CN"/>
          <w14:textOutline w14:w="3831" w14:cap="flat" w14:cmpd="sng">
            <w14:solidFill>
              <w14:srgbClr w14:val="000000"/>
            </w14:solidFill>
            <w14:prstDash w14:val="solid"/>
            <w14:miter w14:val="0"/>
          </w14:textOutline>
        </w:rPr>
        <w:t>参考）</w:t>
      </w:r>
    </w:p>
    <w:p>
      <w:pPr>
        <w:pStyle w:val="8"/>
        <w:spacing w:line="275" w:lineRule="auto"/>
      </w:pPr>
    </w:p>
    <w:p>
      <w:pPr>
        <w:spacing w:line="6593" w:lineRule="exact"/>
      </w:pPr>
      <w:r>
        <w:rPr>
          <w:position w:val="-131"/>
        </w:rPr>
        <w:drawing>
          <wp:inline distT="0" distB="0" distL="0" distR="0">
            <wp:extent cx="8864600" cy="4185920"/>
            <wp:effectExtent l="0" t="0" r="8890" b="2540"/>
            <wp:docPr id="31" name="IM 26"/>
            <wp:cNvGraphicFramePr/>
            <a:graphic xmlns:a="http://schemas.openxmlformats.org/drawingml/2006/main">
              <a:graphicData uri="http://schemas.openxmlformats.org/drawingml/2006/picture">
                <pic:pic xmlns:pic="http://schemas.openxmlformats.org/drawingml/2006/picture">
                  <pic:nvPicPr>
                    <pic:cNvPr id="31" name="IM 26"/>
                    <pic:cNvPicPr/>
                  </pic:nvPicPr>
                  <pic:blipFill>
                    <a:blip r:embed="rId58"/>
                    <a:stretch>
                      <a:fillRect/>
                    </a:stretch>
                  </pic:blipFill>
                  <pic:spPr>
                    <a:xfrm>
                      <a:off x="0" y="0"/>
                      <a:ext cx="8865234" cy="4186554"/>
                    </a:xfrm>
                    <a:prstGeom prst="rect">
                      <a:avLst/>
                    </a:prstGeom>
                  </pic:spPr>
                </pic:pic>
              </a:graphicData>
            </a:graphic>
          </wp:inline>
        </w:drawing>
      </w:r>
    </w:p>
    <w:p>
      <w:pPr>
        <w:pStyle w:val="8"/>
        <w:spacing w:line="275" w:lineRule="auto"/>
      </w:pPr>
    </w:p>
    <w:p>
      <w:pPr>
        <w:spacing w:before="68" w:line="221" w:lineRule="auto"/>
        <w:ind w:left="841"/>
        <w:rPr>
          <w:rFonts w:ascii="宋体" w:hAnsi="宋体" w:eastAsia="宋体" w:cs="宋体"/>
          <w:sz w:val="21"/>
          <w:szCs w:val="21"/>
        </w:rPr>
      </w:pPr>
      <w:r>
        <w:rPr>
          <w:rFonts w:ascii="宋体" w:hAnsi="宋体" w:eastAsia="宋体" w:cs="宋体"/>
          <w:spacing w:val="-6"/>
          <w:sz w:val="21"/>
          <w:szCs w:val="21"/>
        </w:rPr>
        <w:t>注：</w:t>
      </w:r>
      <w:r>
        <w:rPr>
          <w:rFonts w:ascii="Times New Roman" w:hAnsi="Times New Roman" w:eastAsia="Times New Roman" w:cs="Times New Roman"/>
          <w:spacing w:val="-6"/>
          <w:sz w:val="21"/>
          <w:szCs w:val="21"/>
        </w:rPr>
        <w:t>1.</w:t>
      </w:r>
      <w:r>
        <w:rPr>
          <w:rFonts w:ascii="宋体" w:hAnsi="宋体" w:eastAsia="宋体" w:cs="宋体"/>
          <w:spacing w:val="-6"/>
          <w:sz w:val="21"/>
          <w:szCs w:val="21"/>
        </w:rPr>
        <w:t>应按</w:t>
      </w:r>
      <w:r>
        <w:rPr>
          <w:rFonts w:hint="eastAsia" w:ascii="宋体" w:hAnsi="宋体" w:cs="宋体"/>
          <w:spacing w:val="-6"/>
          <w:sz w:val="21"/>
          <w:szCs w:val="21"/>
          <w:lang w:val="en-US" w:eastAsia="zh-CN"/>
        </w:rPr>
        <w:t>项目</w:t>
      </w:r>
      <w:r>
        <w:rPr>
          <w:rFonts w:ascii="宋体" w:hAnsi="宋体" w:eastAsia="宋体" w:cs="宋体"/>
          <w:spacing w:val="-6"/>
          <w:sz w:val="21"/>
          <w:szCs w:val="21"/>
        </w:rPr>
        <w:t>实际工程内容填写。</w:t>
      </w:r>
    </w:p>
    <w:p>
      <w:pPr>
        <w:spacing w:before="185" w:line="221" w:lineRule="auto"/>
        <w:ind w:left="1238"/>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各个项目的进程可用线条的长短来表示。</w:t>
      </w:r>
    </w:p>
    <w:p>
      <w:pPr>
        <w:spacing w:line="221" w:lineRule="auto"/>
        <w:rPr>
          <w:rFonts w:ascii="宋体" w:hAnsi="宋体" w:eastAsia="宋体" w:cs="宋体"/>
          <w:sz w:val="21"/>
          <w:szCs w:val="21"/>
        </w:rPr>
        <w:sectPr>
          <w:footerReference r:id="rId26" w:type="default"/>
          <w:pgSz w:w="16841" w:h="11907"/>
          <w:pgMar w:top="1012" w:right="1799" w:bottom="1214" w:left="1080" w:header="0" w:footer="1053" w:gutter="0"/>
          <w:pgNumType w:fmt="decimal"/>
          <w:cols w:space="720" w:num="1"/>
        </w:sectPr>
      </w:pPr>
    </w:p>
    <w:p>
      <w:pPr>
        <w:spacing w:before="52" w:line="220" w:lineRule="auto"/>
        <w:ind w:left="250"/>
        <w:rPr>
          <w:rFonts w:ascii="宋体" w:hAnsi="宋体" w:eastAsia="宋体" w:cs="宋体"/>
          <w:sz w:val="21"/>
          <w:szCs w:val="21"/>
        </w:rPr>
      </w:pPr>
      <w:r>
        <w:rPr>
          <w:rFonts w:ascii="宋体" w:hAnsi="宋体" w:eastAsia="宋体" w:cs="宋体"/>
          <w:spacing w:val="-2"/>
          <w:sz w:val="21"/>
          <w:szCs w:val="21"/>
          <w14:textOutline w14:w="3831" w14:cap="flat" w14:cmpd="sng">
            <w14:solidFill>
              <w14:srgbClr w14:val="000000"/>
            </w14:solidFill>
            <w14:prstDash w14:val="solid"/>
            <w14:round/>
          </w14:textOutline>
        </w:rPr>
        <w:t>附表三工程管理曲线</w:t>
      </w:r>
      <w:r>
        <w:rPr>
          <w:rFonts w:hint="eastAsia" w:ascii="宋体" w:hAnsi="宋体" w:eastAsia="宋体" w:cs="宋体"/>
          <w:spacing w:val="-1"/>
          <w:sz w:val="21"/>
          <w:szCs w:val="21"/>
          <w:lang w:eastAsia="zh-CN"/>
          <w14:textOutline w14:w="3831" w14:cap="flat" w14:cmpd="sng">
            <w14:solidFill>
              <w14:srgbClr w14:val="000000"/>
            </w14:solidFill>
            <w14:prstDash w14:val="solid"/>
            <w14:miter w14:val="0"/>
          </w14:textOutline>
        </w:rPr>
        <w:t>（</w:t>
      </w:r>
      <w:r>
        <w:rPr>
          <w:rFonts w:hint="eastAsia" w:ascii="宋体" w:hAnsi="宋体" w:eastAsia="宋体" w:cs="宋体"/>
          <w:spacing w:val="-1"/>
          <w:sz w:val="21"/>
          <w:szCs w:val="21"/>
          <w:lang w:val="en-US" w:eastAsia="zh-CN"/>
          <w14:textOutline w14:w="3831" w14:cap="flat" w14:cmpd="sng">
            <w14:solidFill>
              <w14:srgbClr w14:val="000000"/>
            </w14:solidFill>
            <w14:prstDash w14:val="solid"/>
            <w14:miter w14:val="0"/>
          </w14:textOutline>
        </w:rPr>
        <w:t>参考）</w:t>
      </w:r>
    </w:p>
    <w:p>
      <w:pPr>
        <w:spacing w:before="33"/>
      </w:pPr>
    </w:p>
    <w:tbl>
      <w:tblPr>
        <w:tblStyle w:val="68"/>
        <w:tblW w:w="93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5"/>
        <w:gridCol w:w="469"/>
        <w:gridCol w:w="403"/>
        <w:gridCol w:w="405"/>
        <w:gridCol w:w="405"/>
        <w:gridCol w:w="406"/>
        <w:gridCol w:w="405"/>
        <w:gridCol w:w="403"/>
        <w:gridCol w:w="406"/>
        <w:gridCol w:w="407"/>
        <w:gridCol w:w="405"/>
        <w:gridCol w:w="406"/>
        <w:gridCol w:w="405"/>
        <w:gridCol w:w="406"/>
        <w:gridCol w:w="406"/>
        <w:gridCol w:w="408"/>
        <w:gridCol w:w="405"/>
        <w:gridCol w:w="406"/>
        <w:gridCol w:w="407"/>
        <w:gridCol w:w="405"/>
        <w:gridCol w:w="408"/>
        <w:gridCol w:w="4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244" w:type="dxa"/>
            <w:gridSpan w:val="2"/>
            <w:vMerge w:val="restart"/>
            <w:tcBorders>
              <w:bottom w:val="nil"/>
            </w:tcBorders>
            <w:vAlign w:val="top"/>
          </w:tcPr>
          <w:p>
            <w:pPr>
              <w:pStyle w:val="72"/>
              <w:keepNext w:val="0"/>
              <w:keepLines w:val="0"/>
              <w:suppressLineNumbers w:val="0"/>
              <w:spacing w:before="14" w:beforeAutospacing="0" w:after="0" w:afterAutospacing="0" w:line="221" w:lineRule="auto"/>
              <w:ind w:left="0" w:right="0"/>
              <w:jc w:val="right"/>
              <w:rPr>
                <w:rFonts w:hint="default"/>
              </w:rPr>
            </w:pPr>
            <w:r>
              <w:rPr>
                <w:rFonts w:hint="default"/>
              </w:rPr>
              <mc:AlternateContent>
                <mc:Choice Requires="wpg">
                  <w:drawing>
                    <wp:anchor distT="0" distB="0" distL="114300" distR="114300" simplePos="0" relativeHeight="251669504" behindDoc="1" locked="0" layoutInCell="1" allowOverlap="1">
                      <wp:simplePos x="0" y="0"/>
                      <wp:positionH relativeFrom="column">
                        <wp:posOffset>156845</wp:posOffset>
                      </wp:positionH>
                      <wp:positionV relativeFrom="paragraph">
                        <wp:posOffset>59690</wp:posOffset>
                      </wp:positionV>
                      <wp:extent cx="822960" cy="525145"/>
                      <wp:effectExtent l="1270" t="1270" r="6985" b="2540"/>
                      <wp:wrapNone/>
                      <wp:docPr id="38" name="组合 38"/>
                      <wp:cNvGraphicFramePr/>
                      <a:graphic xmlns:a="http://schemas.openxmlformats.org/drawingml/2006/main">
                        <a:graphicData uri="http://schemas.microsoft.com/office/word/2010/wordprocessingGroup">
                          <wpg:wgp>
                            <wpg:cNvGrpSpPr/>
                            <wpg:grpSpPr>
                              <a:xfrm>
                                <a:off x="0" y="0"/>
                                <a:ext cx="822960" cy="525145"/>
                                <a:chOff x="0" y="0"/>
                                <a:chExt cx="1296" cy="826"/>
                              </a:xfrm>
                            </wpg:grpSpPr>
                            <wps:wsp>
                              <wps:cNvPr id="36" name="任意多边形 36"/>
                              <wps:cNvSpPr/>
                              <wps:spPr>
                                <a:xfrm>
                                  <a:off x="5" y="1"/>
                                  <a:ext cx="1233" cy="439"/>
                                </a:xfrm>
                                <a:custGeom>
                                  <a:avLst/>
                                  <a:gdLst/>
                                  <a:ahLst/>
                                  <a:cxnLst/>
                                  <a:pathLst>
                                    <a:path w="1233" h="439">
                                      <a:moveTo>
                                        <a:pt x="1" y="4"/>
                                      </a:moveTo>
                                      <a:lnTo>
                                        <a:pt x="1230" y="433"/>
                                      </a:lnTo>
                                    </a:path>
                                  </a:pathLst>
                                </a:custGeom>
                                <a:noFill/>
                                <a:ln w="6096" cap="flat" cmpd="sng">
                                  <a:solidFill>
                                    <a:srgbClr val="000000"/>
                                  </a:solidFill>
                                  <a:prstDash val="solid"/>
                                  <a:headEnd type="none" w="med" len="med"/>
                                  <a:tailEnd type="none" w="med" len="med"/>
                                </a:ln>
                              </wps:spPr>
                              <wps:bodyPr upright="1"/>
                            </wps:wsp>
                            <wps:wsp>
                              <wps:cNvPr id="37" name="任意多边形 37"/>
                              <wps:cNvSpPr/>
                              <wps:spPr>
                                <a:xfrm>
                                  <a:off x="0" y="0"/>
                                  <a:ext cx="1296" cy="826"/>
                                </a:xfrm>
                                <a:custGeom>
                                  <a:avLst/>
                                  <a:gdLst/>
                                  <a:ahLst/>
                                  <a:cxnLst/>
                                  <a:pathLst>
                                    <a:path w="1296" h="826">
                                      <a:moveTo>
                                        <a:pt x="2" y="4"/>
                                      </a:moveTo>
                                      <a:lnTo>
                                        <a:pt x="1292" y="822"/>
                                      </a:lnTo>
                                    </a:path>
                                  </a:pathLst>
                                </a:custGeom>
                                <a:noFill/>
                                <a:ln w="635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2.35pt;margin-top:4.7pt;height:41.35pt;width:64.8pt;z-index:-251646976;mso-width-relative:page;mso-height-relative:page;" coordsize="1296,826" o:gfxdata="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QlOVvtcAAAAHAQAADwAAAAAAAAABACAAAAAiAAAAZHJzL2Rv&#10;d25yZXYueG1sUEsBAhQAFAAAAAgAh07iQBsb+EDmAgAAZggAAA4AAAAAAAAAAQAgAAAAJgEAAGRy&#10;cy9lMm9Eb2MueG1sUEsFBgAAAAAGAAYAWQEAAH4GAAAAAA==&#10;">
                      <o:lock v:ext="edit" aspectratio="f"/>
                      <v:shape id="_x0000_s1026" o:spid="_x0000_s1026" o:spt="100" style="position:absolute;left:5;top:1;height:439;width:1233;" filled="f" stroked="t" coordsize="1233,439" o:gfxdata="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a86a/&#10;AAAA2wAAAA8AAAAAAAAAAQAgAAAAIgAAAGRycy9kb3ducmV2LnhtbFBLAQIUABQAAAAIAIdO4kAz&#10;LwWeOwAAADkAAAAQAAAAAAAAAAEAIAAAAA4BAABkcnMvc2hhcGV4bWwueG1sUEsFBgAAAAAGAAYA&#10;WwEAALgDAAAAAA==&#10;" path="m1,4l1230,433e">
                        <v:fill on="f" focussize="0,0"/>
                        <v:stroke weight="0.48pt" color="#000000" joinstyle="round"/>
                        <v:imagedata o:title=""/>
                        <o:lock v:ext="edit" aspectratio="f"/>
                      </v:shape>
                      <v:shape id="_x0000_s1026" o:spid="_x0000_s1026" o:spt="100" style="position:absolute;left:0;top:0;height:826;width:1296;" filled="f" stroked="t" coordsize="1296,826" o:gfxdata="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dtfy/&#10;AAAA2wAAAA8AAAAAAAAAAQAgAAAAIgAAAGRycy9kb3ducmV2LnhtbFBLAQIUABQAAAAIAIdO4kAz&#10;LwWeOwAAADkAAAAQAAAAAAAAAAEAIAAAAA4BAABkcnMvc2hhcGV4bWwueG1sUEsFBgAAAAAGAAYA&#10;WwEAALgDAAAAAA==&#10;" path="m2,4l1292,822e">
                        <v:fill on="f" focussize="0,0"/>
                        <v:stroke weight="0.5pt" color="#000000" joinstyle="round"/>
                        <v:imagedata o:title=""/>
                        <o:lock v:ext="edit" aspectratio="f"/>
                      </v:shape>
                    </v:group>
                  </w:pict>
                </mc:Fallback>
              </mc:AlternateContent>
            </w:r>
            <w:r>
              <w:rPr>
                <w:rFonts w:hint="default"/>
                <w:spacing w:val="-4"/>
              </w:rPr>
              <w:t>年度</w:t>
            </w:r>
          </w:p>
          <w:p>
            <w:pPr>
              <w:pStyle w:val="72"/>
              <w:keepNext w:val="0"/>
              <w:keepLines w:val="0"/>
              <w:suppressLineNumbers w:val="0"/>
              <w:spacing w:before="192" w:beforeAutospacing="0" w:after="0" w:afterAutospacing="0" w:line="221" w:lineRule="auto"/>
              <w:ind w:left="0" w:right="0"/>
              <w:jc w:val="right"/>
              <w:rPr>
                <w:rFonts w:hint="default"/>
              </w:rPr>
            </w:pPr>
            <w:r>
              <w:rPr>
                <w:rFonts w:hint="default"/>
                <w:spacing w:val="-4"/>
              </w:rPr>
              <w:t>季度</w:t>
            </w:r>
          </w:p>
          <w:p>
            <w:pPr>
              <w:pStyle w:val="72"/>
              <w:keepNext w:val="0"/>
              <w:keepLines w:val="0"/>
              <w:suppressLineNumbers w:val="0"/>
              <w:spacing w:before="15" w:beforeAutospacing="0" w:after="0" w:afterAutospacing="0" w:line="221" w:lineRule="auto"/>
              <w:ind w:left="8" w:right="0"/>
              <w:rPr>
                <w:rFonts w:hint="default"/>
              </w:rPr>
            </w:pPr>
            <w:r>
              <w:rPr>
                <w:rFonts w:hint="default"/>
                <w:spacing w:val="-2"/>
              </w:rPr>
              <w:t>进度</w:t>
            </w:r>
          </w:p>
        </w:tc>
        <w:tc>
          <w:tcPr>
            <w:tcW w:w="4862" w:type="dxa"/>
            <w:gridSpan w:val="12"/>
            <w:vAlign w:val="top"/>
          </w:tcPr>
          <w:p>
            <w:pPr>
              <w:pStyle w:val="72"/>
              <w:keepNext w:val="0"/>
              <w:keepLines w:val="0"/>
              <w:suppressLineNumbers w:val="0"/>
              <w:tabs>
                <w:tab w:val="left" w:pos="2742"/>
              </w:tabs>
              <w:spacing w:before="79" w:beforeAutospacing="0" w:after="0" w:afterAutospacing="0" w:line="221" w:lineRule="auto"/>
              <w:ind w:left="1900" w:right="0"/>
              <w:rPr>
                <w:rFonts w:hint="default"/>
              </w:rPr>
            </w:pPr>
            <w:r>
              <w:rPr>
                <w:rFonts w:hint="default"/>
                <w:u w:val="single" w:color="auto"/>
              </w:rPr>
              <w:tab/>
            </w:r>
            <w:r>
              <w:rPr>
                <w:rFonts w:hint="default"/>
              </w:rPr>
              <w:t>年</w:t>
            </w:r>
          </w:p>
        </w:tc>
        <w:tc>
          <w:tcPr>
            <w:tcW w:w="3258" w:type="dxa"/>
            <w:gridSpan w:val="8"/>
            <w:vAlign w:val="top"/>
          </w:tcPr>
          <w:p>
            <w:pPr>
              <w:pStyle w:val="72"/>
              <w:keepNext w:val="0"/>
              <w:keepLines w:val="0"/>
              <w:suppressLineNumbers w:val="0"/>
              <w:tabs>
                <w:tab w:val="left" w:pos="2046"/>
              </w:tabs>
              <w:spacing w:before="79" w:beforeAutospacing="0" w:after="0" w:afterAutospacing="0" w:line="221" w:lineRule="auto"/>
              <w:ind w:left="994" w:right="0"/>
              <w:rPr>
                <w:rFonts w:hint="default"/>
              </w:rPr>
            </w:pPr>
            <w:r>
              <w:rPr>
                <w:rFonts w:hint="default"/>
                <w:u w:val="single" w:color="auto"/>
              </w:rPr>
              <w:tab/>
            </w:r>
            <w:r>
              <w:rPr>
                <w:rFonts w:hint="default"/>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244" w:type="dxa"/>
            <w:gridSpan w:val="2"/>
            <w:vMerge w:val="continue"/>
            <w:tcBorders>
              <w:top w:val="nil"/>
              <w:bottom w:val="nil"/>
            </w:tcBorders>
            <w:vAlign w:val="top"/>
          </w:tcPr>
          <w:p>
            <w:pPr>
              <w:keepNext w:val="0"/>
              <w:keepLines w:val="0"/>
              <w:suppressLineNumbers w:val="0"/>
              <w:spacing w:before="0" w:beforeAutospacing="0" w:after="0" w:afterAutospacing="0"/>
              <w:ind w:left="0" w:right="0"/>
              <w:rPr>
                <w:rFonts w:hint="default" w:ascii="Arial"/>
                <w:sz w:val="21"/>
              </w:rPr>
            </w:pPr>
          </w:p>
        </w:tc>
        <w:tc>
          <w:tcPr>
            <w:tcW w:w="1213" w:type="dxa"/>
            <w:gridSpan w:val="3"/>
            <w:tcBorders>
              <w:bottom w:val="single" w:color="000000" w:sz="4" w:space="0"/>
            </w:tcBorders>
            <w:vAlign w:val="top"/>
          </w:tcPr>
          <w:p>
            <w:pPr>
              <w:pStyle w:val="72"/>
              <w:keepNext w:val="0"/>
              <w:keepLines w:val="0"/>
              <w:suppressLineNumbers w:val="0"/>
              <w:spacing w:before="157" w:beforeAutospacing="0" w:after="0" w:afterAutospacing="0" w:line="163" w:lineRule="exact"/>
              <w:ind w:left="505" w:right="0"/>
              <w:rPr>
                <w:rFonts w:hint="default"/>
              </w:rPr>
            </w:pPr>
            <w:r>
              <w:rPr>
                <w:rFonts w:hint="default"/>
                <w:position w:val="-4"/>
              </w:rPr>
              <w:t>一</w:t>
            </w:r>
          </w:p>
        </w:tc>
        <w:tc>
          <w:tcPr>
            <w:tcW w:w="1214" w:type="dxa"/>
            <w:gridSpan w:val="3"/>
            <w:tcBorders>
              <w:bottom w:val="single" w:color="000000" w:sz="4" w:space="0"/>
            </w:tcBorders>
            <w:vAlign w:val="top"/>
          </w:tcPr>
          <w:p>
            <w:pPr>
              <w:pStyle w:val="72"/>
              <w:keepNext w:val="0"/>
              <w:keepLines w:val="0"/>
              <w:suppressLineNumbers w:val="0"/>
              <w:spacing w:before="117" w:beforeAutospacing="0" w:after="0" w:afterAutospacing="0" w:line="179" w:lineRule="auto"/>
              <w:ind w:left="509" w:right="0"/>
              <w:rPr>
                <w:rFonts w:hint="default"/>
              </w:rPr>
            </w:pPr>
            <w:r>
              <w:rPr>
                <w:rFonts w:hint="default"/>
              </w:rPr>
              <w:t>二</w:t>
            </w:r>
          </w:p>
        </w:tc>
        <w:tc>
          <w:tcPr>
            <w:tcW w:w="1218" w:type="dxa"/>
            <w:gridSpan w:val="3"/>
            <w:tcBorders>
              <w:bottom w:val="single" w:color="000000" w:sz="4" w:space="0"/>
            </w:tcBorders>
            <w:vAlign w:val="top"/>
          </w:tcPr>
          <w:p>
            <w:pPr>
              <w:pStyle w:val="72"/>
              <w:keepNext w:val="0"/>
              <w:keepLines w:val="0"/>
              <w:suppressLineNumbers w:val="0"/>
              <w:spacing w:before="78" w:beforeAutospacing="0" w:after="0" w:afterAutospacing="0" w:line="238" w:lineRule="auto"/>
              <w:ind w:left="506" w:right="0"/>
              <w:rPr>
                <w:rFonts w:hint="default"/>
              </w:rPr>
            </w:pPr>
            <w:r>
              <w:rPr>
                <w:rFonts w:hint="default"/>
              </w:rPr>
              <w:t>三</w:t>
            </w:r>
          </w:p>
        </w:tc>
        <w:tc>
          <w:tcPr>
            <w:tcW w:w="1217" w:type="dxa"/>
            <w:gridSpan w:val="3"/>
            <w:tcBorders>
              <w:bottom w:val="single" w:color="000000" w:sz="4" w:space="0"/>
            </w:tcBorders>
            <w:vAlign w:val="top"/>
          </w:tcPr>
          <w:p>
            <w:pPr>
              <w:pStyle w:val="72"/>
              <w:keepNext w:val="0"/>
              <w:keepLines w:val="0"/>
              <w:suppressLineNumbers w:val="0"/>
              <w:spacing w:before="79" w:beforeAutospacing="0" w:after="0" w:afterAutospacing="0" w:line="223" w:lineRule="auto"/>
              <w:ind w:left="528" w:right="0"/>
              <w:rPr>
                <w:rFonts w:hint="default"/>
              </w:rPr>
            </w:pPr>
            <w:r>
              <w:rPr>
                <w:rFonts w:hint="default"/>
              </w:rPr>
              <w:t>四</w:t>
            </w:r>
          </w:p>
        </w:tc>
        <w:tc>
          <w:tcPr>
            <w:tcW w:w="1219" w:type="dxa"/>
            <w:gridSpan w:val="3"/>
            <w:tcBorders>
              <w:bottom w:val="single" w:color="000000" w:sz="4" w:space="0"/>
            </w:tcBorders>
            <w:vAlign w:val="top"/>
          </w:tcPr>
          <w:p>
            <w:pPr>
              <w:pStyle w:val="72"/>
              <w:keepNext w:val="0"/>
              <w:keepLines w:val="0"/>
              <w:suppressLineNumbers w:val="0"/>
              <w:spacing w:before="157" w:beforeAutospacing="0" w:after="0" w:afterAutospacing="0" w:line="163" w:lineRule="exact"/>
              <w:ind w:left="511" w:right="0"/>
              <w:rPr>
                <w:rFonts w:hint="default"/>
              </w:rPr>
            </w:pPr>
            <w:r>
              <w:rPr>
                <w:rFonts w:hint="default"/>
                <w:position w:val="-4"/>
              </w:rPr>
              <w:t>一</w:t>
            </w:r>
          </w:p>
        </w:tc>
        <w:tc>
          <w:tcPr>
            <w:tcW w:w="1218" w:type="dxa"/>
            <w:gridSpan w:val="3"/>
            <w:tcBorders>
              <w:bottom w:val="single" w:color="000000" w:sz="4" w:space="0"/>
            </w:tcBorders>
            <w:vAlign w:val="top"/>
          </w:tcPr>
          <w:p>
            <w:pPr>
              <w:pStyle w:val="72"/>
              <w:keepNext w:val="0"/>
              <w:keepLines w:val="0"/>
              <w:suppressLineNumbers w:val="0"/>
              <w:spacing w:before="117" w:beforeAutospacing="0" w:after="0" w:afterAutospacing="0" w:line="179" w:lineRule="auto"/>
              <w:ind w:left="512" w:right="0"/>
              <w:rPr>
                <w:rFonts w:hint="default"/>
              </w:rPr>
            </w:pPr>
            <w:r>
              <w:rPr>
                <w:rFonts w:hint="default"/>
              </w:rPr>
              <w:t>二</w:t>
            </w:r>
          </w:p>
        </w:tc>
        <w:tc>
          <w:tcPr>
            <w:tcW w:w="821" w:type="dxa"/>
            <w:gridSpan w:val="2"/>
            <w:tcBorders>
              <w:bottom w:val="single" w:color="000000" w:sz="4" w:space="0"/>
            </w:tcBorders>
            <w:vAlign w:val="top"/>
          </w:tcPr>
          <w:p>
            <w:pPr>
              <w:keepNext w:val="0"/>
              <w:keepLines w:val="0"/>
              <w:suppressLineNumbers w:val="0"/>
              <w:spacing w:before="167" w:beforeAutospacing="0" w:after="0" w:afterAutospacing="0" w:line="66" w:lineRule="exact"/>
              <w:ind w:left="220" w:right="0"/>
              <w:rPr>
                <w:rFonts w:hint="default" w:ascii="Times New Roman" w:hAnsi="Times New Roman" w:eastAsia="Times New Roman" w:cs="Times New Roman"/>
                <w:sz w:val="21"/>
                <w:szCs w:val="21"/>
              </w:rPr>
            </w:pPr>
            <w:r>
              <w:rPr>
                <w:rFonts w:hint="default" w:ascii="Times New Roman" w:hAnsi="Times New Roman" w:eastAsia="Times New Roman" w:cs="Times New Roman"/>
                <w:spacing w:val="-6"/>
                <w:position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244" w:type="dxa"/>
            <w:gridSpan w:val="2"/>
            <w:vMerge w:val="continue"/>
            <w:tcBorders>
              <w:top w:val="nil"/>
            </w:tcBorders>
            <w:vAlign w:val="top"/>
          </w:tcPr>
          <w:p>
            <w:pPr>
              <w:keepNext w:val="0"/>
              <w:keepLines w:val="0"/>
              <w:suppressLineNumbers w:val="0"/>
              <w:spacing w:before="0" w:beforeAutospacing="0" w:after="0" w:afterAutospacing="0"/>
              <w:ind w:left="0" w:right="0"/>
              <w:rPr>
                <w:rFonts w:hint="default" w:ascii="Arial"/>
                <w:sz w:val="21"/>
              </w:rPr>
            </w:pPr>
          </w:p>
        </w:tc>
        <w:tc>
          <w:tcPr>
            <w:tcW w:w="1213" w:type="dxa"/>
            <w:gridSpan w:val="3"/>
            <w:tcBorders>
              <w:top w:val="single" w:color="000000" w:sz="4" w:space="0"/>
            </w:tcBorders>
            <w:vAlign w:val="top"/>
          </w:tcPr>
          <w:p>
            <w:pPr>
              <w:keepNext w:val="0"/>
              <w:keepLines w:val="0"/>
              <w:suppressLineNumbers w:val="0"/>
              <w:spacing w:before="172" w:beforeAutospacing="0" w:after="0" w:afterAutospacing="0" w:line="185" w:lineRule="auto"/>
              <w:ind w:left="168" w:right="0"/>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0"/>
                <w:sz w:val="21"/>
                <w:szCs w:val="21"/>
              </w:rPr>
              <w:t>1</w:t>
            </w:r>
            <w:r>
              <w:rPr>
                <w:rFonts w:hint="eastAsia" w:eastAsia="宋体" w:cs="Times New Roman"/>
                <w:spacing w:val="-10"/>
                <w:sz w:val="21"/>
                <w:szCs w:val="21"/>
                <w:lang w:val="en-US" w:eastAsia="zh-CN"/>
              </w:rPr>
              <w:t xml:space="preserve">    </w:t>
            </w:r>
            <w:r>
              <w:rPr>
                <w:rFonts w:hint="default" w:ascii="Times New Roman" w:hAnsi="Times New Roman" w:eastAsia="Times New Roman" w:cs="Times New Roman"/>
                <w:spacing w:val="-10"/>
                <w:sz w:val="21"/>
                <w:szCs w:val="21"/>
              </w:rPr>
              <w:t>2</w:t>
            </w:r>
            <w:r>
              <w:rPr>
                <w:rFonts w:hint="eastAsia" w:eastAsia="宋体" w:cs="Times New Roman"/>
                <w:spacing w:val="-10"/>
                <w:sz w:val="21"/>
                <w:szCs w:val="21"/>
                <w:lang w:val="en-US" w:eastAsia="zh-CN"/>
              </w:rPr>
              <w:t xml:space="preserve">    </w:t>
            </w:r>
            <w:r>
              <w:rPr>
                <w:rFonts w:hint="default" w:ascii="Times New Roman" w:hAnsi="Times New Roman" w:eastAsia="Times New Roman" w:cs="Times New Roman"/>
                <w:spacing w:val="-10"/>
                <w:sz w:val="21"/>
                <w:szCs w:val="21"/>
              </w:rPr>
              <w:t>3</w:t>
            </w:r>
          </w:p>
        </w:tc>
        <w:tc>
          <w:tcPr>
            <w:tcW w:w="1214" w:type="dxa"/>
            <w:gridSpan w:val="3"/>
            <w:tcBorders>
              <w:top w:val="single" w:color="000000" w:sz="4" w:space="0"/>
            </w:tcBorders>
            <w:vAlign w:val="top"/>
          </w:tcPr>
          <w:p>
            <w:pPr>
              <w:keepNext w:val="0"/>
              <w:keepLines w:val="0"/>
              <w:suppressLineNumbers w:val="0"/>
              <w:spacing w:before="172" w:beforeAutospacing="0" w:after="0" w:afterAutospacing="0" w:line="185" w:lineRule="auto"/>
              <w:ind w:left="148" w:right="0"/>
              <w:rPr>
                <w:rFonts w:hint="default" w:ascii="Times New Roman" w:hAnsi="Times New Roman" w:eastAsia="Times New Roman" w:cs="Times New Roman"/>
                <w:sz w:val="21"/>
                <w:szCs w:val="21"/>
              </w:rPr>
            </w:pPr>
            <w:r>
              <w:rPr>
                <w:rFonts w:hint="default" w:ascii="Times New Roman" w:hAnsi="Times New Roman" w:eastAsia="Times New Roman" w:cs="Times New Roman"/>
                <w:spacing w:val="-5"/>
                <w:sz w:val="21"/>
                <w:szCs w:val="21"/>
              </w:rPr>
              <w:t>4</w:t>
            </w:r>
            <w:r>
              <w:rPr>
                <w:rFonts w:hint="eastAsia" w:eastAsia="宋体" w:cs="Times New Roman"/>
                <w:spacing w:val="-5"/>
                <w:sz w:val="21"/>
                <w:szCs w:val="21"/>
                <w:lang w:val="en-US" w:eastAsia="zh-CN"/>
              </w:rPr>
              <w:t xml:space="preserve">    </w:t>
            </w:r>
            <w:r>
              <w:rPr>
                <w:rFonts w:hint="default" w:ascii="Times New Roman" w:hAnsi="Times New Roman" w:eastAsia="Times New Roman" w:cs="Times New Roman"/>
                <w:spacing w:val="-5"/>
                <w:sz w:val="21"/>
                <w:szCs w:val="21"/>
              </w:rPr>
              <w:t>5</w:t>
            </w:r>
            <w:r>
              <w:rPr>
                <w:rFonts w:hint="eastAsia" w:eastAsia="宋体" w:cs="Times New Roman"/>
                <w:spacing w:val="-5"/>
                <w:sz w:val="21"/>
                <w:szCs w:val="21"/>
                <w:lang w:val="en-US" w:eastAsia="zh-CN"/>
              </w:rPr>
              <w:t xml:space="preserve">   </w:t>
            </w:r>
            <w:r>
              <w:rPr>
                <w:rFonts w:hint="default" w:ascii="Times New Roman" w:hAnsi="Times New Roman" w:eastAsia="Times New Roman" w:cs="Times New Roman"/>
                <w:spacing w:val="-5"/>
                <w:sz w:val="21"/>
                <w:szCs w:val="21"/>
              </w:rPr>
              <w:t>6</w:t>
            </w:r>
          </w:p>
        </w:tc>
        <w:tc>
          <w:tcPr>
            <w:tcW w:w="1218" w:type="dxa"/>
            <w:gridSpan w:val="3"/>
            <w:tcBorders>
              <w:top w:val="single" w:color="000000" w:sz="4" w:space="0"/>
            </w:tcBorders>
            <w:vAlign w:val="top"/>
          </w:tcPr>
          <w:p>
            <w:pPr>
              <w:keepNext w:val="0"/>
              <w:keepLines w:val="0"/>
              <w:suppressLineNumbers w:val="0"/>
              <w:spacing w:before="172" w:beforeAutospacing="0" w:after="0" w:afterAutospacing="0" w:line="185" w:lineRule="auto"/>
              <w:ind w:left="153" w:right="0"/>
              <w:rPr>
                <w:rFonts w:hint="default" w:ascii="Times New Roman" w:hAnsi="Times New Roman" w:eastAsia="Times New Roman" w:cs="Times New Roman"/>
                <w:sz w:val="21"/>
                <w:szCs w:val="21"/>
              </w:rPr>
            </w:pPr>
            <w:r>
              <w:rPr>
                <w:rFonts w:hint="default" w:ascii="Times New Roman" w:hAnsi="Times New Roman" w:eastAsia="Times New Roman" w:cs="Times New Roman"/>
                <w:spacing w:val="-7"/>
                <w:sz w:val="21"/>
                <w:szCs w:val="21"/>
              </w:rPr>
              <w:t>7</w:t>
            </w:r>
            <w:r>
              <w:rPr>
                <w:rFonts w:hint="eastAsia" w:eastAsia="宋体" w:cs="Times New Roman"/>
                <w:spacing w:val="-7"/>
                <w:sz w:val="21"/>
                <w:szCs w:val="21"/>
                <w:lang w:val="en-US" w:eastAsia="zh-CN"/>
              </w:rPr>
              <w:t xml:space="preserve">   </w:t>
            </w:r>
            <w:r>
              <w:rPr>
                <w:rFonts w:hint="default" w:ascii="Times New Roman" w:hAnsi="Times New Roman" w:eastAsia="Times New Roman" w:cs="Times New Roman"/>
                <w:spacing w:val="-7"/>
                <w:sz w:val="21"/>
                <w:szCs w:val="21"/>
              </w:rPr>
              <w:t>8</w:t>
            </w:r>
            <w:r>
              <w:rPr>
                <w:rFonts w:hint="eastAsia" w:eastAsia="宋体" w:cs="Times New Roman"/>
                <w:spacing w:val="-7"/>
                <w:sz w:val="21"/>
                <w:szCs w:val="21"/>
                <w:lang w:val="en-US" w:eastAsia="zh-CN"/>
              </w:rPr>
              <w:t xml:space="preserve">   </w:t>
            </w:r>
            <w:r>
              <w:rPr>
                <w:rFonts w:hint="default" w:ascii="Times New Roman" w:hAnsi="Times New Roman" w:eastAsia="Times New Roman" w:cs="Times New Roman"/>
                <w:spacing w:val="-7"/>
                <w:sz w:val="21"/>
                <w:szCs w:val="21"/>
              </w:rPr>
              <w:t>9</w:t>
            </w:r>
          </w:p>
        </w:tc>
        <w:tc>
          <w:tcPr>
            <w:tcW w:w="1217" w:type="dxa"/>
            <w:gridSpan w:val="3"/>
            <w:tcBorders>
              <w:top w:val="single" w:color="000000" w:sz="4" w:space="0"/>
            </w:tcBorders>
            <w:vAlign w:val="top"/>
          </w:tcPr>
          <w:p>
            <w:pPr>
              <w:keepNext w:val="0"/>
              <w:keepLines w:val="0"/>
              <w:suppressLineNumbers w:val="0"/>
              <w:spacing w:before="172" w:beforeAutospacing="0" w:after="0" w:afterAutospacing="0" w:line="185" w:lineRule="auto"/>
              <w:ind w:left="118" w:right="0"/>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1"/>
                <w:sz w:val="21"/>
                <w:szCs w:val="21"/>
              </w:rPr>
              <w:t>10</w:t>
            </w:r>
            <w:r>
              <w:rPr>
                <w:rFonts w:hint="eastAsia" w:eastAsia="宋体" w:cs="Times New Roman"/>
                <w:spacing w:val="-11"/>
                <w:sz w:val="21"/>
                <w:szCs w:val="21"/>
                <w:lang w:val="en-US" w:eastAsia="zh-CN"/>
              </w:rPr>
              <w:t xml:space="preserve">   </w:t>
            </w:r>
            <w:r>
              <w:rPr>
                <w:rFonts w:hint="default" w:ascii="Times New Roman" w:hAnsi="Times New Roman" w:eastAsia="Times New Roman" w:cs="Times New Roman"/>
                <w:spacing w:val="-11"/>
                <w:sz w:val="21"/>
                <w:szCs w:val="21"/>
              </w:rPr>
              <w:t>11</w:t>
            </w:r>
            <w:r>
              <w:rPr>
                <w:rFonts w:hint="eastAsia" w:eastAsia="宋体" w:cs="Times New Roman"/>
                <w:spacing w:val="-11"/>
                <w:sz w:val="21"/>
                <w:szCs w:val="21"/>
                <w:lang w:val="en-US" w:eastAsia="zh-CN"/>
              </w:rPr>
              <w:t xml:space="preserve">   </w:t>
            </w:r>
            <w:r>
              <w:rPr>
                <w:rFonts w:hint="default" w:ascii="Times New Roman" w:hAnsi="Times New Roman" w:eastAsia="Times New Roman" w:cs="Times New Roman"/>
                <w:spacing w:val="-11"/>
                <w:sz w:val="21"/>
                <w:szCs w:val="21"/>
              </w:rPr>
              <w:t>12</w:t>
            </w:r>
          </w:p>
        </w:tc>
        <w:tc>
          <w:tcPr>
            <w:tcW w:w="1219" w:type="dxa"/>
            <w:gridSpan w:val="3"/>
            <w:tcBorders>
              <w:top w:val="single" w:color="000000" w:sz="4" w:space="0"/>
            </w:tcBorders>
            <w:vAlign w:val="top"/>
          </w:tcPr>
          <w:p>
            <w:pPr>
              <w:keepNext w:val="0"/>
              <w:keepLines w:val="0"/>
              <w:suppressLineNumbers w:val="0"/>
              <w:spacing w:before="172" w:beforeAutospacing="0" w:after="0" w:afterAutospacing="0" w:line="185" w:lineRule="auto"/>
              <w:ind w:left="171" w:right="0"/>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0"/>
                <w:sz w:val="21"/>
                <w:szCs w:val="21"/>
              </w:rPr>
              <w:t>1</w:t>
            </w:r>
            <w:r>
              <w:rPr>
                <w:rFonts w:hint="eastAsia" w:eastAsia="宋体" w:cs="Times New Roman"/>
                <w:spacing w:val="-10"/>
                <w:sz w:val="21"/>
                <w:szCs w:val="21"/>
                <w:lang w:val="en-US" w:eastAsia="zh-CN"/>
              </w:rPr>
              <w:t xml:space="preserve">  </w:t>
            </w:r>
            <w:r>
              <w:rPr>
                <w:rFonts w:hint="default" w:ascii="Times New Roman" w:hAnsi="Times New Roman" w:eastAsia="Times New Roman" w:cs="Times New Roman"/>
                <w:spacing w:val="-10"/>
                <w:sz w:val="21"/>
                <w:szCs w:val="21"/>
              </w:rPr>
              <w:t>2</w:t>
            </w:r>
            <w:r>
              <w:rPr>
                <w:rFonts w:hint="eastAsia" w:eastAsia="宋体" w:cs="Times New Roman"/>
                <w:spacing w:val="-10"/>
                <w:sz w:val="21"/>
                <w:szCs w:val="21"/>
                <w:lang w:val="en-US" w:eastAsia="zh-CN"/>
              </w:rPr>
              <w:t xml:space="preserve">  </w:t>
            </w:r>
            <w:r>
              <w:rPr>
                <w:rFonts w:hint="default" w:ascii="Times New Roman" w:hAnsi="Times New Roman" w:eastAsia="Times New Roman" w:cs="Times New Roman"/>
                <w:spacing w:val="-10"/>
                <w:sz w:val="21"/>
                <w:szCs w:val="21"/>
              </w:rPr>
              <w:t>3</w:t>
            </w:r>
          </w:p>
        </w:tc>
        <w:tc>
          <w:tcPr>
            <w:tcW w:w="1218" w:type="dxa"/>
            <w:gridSpan w:val="3"/>
            <w:tcBorders>
              <w:top w:val="single" w:color="000000" w:sz="4" w:space="0"/>
            </w:tcBorders>
            <w:vAlign w:val="top"/>
          </w:tcPr>
          <w:p>
            <w:pPr>
              <w:keepNext w:val="0"/>
              <w:keepLines w:val="0"/>
              <w:suppressLineNumbers w:val="0"/>
              <w:spacing w:before="172" w:beforeAutospacing="0" w:after="0" w:afterAutospacing="0" w:line="185" w:lineRule="auto"/>
              <w:ind w:left="150" w:right="0"/>
              <w:rPr>
                <w:rFonts w:hint="default" w:ascii="Times New Roman" w:hAnsi="Times New Roman" w:eastAsia="Times New Roman" w:cs="Times New Roman"/>
                <w:sz w:val="21"/>
                <w:szCs w:val="21"/>
              </w:rPr>
            </w:pPr>
            <w:r>
              <w:rPr>
                <w:rFonts w:hint="default" w:ascii="Times New Roman" w:hAnsi="Times New Roman" w:eastAsia="Times New Roman" w:cs="Times New Roman"/>
                <w:spacing w:val="-5"/>
                <w:sz w:val="21"/>
                <w:szCs w:val="21"/>
              </w:rPr>
              <w:t>4</w:t>
            </w:r>
            <w:r>
              <w:rPr>
                <w:rFonts w:hint="eastAsia" w:eastAsia="宋体" w:cs="Times New Roman"/>
                <w:spacing w:val="-5"/>
                <w:sz w:val="21"/>
                <w:szCs w:val="21"/>
                <w:lang w:val="en-US" w:eastAsia="zh-CN"/>
              </w:rPr>
              <w:t xml:space="preserve">   </w:t>
            </w:r>
            <w:r>
              <w:rPr>
                <w:rFonts w:hint="default" w:ascii="Times New Roman" w:hAnsi="Times New Roman" w:eastAsia="Times New Roman" w:cs="Times New Roman"/>
                <w:spacing w:val="-5"/>
                <w:sz w:val="21"/>
                <w:szCs w:val="21"/>
              </w:rPr>
              <w:t>5</w:t>
            </w:r>
            <w:r>
              <w:rPr>
                <w:rFonts w:hint="eastAsia" w:eastAsia="宋体" w:cs="Times New Roman"/>
                <w:spacing w:val="-5"/>
                <w:sz w:val="21"/>
                <w:szCs w:val="21"/>
                <w:lang w:val="en-US" w:eastAsia="zh-CN"/>
              </w:rPr>
              <w:t xml:space="preserve">   </w:t>
            </w:r>
            <w:r>
              <w:rPr>
                <w:rFonts w:hint="default" w:ascii="Times New Roman" w:hAnsi="Times New Roman" w:eastAsia="Times New Roman" w:cs="Times New Roman"/>
                <w:spacing w:val="-5"/>
                <w:sz w:val="21"/>
                <w:szCs w:val="21"/>
              </w:rPr>
              <w:t>6</w:t>
            </w:r>
          </w:p>
        </w:tc>
        <w:tc>
          <w:tcPr>
            <w:tcW w:w="821" w:type="dxa"/>
            <w:gridSpan w:val="2"/>
            <w:tcBorders>
              <w:top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775" w:type="dxa"/>
            <w:vMerge w:val="restart"/>
            <w:tcBorders>
              <w:bottom w:val="nil"/>
              <w:right w:val="nil"/>
            </w:tcBorders>
            <w:vAlign w:val="top"/>
          </w:tcPr>
          <w:p>
            <w:pPr>
              <w:keepNext w:val="0"/>
              <w:keepLines w:val="0"/>
              <w:suppressLineNumbers w:val="0"/>
              <w:spacing w:before="0" w:beforeAutospacing="0" w:after="0" w:afterAutospacing="0" w:line="278" w:lineRule="auto"/>
              <w:ind w:left="0" w:right="0"/>
              <w:rPr>
                <w:rFonts w:hint="default" w:ascii="Arial"/>
                <w:sz w:val="21"/>
              </w:rPr>
            </w:pPr>
          </w:p>
          <w:p>
            <w:pPr>
              <w:keepNext w:val="0"/>
              <w:keepLines w:val="0"/>
              <w:suppressLineNumbers w:val="0"/>
              <w:spacing w:before="0" w:beforeAutospacing="0" w:after="0" w:afterAutospacing="0" w:line="279" w:lineRule="auto"/>
              <w:ind w:left="0" w:right="0"/>
              <w:rPr>
                <w:rFonts w:hint="default" w:ascii="Arial"/>
                <w:sz w:val="21"/>
              </w:rPr>
            </w:pPr>
          </w:p>
          <w:p>
            <w:pPr>
              <w:keepNext w:val="0"/>
              <w:keepLines w:val="0"/>
              <w:suppressLineNumbers w:val="0"/>
              <w:spacing w:before="0" w:beforeAutospacing="0" w:after="0" w:afterAutospacing="0" w:line="279" w:lineRule="auto"/>
              <w:ind w:left="0" w:right="0"/>
              <w:rPr>
                <w:rFonts w:hint="default" w:ascii="Arial"/>
                <w:sz w:val="21"/>
              </w:rPr>
            </w:pPr>
          </w:p>
          <w:p>
            <w:pPr>
              <w:pStyle w:val="72"/>
              <w:keepNext w:val="0"/>
              <w:keepLines w:val="0"/>
              <w:suppressLineNumbers w:val="0"/>
              <w:spacing w:before="68" w:beforeAutospacing="0" w:after="0" w:afterAutospacing="0" w:line="236" w:lineRule="auto"/>
              <w:ind w:left="167" w:right="0"/>
              <w:rPr>
                <w:rFonts w:hint="default"/>
              </w:rPr>
            </w:pPr>
            <w:r>
              <w:rPr>
                <w:rFonts w:hint="default"/>
              </w:rPr>
              <w:t>工</w:t>
            </w:r>
          </w:p>
          <w:p>
            <w:pPr>
              <w:pStyle w:val="72"/>
              <w:keepNext w:val="0"/>
              <w:keepLines w:val="0"/>
              <w:suppressLineNumbers w:val="0"/>
              <w:spacing w:before="0" w:beforeAutospacing="0" w:after="0" w:afterAutospacing="0" w:line="221" w:lineRule="auto"/>
              <w:ind w:left="163" w:right="0"/>
              <w:rPr>
                <w:rFonts w:hint="default"/>
              </w:rPr>
            </w:pPr>
            <w:r>
              <w:rPr>
                <w:rFonts w:hint="default"/>
              </w:rPr>
              <w:t>程</w:t>
            </w:r>
          </w:p>
          <w:p>
            <w:pPr>
              <w:pStyle w:val="72"/>
              <w:keepNext w:val="0"/>
              <w:keepLines w:val="0"/>
              <w:suppressLineNumbers w:val="0"/>
              <w:spacing w:before="16" w:beforeAutospacing="0" w:after="0" w:afterAutospacing="0" w:line="221" w:lineRule="auto"/>
              <w:ind w:left="166" w:right="0"/>
              <w:rPr>
                <w:rFonts w:hint="default"/>
              </w:rPr>
            </w:pPr>
            <w:r>
              <w:rPr>
                <w:rFonts w:hint="default"/>
              </w:rPr>
              <w:t>完</w:t>
            </w:r>
          </w:p>
          <w:p>
            <w:pPr>
              <w:pStyle w:val="72"/>
              <w:keepNext w:val="0"/>
              <w:keepLines w:val="0"/>
              <w:suppressLineNumbers w:val="0"/>
              <w:spacing w:before="18" w:beforeAutospacing="0" w:after="0" w:afterAutospacing="0" w:line="222" w:lineRule="auto"/>
              <w:ind w:left="166" w:right="0"/>
              <w:rPr>
                <w:rFonts w:hint="default"/>
              </w:rPr>
            </w:pPr>
            <w:r>
              <w:rPr>
                <w:rFonts w:hint="default"/>
              </w:rPr>
              <w:t>成</w:t>
            </w:r>
          </w:p>
          <w:p>
            <w:pPr>
              <w:pStyle w:val="72"/>
              <w:keepNext w:val="0"/>
              <w:keepLines w:val="0"/>
              <w:suppressLineNumbers w:val="0"/>
              <w:spacing w:before="16" w:beforeAutospacing="0" w:after="0" w:afterAutospacing="0" w:line="223" w:lineRule="auto"/>
              <w:ind w:left="181" w:right="0"/>
              <w:rPr>
                <w:rFonts w:hint="default"/>
              </w:rPr>
            </w:pPr>
            <w:r>
              <w:rPr>
                <w:rFonts w:hint="default"/>
              </w:rPr>
              <w:t>的</w:t>
            </w:r>
          </w:p>
          <w:p>
            <w:pPr>
              <w:pStyle w:val="72"/>
              <w:keepNext w:val="0"/>
              <w:keepLines w:val="0"/>
              <w:suppressLineNumbers w:val="0"/>
              <w:spacing w:before="16" w:beforeAutospacing="0" w:after="0" w:afterAutospacing="0" w:line="223" w:lineRule="auto"/>
              <w:ind w:left="171" w:right="0"/>
              <w:rPr>
                <w:rFonts w:hint="default"/>
              </w:rPr>
            </w:pPr>
            <w:r>
              <w:rPr>
                <w:rFonts w:hint="default"/>
              </w:rPr>
              <w:t>百</w:t>
            </w:r>
          </w:p>
          <w:p>
            <w:pPr>
              <w:pStyle w:val="72"/>
              <w:keepNext w:val="0"/>
              <w:keepLines w:val="0"/>
              <w:suppressLineNumbers w:val="0"/>
              <w:spacing w:before="15" w:beforeAutospacing="0" w:after="0" w:afterAutospacing="0" w:line="221" w:lineRule="auto"/>
              <w:ind w:left="167" w:right="0"/>
              <w:rPr>
                <w:rFonts w:hint="default"/>
              </w:rPr>
            </w:pPr>
            <w:r>
              <w:rPr>
                <w:rFonts w:hint="default"/>
              </w:rPr>
              <w:t>分</w:t>
            </w:r>
          </w:p>
          <w:p>
            <w:pPr>
              <w:pStyle w:val="72"/>
              <w:keepNext w:val="0"/>
              <w:keepLines w:val="0"/>
              <w:suppressLineNumbers w:val="0"/>
              <w:spacing w:before="17" w:beforeAutospacing="0" w:after="0" w:afterAutospacing="0" w:line="232" w:lineRule="auto"/>
              <w:ind w:left="187" w:right="0"/>
              <w:rPr>
                <w:rFonts w:hint="default"/>
              </w:rPr>
            </w:pPr>
            <w:r>
              <w:rPr>
                <w:rFonts w:hint="default"/>
              </w:rPr>
              <w:t>比</w:t>
            </w:r>
          </w:p>
          <w:p>
            <w:pPr>
              <w:pStyle w:val="72"/>
              <w:keepNext w:val="0"/>
              <w:keepLines w:val="0"/>
              <w:suppressLineNumbers w:val="0"/>
              <w:spacing w:before="29" w:beforeAutospacing="0" w:after="0" w:afterAutospacing="0" w:line="280" w:lineRule="exact"/>
              <w:ind w:left="127" w:right="0"/>
              <w:rPr>
                <w:rFonts w:hint="default"/>
              </w:rPr>
            </w:pPr>
            <w:r>
              <w:rPr>
                <w:rFonts w:hint="default"/>
                <w:spacing w:val="-5"/>
                <w:position w:val="1"/>
              </w:rPr>
              <w:t>（</w:t>
            </w:r>
            <w:r>
              <w:rPr>
                <w:rFonts w:hint="default" w:ascii="Times New Roman" w:hAnsi="Times New Roman" w:eastAsia="Times New Roman" w:cs="Times New Roman"/>
                <w:spacing w:val="-5"/>
                <w:position w:val="1"/>
              </w:rPr>
              <w:t>%</w:t>
            </w:r>
            <w:r>
              <w:rPr>
                <w:rFonts w:hint="default"/>
                <w:spacing w:val="-5"/>
                <w:position w:val="1"/>
              </w:rPr>
              <w:t>）</w:t>
            </w:r>
          </w:p>
        </w:tc>
        <w:tc>
          <w:tcPr>
            <w:tcW w:w="469" w:type="dxa"/>
            <w:vMerge w:val="restart"/>
            <w:tcBorders>
              <w:left w:val="nil"/>
              <w:bottom w:val="nil"/>
            </w:tcBorders>
            <w:vAlign w:val="top"/>
          </w:tcPr>
          <w:p>
            <w:pPr>
              <w:keepNext w:val="0"/>
              <w:keepLines w:val="0"/>
              <w:suppressLineNumbers w:val="0"/>
              <w:spacing w:before="45" w:beforeAutospacing="0" w:after="0" w:afterAutospacing="0" w:line="187" w:lineRule="auto"/>
              <w:ind w:left="0" w:right="0"/>
              <w:jc w:val="right"/>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0"/>
                <w:sz w:val="21"/>
                <w:szCs w:val="21"/>
              </w:rPr>
              <w:t>1</w:t>
            </w:r>
            <w:r>
              <w:rPr>
                <w:rFonts w:hint="default" w:ascii="Times New Roman" w:hAnsi="Times New Roman" w:eastAsia="Times New Roman" w:cs="Times New Roman"/>
                <w:spacing w:val="-9"/>
                <w:sz w:val="21"/>
                <w:szCs w:val="21"/>
              </w:rPr>
              <w:t>0</w:t>
            </w:r>
            <w:r>
              <w:rPr>
                <w:rFonts w:hint="default" w:ascii="Times New Roman" w:hAnsi="Times New Roman" w:eastAsia="Times New Roman" w:cs="Times New Roman"/>
                <w:spacing w:val="-8"/>
                <w:sz w:val="21"/>
                <w:szCs w:val="21"/>
              </w:rPr>
              <w:t>0</w:t>
            </w:r>
          </w:p>
          <w:p>
            <w:pPr>
              <w:keepNext w:val="0"/>
              <w:keepLines w:val="0"/>
              <w:suppressLineNumbers w:val="0"/>
              <w:spacing w:before="0" w:beforeAutospacing="0" w:after="0" w:afterAutospacing="0" w:line="284" w:lineRule="auto"/>
              <w:ind w:left="0" w:right="0"/>
              <w:rPr>
                <w:rFonts w:hint="default" w:ascii="Arial"/>
                <w:sz w:val="21"/>
              </w:rPr>
            </w:pPr>
          </w:p>
          <w:p>
            <w:pPr>
              <w:keepNext w:val="0"/>
              <w:keepLines w:val="0"/>
              <w:suppressLineNumbers w:val="0"/>
              <w:spacing w:before="61" w:beforeAutospacing="0" w:after="0" w:afterAutospacing="0" w:line="187" w:lineRule="auto"/>
              <w:ind w:left="0" w:right="0"/>
              <w:jc w:val="right"/>
              <w:rPr>
                <w:rFonts w:hint="default" w:ascii="Times New Roman" w:hAnsi="Times New Roman" w:eastAsia="Times New Roman" w:cs="Times New Roman"/>
                <w:sz w:val="21"/>
                <w:szCs w:val="21"/>
              </w:rPr>
            </w:pPr>
            <w:r>
              <w:rPr>
                <w:rFonts w:hint="default" w:ascii="Times New Roman" w:hAnsi="Times New Roman" w:eastAsia="Times New Roman" w:cs="Times New Roman"/>
                <w:spacing w:val="-4"/>
                <w:sz w:val="21"/>
                <w:szCs w:val="21"/>
              </w:rPr>
              <w:t>90</w:t>
            </w:r>
          </w:p>
          <w:p>
            <w:pPr>
              <w:keepNext w:val="0"/>
              <w:keepLines w:val="0"/>
              <w:suppressLineNumbers w:val="0"/>
              <w:spacing w:before="287" w:beforeAutospacing="0" w:after="0" w:afterAutospacing="0" w:line="187" w:lineRule="auto"/>
              <w:ind w:left="0" w:right="0"/>
              <w:jc w:val="right"/>
              <w:rPr>
                <w:rFonts w:hint="default" w:ascii="Times New Roman" w:hAnsi="Times New Roman" w:eastAsia="Times New Roman" w:cs="Times New Roman"/>
                <w:sz w:val="21"/>
                <w:szCs w:val="21"/>
              </w:rPr>
            </w:pPr>
            <w:r>
              <w:rPr>
                <w:rFonts w:hint="default" w:ascii="Times New Roman" w:hAnsi="Times New Roman" w:eastAsia="Times New Roman" w:cs="Times New Roman"/>
                <w:spacing w:val="-6"/>
                <w:sz w:val="21"/>
                <w:szCs w:val="21"/>
              </w:rPr>
              <w:t>80</w:t>
            </w:r>
          </w:p>
          <w:p>
            <w:pPr>
              <w:keepNext w:val="0"/>
              <w:keepLines w:val="0"/>
              <w:suppressLineNumbers w:val="0"/>
              <w:spacing w:before="0" w:beforeAutospacing="0" w:after="0" w:afterAutospacing="0" w:line="254" w:lineRule="auto"/>
              <w:ind w:left="0" w:right="0"/>
              <w:rPr>
                <w:rFonts w:hint="default" w:ascii="Arial"/>
                <w:sz w:val="21"/>
              </w:rPr>
            </w:pPr>
          </w:p>
          <w:p>
            <w:pPr>
              <w:keepNext w:val="0"/>
              <w:keepLines w:val="0"/>
              <w:suppressLineNumbers w:val="0"/>
              <w:spacing w:before="60" w:beforeAutospacing="0" w:after="0" w:afterAutospacing="0" w:line="187" w:lineRule="auto"/>
              <w:ind w:left="0" w:right="0"/>
              <w:jc w:val="right"/>
              <w:rPr>
                <w:rFonts w:hint="default" w:ascii="Times New Roman" w:hAnsi="Times New Roman" w:eastAsia="Times New Roman" w:cs="Times New Roman"/>
                <w:sz w:val="21"/>
                <w:szCs w:val="21"/>
              </w:rPr>
            </w:pPr>
            <w:r>
              <w:rPr>
                <w:rFonts w:hint="default" w:ascii="Times New Roman" w:hAnsi="Times New Roman" w:eastAsia="Times New Roman" w:cs="Times New Roman"/>
                <w:spacing w:val="-4"/>
                <w:sz w:val="21"/>
                <w:szCs w:val="21"/>
              </w:rPr>
              <w:t>70</w:t>
            </w:r>
          </w:p>
          <w:p>
            <w:pPr>
              <w:keepNext w:val="0"/>
              <w:keepLines w:val="0"/>
              <w:suppressLineNumbers w:val="0"/>
              <w:spacing w:before="0" w:beforeAutospacing="0" w:after="0" w:afterAutospacing="0" w:line="253" w:lineRule="auto"/>
              <w:ind w:left="0" w:right="0"/>
              <w:rPr>
                <w:rFonts w:hint="default" w:ascii="Arial"/>
                <w:sz w:val="21"/>
              </w:rPr>
            </w:pPr>
          </w:p>
          <w:p>
            <w:pPr>
              <w:keepNext w:val="0"/>
              <w:keepLines w:val="0"/>
              <w:suppressLineNumbers w:val="0"/>
              <w:spacing w:before="61" w:beforeAutospacing="0" w:after="0" w:afterAutospacing="0" w:line="187" w:lineRule="auto"/>
              <w:ind w:left="0" w:right="0"/>
              <w:jc w:val="right"/>
              <w:rPr>
                <w:rFonts w:hint="default" w:ascii="Times New Roman" w:hAnsi="Times New Roman" w:eastAsia="Times New Roman" w:cs="Times New Roman"/>
                <w:sz w:val="21"/>
                <w:szCs w:val="21"/>
              </w:rPr>
            </w:pPr>
            <w:r>
              <w:rPr>
                <w:rFonts w:hint="default" w:ascii="Times New Roman" w:hAnsi="Times New Roman" w:eastAsia="Times New Roman" w:cs="Times New Roman"/>
                <w:spacing w:val="-4"/>
                <w:sz w:val="21"/>
                <w:szCs w:val="21"/>
              </w:rPr>
              <w:t>60</w:t>
            </w:r>
          </w:p>
          <w:p>
            <w:pPr>
              <w:keepNext w:val="0"/>
              <w:keepLines w:val="0"/>
              <w:suppressLineNumbers w:val="0"/>
              <w:spacing w:before="0" w:beforeAutospacing="0" w:after="0" w:afterAutospacing="0" w:line="253" w:lineRule="auto"/>
              <w:ind w:left="0" w:right="0"/>
              <w:rPr>
                <w:rFonts w:hint="default" w:ascii="Arial"/>
                <w:sz w:val="21"/>
              </w:rPr>
            </w:pPr>
          </w:p>
          <w:p>
            <w:pPr>
              <w:keepNext w:val="0"/>
              <w:keepLines w:val="0"/>
              <w:suppressLineNumbers w:val="0"/>
              <w:spacing w:before="61" w:beforeAutospacing="0" w:after="0" w:afterAutospacing="0" w:line="187" w:lineRule="auto"/>
              <w:ind w:left="0" w:right="0"/>
              <w:jc w:val="right"/>
              <w:rPr>
                <w:rFonts w:hint="default" w:ascii="Times New Roman" w:hAnsi="Times New Roman" w:eastAsia="Times New Roman" w:cs="Times New Roman"/>
                <w:sz w:val="21"/>
                <w:szCs w:val="21"/>
              </w:rPr>
            </w:pPr>
            <w:r>
              <w:rPr>
                <w:rFonts w:hint="default" w:ascii="Times New Roman" w:hAnsi="Times New Roman" w:eastAsia="Times New Roman" w:cs="Times New Roman"/>
                <w:spacing w:val="-5"/>
                <w:sz w:val="21"/>
                <w:szCs w:val="21"/>
              </w:rPr>
              <w:t>50</w:t>
            </w:r>
          </w:p>
          <w:p>
            <w:pPr>
              <w:keepNext w:val="0"/>
              <w:keepLines w:val="0"/>
              <w:suppressLineNumbers w:val="0"/>
              <w:spacing w:before="0" w:beforeAutospacing="0" w:after="0" w:afterAutospacing="0" w:line="251" w:lineRule="auto"/>
              <w:ind w:left="0" w:right="0"/>
              <w:rPr>
                <w:rFonts w:hint="default" w:ascii="Arial"/>
                <w:sz w:val="21"/>
              </w:rPr>
            </w:pPr>
          </w:p>
          <w:p>
            <w:pPr>
              <w:keepNext w:val="0"/>
              <w:keepLines w:val="0"/>
              <w:suppressLineNumbers w:val="0"/>
              <w:spacing w:before="61" w:beforeAutospacing="0" w:after="0" w:afterAutospacing="0" w:line="187" w:lineRule="auto"/>
              <w:ind w:left="0" w:right="1"/>
              <w:jc w:val="right"/>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40</w:t>
            </w:r>
          </w:p>
          <w:p>
            <w:pPr>
              <w:keepNext w:val="0"/>
              <w:keepLines w:val="0"/>
              <w:suppressLineNumbers w:val="0"/>
              <w:spacing w:before="0" w:beforeAutospacing="0" w:after="0" w:afterAutospacing="0" w:line="253" w:lineRule="auto"/>
              <w:ind w:left="0" w:right="0"/>
              <w:rPr>
                <w:rFonts w:hint="default" w:ascii="Arial"/>
                <w:sz w:val="21"/>
              </w:rPr>
            </w:pPr>
          </w:p>
          <w:p>
            <w:pPr>
              <w:keepNext w:val="0"/>
              <w:keepLines w:val="0"/>
              <w:suppressLineNumbers w:val="0"/>
              <w:spacing w:before="61" w:beforeAutospacing="0" w:after="0" w:afterAutospacing="0" w:line="187" w:lineRule="auto"/>
              <w:ind w:left="0" w:right="2"/>
              <w:jc w:val="right"/>
              <w:rPr>
                <w:rFonts w:hint="default" w:ascii="Times New Roman" w:hAnsi="Times New Roman" w:eastAsia="Times New Roman" w:cs="Times New Roman"/>
                <w:sz w:val="21"/>
                <w:szCs w:val="21"/>
              </w:rPr>
            </w:pPr>
            <w:r>
              <w:rPr>
                <w:rFonts w:hint="default" w:ascii="Times New Roman" w:hAnsi="Times New Roman" w:eastAsia="Times New Roman" w:cs="Times New Roman"/>
                <w:spacing w:val="-4"/>
                <w:sz w:val="21"/>
                <w:szCs w:val="21"/>
              </w:rPr>
              <w:t>30</w:t>
            </w:r>
          </w:p>
          <w:p>
            <w:pPr>
              <w:keepNext w:val="0"/>
              <w:keepLines w:val="0"/>
              <w:suppressLineNumbers w:val="0"/>
              <w:spacing w:before="0" w:beforeAutospacing="0" w:after="0" w:afterAutospacing="0" w:line="253" w:lineRule="auto"/>
              <w:ind w:left="0" w:right="0"/>
              <w:rPr>
                <w:rFonts w:hint="default" w:ascii="Arial"/>
                <w:sz w:val="21"/>
              </w:rPr>
            </w:pPr>
          </w:p>
          <w:p>
            <w:pPr>
              <w:keepNext w:val="0"/>
              <w:keepLines w:val="0"/>
              <w:suppressLineNumbers w:val="0"/>
              <w:spacing w:before="62" w:beforeAutospacing="0" w:after="0" w:afterAutospacing="0" w:line="187" w:lineRule="auto"/>
              <w:ind w:left="0" w:right="1"/>
              <w:jc w:val="right"/>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20</w:t>
            </w:r>
          </w:p>
          <w:p>
            <w:pPr>
              <w:keepNext w:val="0"/>
              <w:keepLines w:val="0"/>
              <w:suppressLineNumbers w:val="0"/>
              <w:spacing w:before="0" w:beforeAutospacing="0" w:after="0" w:afterAutospacing="0" w:line="278" w:lineRule="auto"/>
              <w:ind w:left="0" w:right="0"/>
              <w:rPr>
                <w:rFonts w:hint="default" w:ascii="Arial"/>
                <w:sz w:val="21"/>
              </w:rPr>
            </w:pPr>
          </w:p>
          <w:p>
            <w:pPr>
              <w:keepNext w:val="0"/>
              <w:keepLines w:val="0"/>
              <w:suppressLineNumbers w:val="0"/>
              <w:spacing w:before="60" w:beforeAutospacing="0" w:after="0" w:afterAutospacing="0" w:line="187" w:lineRule="auto"/>
              <w:ind w:left="0" w:right="0"/>
              <w:jc w:val="right"/>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6"/>
                <w:sz w:val="21"/>
                <w:szCs w:val="21"/>
              </w:rPr>
              <w:t>1</w:t>
            </w:r>
            <w:r>
              <w:rPr>
                <w:rFonts w:hint="default" w:ascii="Times New Roman" w:hAnsi="Times New Roman" w:eastAsia="Times New Roman" w:cs="Times New Roman"/>
                <w:spacing w:val="-8"/>
                <w:sz w:val="21"/>
                <w:szCs w:val="21"/>
              </w:rPr>
              <w:t>0</w:t>
            </w:r>
          </w:p>
        </w:tc>
        <w:tc>
          <w:tcPr>
            <w:tcW w:w="403" w:type="dxa"/>
            <w:vAlign w:val="top"/>
          </w:tcPr>
          <w:p>
            <w:pPr>
              <w:keepNext w:val="0"/>
              <w:keepLines w:val="0"/>
              <w:suppressLineNumbers w:val="0"/>
              <w:spacing w:before="0" w:beforeAutospacing="0" w:after="0" w:afterAutospacing="0" w:line="235"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5"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5"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5"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5" w:lineRule="exact"/>
              <w:ind w:left="0" w:right="0"/>
              <w:rPr>
                <w:rFonts w:hint="default" w:ascii="Arial"/>
                <w:sz w:val="20"/>
              </w:rPr>
            </w:pPr>
          </w:p>
        </w:tc>
        <w:tc>
          <w:tcPr>
            <w:tcW w:w="403" w:type="dxa"/>
            <w:vAlign w:val="top"/>
          </w:tcPr>
          <w:p>
            <w:pPr>
              <w:keepNext w:val="0"/>
              <w:keepLines w:val="0"/>
              <w:suppressLineNumbers w:val="0"/>
              <w:spacing w:before="0" w:beforeAutospacing="0" w:after="0" w:afterAutospacing="0" w:line="235"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5"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5"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5"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5"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5"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5"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5"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5"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5"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5"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5"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5"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5" w:lineRule="exact"/>
              <w:ind w:left="0" w:right="0"/>
              <w:rPr>
                <w:rFonts w:hint="default" w:ascii="Arial"/>
                <w:sz w:val="20"/>
              </w:rPr>
            </w:pPr>
          </w:p>
        </w:tc>
        <w:tc>
          <w:tcPr>
            <w:tcW w:w="413" w:type="dxa"/>
            <w:vAlign w:val="top"/>
          </w:tcPr>
          <w:p>
            <w:pPr>
              <w:keepNext w:val="0"/>
              <w:keepLines w:val="0"/>
              <w:suppressLineNumbers w:val="0"/>
              <w:spacing w:before="0" w:beforeAutospacing="0" w:after="0" w:afterAutospacing="0" w:line="235" w:lineRule="exact"/>
              <w:ind w:left="0" w:right="0"/>
              <w:rPr>
                <w:rFonts w:hint="default"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775" w:type="dxa"/>
            <w:vMerge w:val="continue"/>
            <w:tcBorders>
              <w:top w:val="nil"/>
              <w:bottom w:val="nil"/>
              <w:right w:val="nil"/>
            </w:tcBorders>
            <w:vAlign w:val="top"/>
          </w:tcPr>
          <w:p>
            <w:pPr>
              <w:keepNext w:val="0"/>
              <w:keepLines w:val="0"/>
              <w:suppressLineNumbers w:val="0"/>
              <w:spacing w:before="0" w:beforeAutospacing="0" w:after="0" w:afterAutospacing="0"/>
              <w:ind w:left="0" w:right="0"/>
              <w:rPr>
                <w:rFonts w:hint="default" w:ascii="Arial"/>
                <w:sz w:val="21"/>
              </w:rPr>
            </w:pPr>
          </w:p>
        </w:tc>
        <w:tc>
          <w:tcPr>
            <w:tcW w:w="469" w:type="dxa"/>
            <w:vMerge w:val="continue"/>
            <w:tcBorders>
              <w:top w:val="nil"/>
              <w:left w:val="nil"/>
              <w:bottom w:val="nil"/>
            </w:tcBorders>
            <w:vAlign w:val="top"/>
          </w:tcPr>
          <w:p>
            <w:pPr>
              <w:keepNext w:val="0"/>
              <w:keepLines w:val="0"/>
              <w:suppressLineNumbers w:val="0"/>
              <w:spacing w:before="0" w:beforeAutospacing="0" w:after="0" w:afterAutospacing="0"/>
              <w:ind w:left="0" w:right="0"/>
              <w:rPr>
                <w:rFonts w:hint="default" w:ascii="Arial"/>
                <w:sz w:val="21"/>
              </w:rPr>
            </w:pPr>
          </w:p>
        </w:tc>
        <w:tc>
          <w:tcPr>
            <w:tcW w:w="403"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3"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13" w:type="dxa"/>
            <w:vAlign w:val="top"/>
          </w:tcPr>
          <w:p>
            <w:pPr>
              <w:keepNext w:val="0"/>
              <w:keepLines w:val="0"/>
              <w:suppressLineNumbers w:val="0"/>
              <w:spacing w:before="0" w:beforeAutospacing="0" w:after="0" w:afterAutospacing="0" w:line="234" w:lineRule="exact"/>
              <w:ind w:left="0" w:right="0"/>
              <w:rPr>
                <w:rFonts w:hint="default"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775" w:type="dxa"/>
            <w:vMerge w:val="continue"/>
            <w:tcBorders>
              <w:top w:val="nil"/>
              <w:bottom w:val="nil"/>
              <w:right w:val="nil"/>
            </w:tcBorders>
            <w:vAlign w:val="top"/>
          </w:tcPr>
          <w:p>
            <w:pPr>
              <w:keepNext w:val="0"/>
              <w:keepLines w:val="0"/>
              <w:suppressLineNumbers w:val="0"/>
              <w:spacing w:before="0" w:beforeAutospacing="0" w:after="0" w:afterAutospacing="0"/>
              <w:ind w:left="0" w:right="0"/>
              <w:rPr>
                <w:rFonts w:hint="default" w:ascii="Arial"/>
                <w:sz w:val="21"/>
              </w:rPr>
            </w:pPr>
          </w:p>
        </w:tc>
        <w:tc>
          <w:tcPr>
            <w:tcW w:w="469" w:type="dxa"/>
            <w:vMerge w:val="continue"/>
            <w:tcBorders>
              <w:top w:val="nil"/>
              <w:left w:val="nil"/>
              <w:bottom w:val="nil"/>
            </w:tcBorders>
            <w:vAlign w:val="top"/>
          </w:tcPr>
          <w:p>
            <w:pPr>
              <w:keepNext w:val="0"/>
              <w:keepLines w:val="0"/>
              <w:suppressLineNumbers w:val="0"/>
              <w:spacing w:before="0" w:beforeAutospacing="0" w:after="0" w:afterAutospacing="0"/>
              <w:ind w:left="0" w:right="0"/>
              <w:rPr>
                <w:rFonts w:hint="default" w:ascii="Arial"/>
                <w:sz w:val="21"/>
              </w:rPr>
            </w:pPr>
          </w:p>
        </w:tc>
        <w:tc>
          <w:tcPr>
            <w:tcW w:w="403"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3"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13" w:type="dxa"/>
            <w:vAlign w:val="top"/>
          </w:tcPr>
          <w:p>
            <w:pPr>
              <w:keepNext w:val="0"/>
              <w:keepLines w:val="0"/>
              <w:suppressLineNumbers w:val="0"/>
              <w:spacing w:before="0" w:beforeAutospacing="0" w:after="0" w:afterAutospacing="0" w:line="236" w:lineRule="exact"/>
              <w:ind w:left="0" w:right="0"/>
              <w:rPr>
                <w:rFonts w:hint="default"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775" w:type="dxa"/>
            <w:vMerge w:val="continue"/>
            <w:tcBorders>
              <w:top w:val="nil"/>
              <w:bottom w:val="nil"/>
              <w:right w:val="nil"/>
            </w:tcBorders>
            <w:vAlign w:val="top"/>
          </w:tcPr>
          <w:p>
            <w:pPr>
              <w:keepNext w:val="0"/>
              <w:keepLines w:val="0"/>
              <w:suppressLineNumbers w:val="0"/>
              <w:spacing w:before="0" w:beforeAutospacing="0" w:after="0" w:afterAutospacing="0"/>
              <w:ind w:left="0" w:right="0"/>
              <w:rPr>
                <w:rFonts w:hint="default" w:ascii="Arial"/>
                <w:sz w:val="21"/>
              </w:rPr>
            </w:pPr>
          </w:p>
        </w:tc>
        <w:tc>
          <w:tcPr>
            <w:tcW w:w="469" w:type="dxa"/>
            <w:vMerge w:val="continue"/>
            <w:tcBorders>
              <w:top w:val="nil"/>
              <w:left w:val="nil"/>
              <w:bottom w:val="nil"/>
            </w:tcBorders>
            <w:vAlign w:val="top"/>
          </w:tcPr>
          <w:p>
            <w:pPr>
              <w:keepNext w:val="0"/>
              <w:keepLines w:val="0"/>
              <w:suppressLineNumbers w:val="0"/>
              <w:spacing w:before="0" w:beforeAutospacing="0" w:after="0" w:afterAutospacing="0"/>
              <w:ind w:left="0" w:right="0"/>
              <w:rPr>
                <w:rFonts w:hint="default" w:ascii="Arial"/>
                <w:sz w:val="21"/>
              </w:rPr>
            </w:pPr>
          </w:p>
        </w:tc>
        <w:tc>
          <w:tcPr>
            <w:tcW w:w="403"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3"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13" w:type="dxa"/>
            <w:vAlign w:val="top"/>
          </w:tcPr>
          <w:p>
            <w:pPr>
              <w:keepNext w:val="0"/>
              <w:keepLines w:val="0"/>
              <w:suppressLineNumbers w:val="0"/>
              <w:spacing w:before="0" w:beforeAutospacing="0" w:after="0" w:afterAutospacing="0" w:line="236" w:lineRule="exact"/>
              <w:ind w:left="0" w:right="0"/>
              <w:rPr>
                <w:rFonts w:hint="default"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775" w:type="dxa"/>
            <w:vMerge w:val="continue"/>
            <w:tcBorders>
              <w:top w:val="nil"/>
              <w:bottom w:val="nil"/>
              <w:right w:val="nil"/>
            </w:tcBorders>
            <w:vAlign w:val="top"/>
          </w:tcPr>
          <w:p>
            <w:pPr>
              <w:keepNext w:val="0"/>
              <w:keepLines w:val="0"/>
              <w:suppressLineNumbers w:val="0"/>
              <w:spacing w:before="0" w:beforeAutospacing="0" w:after="0" w:afterAutospacing="0"/>
              <w:ind w:left="0" w:right="0"/>
              <w:rPr>
                <w:rFonts w:hint="default" w:ascii="Arial"/>
                <w:sz w:val="21"/>
              </w:rPr>
            </w:pPr>
          </w:p>
        </w:tc>
        <w:tc>
          <w:tcPr>
            <w:tcW w:w="469" w:type="dxa"/>
            <w:vMerge w:val="continue"/>
            <w:tcBorders>
              <w:top w:val="nil"/>
              <w:left w:val="nil"/>
              <w:bottom w:val="nil"/>
            </w:tcBorders>
            <w:vAlign w:val="top"/>
          </w:tcPr>
          <w:p>
            <w:pPr>
              <w:keepNext w:val="0"/>
              <w:keepLines w:val="0"/>
              <w:suppressLineNumbers w:val="0"/>
              <w:spacing w:before="0" w:beforeAutospacing="0" w:after="0" w:afterAutospacing="0"/>
              <w:ind w:left="0" w:right="0"/>
              <w:rPr>
                <w:rFonts w:hint="default" w:ascii="Arial"/>
                <w:sz w:val="21"/>
              </w:rPr>
            </w:pPr>
          </w:p>
        </w:tc>
        <w:tc>
          <w:tcPr>
            <w:tcW w:w="403"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3"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13" w:type="dxa"/>
            <w:vAlign w:val="top"/>
          </w:tcPr>
          <w:p>
            <w:pPr>
              <w:keepNext w:val="0"/>
              <w:keepLines w:val="0"/>
              <w:suppressLineNumbers w:val="0"/>
              <w:spacing w:before="0" w:beforeAutospacing="0" w:after="0" w:afterAutospacing="0" w:line="236" w:lineRule="exact"/>
              <w:ind w:left="0" w:right="0"/>
              <w:rPr>
                <w:rFonts w:hint="default"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775" w:type="dxa"/>
            <w:vMerge w:val="continue"/>
            <w:tcBorders>
              <w:top w:val="nil"/>
              <w:bottom w:val="nil"/>
              <w:right w:val="nil"/>
            </w:tcBorders>
            <w:vAlign w:val="top"/>
          </w:tcPr>
          <w:p>
            <w:pPr>
              <w:keepNext w:val="0"/>
              <w:keepLines w:val="0"/>
              <w:suppressLineNumbers w:val="0"/>
              <w:spacing w:before="0" w:beforeAutospacing="0" w:after="0" w:afterAutospacing="0"/>
              <w:ind w:left="0" w:right="0"/>
              <w:rPr>
                <w:rFonts w:hint="default" w:ascii="Arial"/>
                <w:sz w:val="21"/>
              </w:rPr>
            </w:pPr>
          </w:p>
        </w:tc>
        <w:tc>
          <w:tcPr>
            <w:tcW w:w="469" w:type="dxa"/>
            <w:vMerge w:val="continue"/>
            <w:tcBorders>
              <w:top w:val="nil"/>
              <w:left w:val="nil"/>
              <w:bottom w:val="nil"/>
            </w:tcBorders>
            <w:vAlign w:val="top"/>
          </w:tcPr>
          <w:p>
            <w:pPr>
              <w:keepNext w:val="0"/>
              <w:keepLines w:val="0"/>
              <w:suppressLineNumbers w:val="0"/>
              <w:spacing w:before="0" w:beforeAutospacing="0" w:after="0" w:afterAutospacing="0"/>
              <w:ind w:left="0" w:right="0"/>
              <w:rPr>
                <w:rFonts w:hint="default" w:ascii="Arial"/>
                <w:sz w:val="21"/>
              </w:rPr>
            </w:pPr>
          </w:p>
        </w:tc>
        <w:tc>
          <w:tcPr>
            <w:tcW w:w="403"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3"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13" w:type="dxa"/>
            <w:vAlign w:val="top"/>
          </w:tcPr>
          <w:p>
            <w:pPr>
              <w:keepNext w:val="0"/>
              <w:keepLines w:val="0"/>
              <w:suppressLineNumbers w:val="0"/>
              <w:spacing w:before="0" w:beforeAutospacing="0" w:after="0" w:afterAutospacing="0" w:line="236" w:lineRule="exact"/>
              <w:ind w:left="0" w:right="0"/>
              <w:rPr>
                <w:rFonts w:hint="default"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775" w:type="dxa"/>
            <w:vMerge w:val="continue"/>
            <w:tcBorders>
              <w:top w:val="nil"/>
              <w:bottom w:val="nil"/>
              <w:right w:val="nil"/>
            </w:tcBorders>
            <w:vAlign w:val="top"/>
          </w:tcPr>
          <w:p>
            <w:pPr>
              <w:keepNext w:val="0"/>
              <w:keepLines w:val="0"/>
              <w:suppressLineNumbers w:val="0"/>
              <w:spacing w:before="0" w:beforeAutospacing="0" w:after="0" w:afterAutospacing="0"/>
              <w:ind w:left="0" w:right="0"/>
              <w:rPr>
                <w:rFonts w:hint="default" w:ascii="Arial"/>
                <w:sz w:val="21"/>
              </w:rPr>
            </w:pPr>
          </w:p>
        </w:tc>
        <w:tc>
          <w:tcPr>
            <w:tcW w:w="469" w:type="dxa"/>
            <w:vMerge w:val="continue"/>
            <w:tcBorders>
              <w:top w:val="nil"/>
              <w:left w:val="nil"/>
              <w:bottom w:val="nil"/>
            </w:tcBorders>
            <w:vAlign w:val="top"/>
          </w:tcPr>
          <w:p>
            <w:pPr>
              <w:keepNext w:val="0"/>
              <w:keepLines w:val="0"/>
              <w:suppressLineNumbers w:val="0"/>
              <w:spacing w:before="0" w:beforeAutospacing="0" w:after="0" w:afterAutospacing="0"/>
              <w:ind w:left="0" w:right="0"/>
              <w:rPr>
                <w:rFonts w:hint="default" w:ascii="Arial"/>
                <w:sz w:val="21"/>
              </w:rPr>
            </w:pPr>
          </w:p>
        </w:tc>
        <w:tc>
          <w:tcPr>
            <w:tcW w:w="403"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3"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13" w:type="dxa"/>
            <w:vAlign w:val="top"/>
          </w:tcPr>
          <w:p>
            <w:pPr>
              <w:keepNext w:val="0"/>
              <w:keepLines w:val="0"/>
              <w:suppressLineNumbers w:val="0"/>
              <w:spacing w:before="0" w:beforeAutospacing="0" w:after="0" w:afterAutospacing="0" w:line="234" w:lineRule="exact"/>
              <w:ind w:left="0" w:right="0"/>
              <w:rPr>
                <w:rFonts w:hint="default"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775" w:type="dxa"/>
            <w:vMerge w:val="continue"/>
            <w:tcBorders>
              <w:top w:val="nil"/>
              <w:bottom w:val="nil"/>
              <w:right w:val="nil"/>
            </w:tcBorders>
            <w:vAlign w:val="top"/>
          </w:tcPr>
          <w:p>
            <w:pPr>
              <w:keepNext w:val="0"/>
              <w:keepLines w:val="0"/>
              <w:suppressLineNumbers w:val="0"/>
              <w:spacing w:before="0" w:beforeAutospacing="0" w:after="0" w:afterAutospacing="0"/>
              <w:ind w:left="0" w:right="0"/>
              <w:rPr>
                <w:rFonts w:hint="default" w:ascii="Arial"/>
                <w:sz w:val="21"/>
              </w:rPr>
            </w:pPr>
          </w:p>
        </w:tc>
        <w:tc>
          <w:tcPr>
            <w:tcW w:w="469" w:type="dxa"/>
            <w:vMerge w:val="continue"/>
            <w:tcBorders>
              <w:top w:val="nil"/>
              <w:left w:val="nil"/>
              <w:bottom w:val="nil"/>
            </w:tcBorders>
            <w:vAlign w:val="top"/>
          </w:tcPr>
          <w:p>
            <w:pPr>
              <w:keepNext w:val="0"/>
              <w:keepLines w:val="0"/>
              <w:suppressLineNumbers w:val="0"/>
              <w:spacing w:before="0" w:beforeAutospacing="0" w:after="0" w:afterAutospacing="0"/>
              <w:ind w:left="0" w:right="0"/>
              <w:rPr>
                <w:rFonts w:hint="default" w:ascii="Arial"/>
                <w:sz w:val="21"/>
              </w:rPr>
            </w:pPr>
          </w:p>
        </w:tc>
        <w:tc>
          <w:tcPr>
            <w:tcW w:w="403"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3"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13" w:type="dxa"/>
            <w:vAlign w:val="top"/>
          </w:tcPr>
          <w:p>
            <w:pPr>
              <w:keepNext w:val="0"/>
              <w:keepLines w:val="0"/>
              <w:suppressLineNumbers w:val="0"/>
              <w:spacing w:before="0" w:beforeAutospacing="0" w:after="0" w:afterAutospacing="0" w:line="236" w:lineRule="exact"/>
              <w:ind w:left="0" w:right="0"/>
              <w:rPr>
                <w:rFonts w:hint="default"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775" w:type="dxa"/>
            <w:vMerge w:val="continue"/>
            <w:tcBorders>
              <w:top w:val="nil"/>
              <w:bottom w:val="nil"/>
              <w:right w:val="nil"/>
            </w:tcBorders>
            <w:vAlign w:val="top"/>
          </w:tcPr>
          <w:p>
            <w:pPr>
              <w:keepNext w:val="0"/>
              <w:keepLines w:val="0"/>
              <w:suppressLineNumbers w:val="0"/>
              <w:spacing w:before="0" w:beforeAutospacing="0" w:after="0" w:afterAutospacing="0"/>
              <w:ind w:left="0" w:right="0"/>
              <w:rPr>
                <w:rFonts w:hint="default" w:ascii="Arial"/>
                <w:sz w:val="21"/>
              </w:rPr>
            </w:pPr>
          </w:p>
        </w:tc>
        <w:tc>
          <w:tcPr>
            <w:tcW w:w="469" w:type="dxa"/>
            <w:vMerge w:val="continue"/>
            <w:tcBorders>
              <w:top w:val="nil"/>
              <w:left w:val="nil"/>
              <w:bottom w:val="nil"/>
            </w:tcBorders>
            <w:vAlign w:val="top"/>
          </w:tcPr>
          <w:p>
            <w:pPr>
              <w:keepNext w:val="0"/>
              <w:keepLines w:val="0"/>
              <w:suppressLineNumbers w:val="0"/>
              <w:spacing w:before="0" w:beforeAutospacing="0" w:after="0" w:afterAutospacing="0"/>
              <w:ind w:left="0" w:right="0"/>
              <w:rPr>
                <w:rFonts w:hint="default" w:ascii="Arial"/>
                <w:sz w:val="21"/>
              </w:rPr>
            </w:pPr>
          </w:p>
        </w:tc>
        <w:tc>
          <w:tcPr>
            <w:tcW w:w="403"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3"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13" w:type="dxa"/>
            <w:vAlign w:val="top"/>
          </w:tcPr>
          <w:p>
            <w:pPr>
              <w:keepNext w:val="0"/>
              <w:keepLines w:val="0"/>
              <w:suppressLineNumbers w:val="0"/>
              <w:spacing w:before="0" w:beforeAutospacing="0" w:after="0" w:afterAutospacing="0" w:line="236" w:lineRule="exact"/>
              <w:ind w:left="0" w:right="0"/>
              <w:rPr>
                <w:rFonts w:hint="default"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775" w:type="dxa"/>
            <w:vMerge w:val="continue"/>
            <w:tcBorders>
              <w:top w:val="nil"/>
              <w:bottom w:val="nil"/>
              <w:right w:val="nil"/>
            </w:tcBorders>
            <w:vAlign w:val="top"/>
          </w:tcPr>
          <w:p>
            <w:pPr>
              <w:keepNext w:val="0"/>
              <w:keepLines w:val="0"/>
              <w:suppressLineNumbers w:val="0"/>
              <w:spacing w:before="0" w:beforeAutospacing="0" w:after="0" w:afterAutospacing="0"/>
              <w:ind w:left="0" w:right="0"/>
              <w:rPr>
                <w:rFonts w:hint="default" w:ascii="Arial"/>
                <w:sz w:val="21"/>
              </w:rPr>
            </w:pPr>
          </w:p>
        </w:tc>
        <w:tc>
          <w:tcPr>
            <w:tcW w:w="469" w:type="dxa"/>
            <w:vMerge w:val="continue"/>
            <w:tcBorders>
              <w:top w:val="nil"/>
              <w:left w:val="nil"/>
              <w:bottom w:val="nil"/>
            </w:tcBorders>
            <w:vAlign w:val="top"/>
          </w:tcPr>
          <w:p>
            <w:pPr>
              <w:keepNext w:val="0"/>
              <w:keepLines w:val="0"/>
              <w:suppressLineNumbers w:val="0"/>
              <w:spacing w:before="0" w:beforeAutospacing="0" w:after="0" w:afterAutospacing="0"/>
              <w:ind w:left="0" w:right="0"/>
              <w:rPr>
                <w:rFonts w:hint="default" w:ascii="Arial"/>
                <w:sz w:val="21"/>
              </w:rPr>
            </w:pPr>
          </w:p>
        </w:tc>
        <w:tc>
          <w:tcPr>
            <w:tcW w:w="403"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3"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13" w:type="dxa"/>
            <w:vAlign w:val="top"/>
          </w:tcPr>
          <w:p>
            <w:pPr>
              <w:keepNext w:val="0"/>
              <w:keepLines w:val="0"/>
              <w:suppressLineNumbers w:val="0"/>
              <w:spacing w:before="0" w:beforeAutospacing="0" w:after="0" w:afterAutospacing="0" w:line="236" w:lineRule="exact"/>
              <w:ind w:left="0" w:right="0"/>
              <w:rPr>
                <w:rFonts w:hint="default"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775" w:type="dxa"/>
            <w:vMerge w:val="continue"/>
            <w:tcBorders>
              <w:top w:val="nil"/>
              <w:bottom w:val="nil"/>
              <w:right w:val="nil"/>
            </w:tcBorders>
            <w:vAlign w:val="top"/>
          </w:tcPr>
          <w:p>
            <w:pPr>
              <w:keepNext w:val="0"/>
              <w:keepLines w:val="0"/>
              <w:suppressLineNumbers w:val="0"/>
              <w:spacing w:before="0" w:beforeAutospacing="0" w:after="0" w:afterAutospacing="0"/>
              <w:ind w:left="0" w:right="0"/>
              <w:rPr>
                <w:rFonts w:hint="default" w:ascii="Arial"/>
                <w:sz w:val="21"/>
              </w:rPr>
            </w:pPr>
          </w:p>
        </w:tc>
        <w:tc>
          <w:tcPr>
            <w:tcW w:w="469" w:type="dxa"/>
            <w:vMerge w:val="continue"/>
            <w:tcBorders>
              <w:top w:val="nil"/>
              <w:left w:val="nil"/>
              <w:bottom w:val="nil"/>
            </w:tcBorders>
            <w:vAlign w:val="top"/>
          </w:tcPr>
          <w:p>
            <w:pPr>
              <w:keepNext w:val="0"/>
              <w:keepLines w:val="0"/>
              <w:suppressLineNumbers w:val="0"/>
              <w:spacing w:before="0" w:beforeAutospacing="0" w:after="0" w:afterAutospacing="0"/>
              <w:ind w:left="0" w:right="0"/>
              <w:rPr>
                <w:rFonts w:hint="default" w:ascii="Arial"/>
                <w:sz w:val="21"/>
              </w:rPr>
            </w:pPr>
          </w:p>
        </w:tc>
        <w:tc>
          <w:tcPr>
            <w:tcW w:w="403"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3"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13" w:type="dxa"/>
            <w:vAlign w:val="top"/>
          </w:tcPr>
          <w:p>
            <w:pPr>
              <w:keepNext w:val="0"/>
              <w:keepLines w:val="0"/>
              <w:suppressLineNumbers w:val="0"/>
              <w:spacing w:before="0" w:beforeAutospacing="0" w:after="0" w:afterAutospacing="0" w:line="236" w:lineRule="exact"/>
              <w:ind w:left="0" w:right="0"/>
              <w:rPr>
                <w:rFonts w:hint="default"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775" w:type="dxa"/>
            <w:vMerge w:val="continue"/>
            <w:tcBorders>
              <w:top w:val="nil"/>
              <w:bottom w:val="nil"/>
              <w:right w:val="nil"/>
            </w:tcBorders>
            <w:vAlign w:val="top"/>
          </w:tcPr>
          <w:p>
            <w:pPr>
              <w:keepNext w:val="0"/>
              <w:keepLines w:val="0"/>
              <w:suppressLineNumbers w:val="0"/>
              <w:spacing w:before="0" w:beforeAutospacing="0" w:after="0" w:afterAutospacing="0"/>
              <w:ind w:left="0" w:right="0"/>
              <w:rPr>
                <w:rFonts w:hint="default" w:ascii="Arial"/>
                <w:sz w:val="21"/>
              </w:rPr>
            </w:pPr>
          </w:p>
        </w:tc>
        <w:tc>
          <w:tcPr>
            <w:tcW w:w="469" w:type="dxa"/>
            <w:vMerge w:val="continue"/>
            <w:tcBorders>
              <w:top w:val="nil"/>
              <w:left w:val="nil"/>
              <w:bottom w:val="nil"/>
            </w:tcBorders>
            <w:vAlign w:val="top"/>
          </w:tcPr>
          <w:p>
            <w:pPr>
              <w:keepNext w:val="0"/>
              <w:keepLines w:val="0"/>
              <w:suppressLineNumbers w:val="0"/>
              <w:spacing w:before="0" w:beforeAutospacing="0" w:after="0" w:afterAutospacing="0"/>
              <w:ind w:left="0" w:right="0"/>
              <w:rPr>
                <w:rFonts w:hint="default" w:ascii="Arial"/>
                <w:sz w:val="21"/>
              </w:rPr>
            </w:pPr>
          </w:p>
        </w:tc>
        <w:tc>
          <w:tcPr>
            <w:tcW w:w="403"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3"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13" w:type="dxa"/>
            <w:vAlign w:val="top"/>
          </w:tcPr>
          <w:p>
            <w:pPr>
              <w:keepNext w:val="0"/>
              <w:keepLines w:val="0"/>
              <w:suppressLineNumbers w:val="0"/>
              <w:spacing w:before="0" w:beforeAutospacing="0" w:after="0" w:afterAutospacing="0" w:line="236" w:lineRule="exact"/>
              <w:ind w:left="0" w:right="0"/>
              <w:rPr>
                <w:rFonts w:hint="default"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775" w:type="dxa"/>
            <w:vMerge w:val="continue"/>
            <w:tcBorders>
              <w:top w:val="nil"/>
              <w:bottom w:val="nil"/>
              <w:right w:val="nil"/>
            </w:tcBorders>
            <w:vAlign w:val="top"/>
          </w:tcPr>
          <w:p>
            <w:pPr>
              <w:keepNext w:val="0"/>
              <w:keepLines w:val="0"/>
              <w:suppressLineNumbers w:val="0"/>
              <w:spacing w:before="0" w:beforeAutospacing="0" w:after="0" w:afterAutospacing="0"/>
              <w:ind w:left="0" w:right="0"/>
              <w:rPr>
                <w:rFonts w:hint="default" w:ascii="Arial"/>
                <w:sz w:val="21"/>
              </w:rPr>
            </w:pPr>
          </w:p>
        </w:tc>
        <w:tc>
          <w:tcPr>
            <w:tcW w:w="469" w:type="dxa"/>
            <w:vMerge w:val="continue"/>
            <w:tcBorders>
              <w:top w:val="nil"/>
              <w:left w:val="nil"/>
              <w:bottom w:val="nil"/>
            </w:tcBorders>
            <w:vAlign w:val="top"/>
          </w:tcPr>
          <w:p>
            <w:pPr>
              <w:keepNext w:val="0"/>
              <w:keepLines w:val="0"/>
              <w:suppressLineNumbers w:val="0"/>
              <w:spacing w:before="0" w:beforeAutospacing="0" w:after="0" w:afterAutospacing="0"/>
              <w:ind w:left="0" w:right="0"/>
              <w:rPr>
                <w:rFonts w:hint="default" w:ascii="Arial"/>
                <w:sz w:val="21"/>
              </w:rPr>
            </w:pPr>
          </w:p>
        </w:tc>
        <w:tc>
          <w:tcPr>
            <w:tcW w:w="403"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3"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6" w:lineRule="exact"/>
              <w:ind w:left="0" w:right="0"/>
              <w:rPr>
                <w:rFonts w:hint="default" w:ascii="Arial"/>
                <w:sz w:val="20"/>
              </w:rPr>
            </w:pPr>
          </w:p>
        </w:tc>
        <w:tc>
          <w:tcPr>
            <w:tcW w:w="413" w:type="dxa"/>
            <w:vAlign w:val="top"/>
          </w:tcPr>
          <w:p>
            <w:pPr>
              <w:keepNext w:val="0"/>
              <w:keepLines w:val="0"/>
              <w:suppressLineNumbers w:val="0"/>
              <w:spacing w:before="0" w:beforeAutospacing="0" w:after="0" w:afterAutospacing="0" w:line="236" w:lineRule="exact"/>
              <w:ind w:left="0" w:right="0"/>
              <w:rPr>
                <w:rFonts w:hint="default"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775" w:type="dxa"/>
            <w:vMerge w:val="continue"/>
            <w:tcBorders>
              <w:top w:val="nil"/>
              <w:bottom w:val="nil"/>
              <w:right w:val="nil"/>
            </w:tcBorders>
            <w:vAlign w:val="top"/>
          </w:tcPr>
          <w:p>
            <w:pPr>
              <w:keepNext w:val="0"/>
              <w:keepLines w:val="0"/>
              <w:suppressLineNumbers w:val="0"/>
              <w:spacing w:before="0" w:beforeAutospacing="0" w:after="0" w:afterAutospacing="0"/>
              <w:ind w:left="0" w:right="0"/>
              <w:rPr>
                <w:rFonts w:hint="default" w:ascii="Arial"/>
                <w:sz w:val="21"/>
              </w:rPr>
            </w:pPr>
          </w:p>
        </w:tc>
        <w:tc>
          <w:tcPr>
            <w:tcW w:w="469" w:type="dxa"/>
            <w:vMerge w:val="continue"/>
            <w:tcBorders>
              <w:top w:val="nil"/>
              <w:left w:val="nil"/>
              <w:bottom w:val="nil"/>
            </w:tcBorders>
            <w:vAlign w:val="top"/>
          </w:tcPr>
          <w:p>
            <w:pPr>
              <w:keepNext w:val="0"/>
              <w:keepLines w:val="0"/>
              <w:suppressLineNumbers w:val="0"/>
              <w:spacing w:before="0" w:beforeAutospacing="0" w:after="0" w:afterAutospacing="0"/>
              <w:ind w:left="0" w:right="0"/>
              <w:rPr>
                <w:rFonts w:hint="default" w:ascii="Arial"/>
                <w:sz w:val="21"/>
              </w:rPr>
            </w:pPr>
          </w:p>
        </w:tc>
        <w:tc>
          <w:tcPr>
            <w:tcW w:w="403"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3"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13" w:type="dxa"/>
            <w:vAlign w:val="top"/>
          </w:tcPr>
          <w:p>
            <w:pPr>
              <w:keepNext w:val="0"/>
              <w:keepLines w:val="0"/>
              <w:suppressLineNumbers w:val="0"/>
              <w:spacing w:before="0" w:beforeAutospacing="0" w:after="0" w:afterAutospacing="0" w:line="237" w:lineRule="exact"/>
              <w:ind w:left="0" w:right="0"/>
              <w:rPr>
                <w:rFonts w:hint="default"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775" w:type="dxa"/>
            <w:vMerge w:val="continue"/>
            <w:tcBorders>
              <w:top w:val="nil"/>
              <w:bottom w:val="nil"/>
              <w:right w:val="nil"/>
            </w:tcBorders>
            <w:vAlign w:val="top"/>
          </w:tcPr>
          <w:p>
            <w:pPr>
              <w:keepNext w:val="0"/>
              <w:keepLines w:val="0"/>
              <w:suppressLineNumbers w:val="0"/>
              <w:spacing w:before="0" w:beforeAutospacing="0" w:after="0" w:afterAutospacing="0"/>
              <w:ind w:left="0" w:right="0"/>
              <w:rPr>
                <w:rFonts w:hint="default" w:ascii="Arial"/>
                <w:sz w:val="21"/>
              </w:rPr>
            </w:pPr>
          </w:p>
        </w:tc>
        <w:tc>
          <w:tcPr>
            <w:tcW w:w="469" w:type="dxa"/>
            <w:vMerge w:val="continue"/>
            <w:tcBorders>
              <w:top w:val="nil"/>
              <w:left w:val="nil"/>
              <w:bottom w:val="nil"/>
            </w:tcBorders>
            <w:vAlign w:val="top"/>
          </w:tcPr>
          <w:p>
            <w:pPr>
              <w:keepNext w:val="0"/>
              <w:keepLines w:val="0"/>
              <w:suppressLineNumbers w:val="0"/>
              <w:spacing w:before="0" w:beforeAutospacing="0" w:after="0" w:afterAutospacing="0"/>
              <w:ind w:left="0" w:right="0"/>
              <w:rPr>
                <w:rFonts w:hint="default" w:ascii="Arial"/>
                <w:sz w:val="21"/>
              </w:rPr>
            </w:pPr>
          </w:p>
        </w:tc>
        <w:tc>
          <w:tcPr>
            <w:tcW w:w="403"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3"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13" w:type="dxa"/>
            <w:vAlign w:val="top"/>
          </w:tcPr>
          <w:p>
            <w:pPr>
              <w:keepNext w:val="0"/>
              <w:keepLines w:val="0"/>
              <w:suppressLineNumbers w:val="0"/>
              <w:spacing w:before="0" w:beforeAutospacing="0" w:after="0" w:afterAutospacing="0" w:line="237" w:lineRule="exact"/>
              <w:ind w:left="0" w:right="0"/>
              <w:rPr>
                <w:rFonts w:hint="default"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775" w:type="dxa"/>
            <w:vMerge w:val="continue"/>
            <w:tcBorders>
              <w:top w:val="nil"/>
              <w:bottom w:val="nil"/>
              <w:right w:val="nil"/>
            </w:tcBorders>
            <w:vAlign w:val="top"/>
          </w:tcPr>
          <w:p>
            <w:pPr>
              <w:keepNext w:val="0"/>
              <w:keepLines w:val="0"/>
              <w:suppressLineNumbers w:val="0"/>
              <w:spacing w:before="0" w:beforeAutospacing="0" w:after="0" w:afterAutospacing="0"/>
              <w:ind w:left="0" w:right="0"/>
              <w:rPr>
                <w:rFonts w:hint="default" w:ascii="Arial"/>
                <w:sz w:val="21"/>
              </w:rPr>
            </w:pPr>
          </w:p>
        </w:tc>
        <w:tc>
          <w:tcPr>
            <w:tcW w:w="469" w:type="dxa"/>
            <w:vMerge w:val="continue"/>
            <w:tcBorders>
              <w:top w:val="nil"/>
              <w:left w:val="nil"/>
              <w:bottom w:val="nil"/>
            </w:tcBorders>
            <w:vAlign w:val="top"/>
          </w:tcPr>
          <w:p>
            <w:pPr>
              <w:keepNext w:val="0"/>
              <w:keepLines w:val="0"/>
              <w:suppressLineNumbers w:val="0"/>
              <w:spacing w:before="0" w:beforeAutospacing="0" w:after="0" w:afterAutospacing="0"/>
              <w:ind w:left="0" w:right="0"/>
              <w:rPr>
                <w:rFonts w:hint="default" w:ascii="Arial"/>
                <w:sz w:val="21"/>
              </w:rPr>
            </w:pPr>
          </w:p>
        </w:tc>
        <w:tc>
          <w:tcPr>
            <w:tcW w:w="403"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3"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4" w:lineRule="exact"/>
              <w:ind w:left="0" w:right="0"/>
              <w:rPr>
                <w:rFonts w:hint="default" w:ascii="Arial"/>
                <w:sz w:val="20"/>
              </w:rPr>
            </w:pPr>
          </w:p>
        </w:tc>
        <w:tc>
          <w:tcPr>
            <w:tcW w:w="413" w:type="dxa"/>
            <w:vAlign w:val="top"/>
          </w:tcPr>
          <w:p>
            <w:pPr>
              <w:keepNext w:val="0"/>
              <w:keepLines w:val="0"/>
              <w:suppressLineNumbers w:val="0"/>
              <w:spacing w:before="0" w:beforeAutospacing="0" w:after="0" w:afterAutospacing="0" w:line="234" w:lineRule="exact"/>
              <w:ind w:left="0" w:right="0"/>
              <w:rPr>
                <w:rFonts w:hint="default"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775" w:type="dxa"/>
            <w:vMerge w:val="continue"/>
            <w:tcBorders>
              <w:top w:val="nil"/>
              <w:bottom w:val="nil"/>
              <w:right w:val="nil"/>
            </w:tcBorders>
            <w:vAlign w:val="top"/>
          </w:tcPr>
          <w:p>
            <w:pPr>
              <w:keepNext w:val="0"/>
              <w:keepLines w:val="0"/>
              <w:suppressLineNumbers w:val="0"/>
              <w:spacing w:before="0" w:beforeAutospacing="0" w:after="0" w:afterAutospacing="0"/>
              <w:ind w:left="0" w:right="0"/>
              <w:rPr>
                <w:rFonts w:hint="default" w:ascii="Arial"/>
                <w:sz w:val="21"/>
              </w:rPr>
            </w:pPr>
          </w:p>
        </w:tc>
        <w:tc>
          <w:tcPr>
            <w:tcW w:w="469" w:type="dxa"/>
            <w:vMerge w:val="continue"/>
            <w:tcBorders>
              <w:top w:val="nil"/>
              <w:left w:val="nil"/>
              <w:bottom w:val="nil"/>
            </w:tcBorders>
            <w:vAlign w:val="top"/>
          </w:tcPr>
          <w:p>
            <w:pPr>
              <w:keepNext w:val="0"/>
              <w:keepLines w:val="0"/>
              <w:suppressLineNumbers w:val="0"/>
              <w:spacing w:before="0" w:beforeAutospacing="0" w:after="0" w:afterAutospacing="0"/>
              <w:ind w:left="0" w:right="0"/>
              <w:rPr>
                <w:rFonts w:hint="default" w:ascii="Arial"/>
                <w:sz w:val="21"/>
              </w:rPr>
            </w:pPr>
          </w:p>
        </w:tc>
        <w:tc>
          <w:tcPr>
            <w:tcW w:w="403"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3"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13" w:type="dxa"/>
            <w:vAlign w:val="top"/>
          </w:tcPr>
          <w:p>
            <w:pPr>
              <w:keepNext w:val="0"/>
              <w:keepLines w:val="0"/>
              <w:suppressLineNumbers w:val="0"/>
              <w:spacing w:before="0" w:beforeAutospacing="0" w:after="0" w:afterAutospacing="0" w:line="237" w:lineRule="exact"/>
              <w:ind w:left="0" w:right="0"/>
              <w:rPr>
                <w:rFonts w:hint="default"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775" w:type="dxa"/>
            <w:vMerge w:val="continue"/>
            <w:tcBorders>
              <w:top w:val="nil"/>
              <w:bottom w:val="nil"/>
              <w:right w:val="nil"/>
            </w:tcBorders>
            <w:vAlign w:val="top"/>
          </w:tcPr>
          <w:p>
            <w:pPr>
              <w:keepNext w:val="0"/>
              <w:keepLines w:val="0"/>
              <w:suppressLineNumbers w:val="0"/>
              <w:spacing w:before="0" w:beforeAutospacing="0" w:after="0" w:afterAutospacing="0"/>
              <w:ind w:left="0" w:right="0"/>
              <w:rPr>
                <w:rFonts w:hint="default" w:ascii="Arial"/>
                <w:sz w:val="21"/>
              </w:rPr>
            </w:pPr>
          </w:p>
        </w:tc>
        <w:tc>
          <w:tcPr>
            <w:tcW w:w="469" w:type="dxa"/>
            <w:vMerge w:val="continue"/>
            <w:tcBorders>
              <w:top w:val="nil"/>
              <w:left w:val="nil"/>
              <w:bottom w:val="nil"/>
            </w:tcBorders>
            <w:vAlign w:val="top"/>
          </w:tcPr>
          <w:p>
            <w:pPr>
              <w:keepNext w:val="0"/>
              <w:keepLines w:val="0"/>
              <w:suppressLineNumbers w:val="0"/>
              <w:spacing w:before="0" w:beforeAutospacing="0" w:after="0" w:afterAutospacing="0"/>
              <w:ind w:left="0" w:right="0"/>
              <w:rPr>
                <w:rFonts w:hint="default" w:ascii="Arial"/>
                <w:sz w:val="21"/>
              </w:rPr>
            </w:pPr>
          </w:p>
        </w:tc>
        <w:tc>
          <w:tcPr>
            <w:tcW w:w="403"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3"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13" w:type="dxa"/>
            <w:vAlign w:val="top"/>
          </w:tcPr>
          <w:p>
            <w:pPr>
              <w:keepNext w:val="0"/>
              <w:keepLines w:val="0"/>
              <w:suppressLineNumbers w:val="0"/>
              <w:spacing w:before="0" w:beforeAutospacing="0" w:after="0" w:afterAutospacing="0" w:line="237" w:lineRule="exact"/>
              <w:ind w:left="0" w:right="0"/>
              <w:rPr>
                <w:rFonts w:hint="default"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775" w:type="dxa"/>
            <w:vMerge w:val="continue"/>
            <w:tcBorders>
              <w:top w:val="nil"/>
              <w:bottom w:val="nil"/>
              <w:right w:val="nil"/>
            </w:tcBorders>
            <w:vAlign w:val="top"/>
          </w:tcPr>
          <w:p>
            <w:pPr>
              <w:keepNext w:val="0"/>
              <w:keepLines w:val="0"/>
              <w:suppressLineNumbers w:val="0"/>
              <w:spacing w:before="0" w:beforeAutospacing="0" w:after="0" w:afterAutospacing="0"/>
              <w:ind w:left="0" w:right="0"/>
              <w:rPr>
                <w:rFonts w:hint="default" w:ascii="Arial"/>
                <w:sz w:val="21"/>
              </w:rPr>
            </w:pPr>
          </w:p>
        </w:tc>
        <w:tc>
          <w:tcPr>
            <w:tcW w:w="469" w:type="dxa"/>
            <w:vMerge w:val="continue"/>
            <w:tcBorders>
              <w:top w:val="nil"/>
              <w:left w:val="nil"/>
              <w:bottom w:val="nil"/>
            </w:tcBorders>
            <w:vAlign w:val="top"/>
          </w:tcPr>
          <w:p>
            <w:pPr>
              <w:keepNext w:val="0"/>
              <w:keepLines w:val="0"/>
              <w:suppressLineNumbers w:val="0"/>
              <w:spacing w:before="0" w:beforeAutospacing="0" w:after="0" w:afterAutospacing="0"/>
              <w:ind w:left="0" w:right="0"/>
              <w:rPr>
                <w:rFonts w:hint="default" w:ascii="Arial"/>
                <w:sz w:val="21"/>
              </w:rPr>
            </w:pPr>
          </w:p>
        </w:tc>
        <w:tc>
          <w:tcPr>
            <w:tcW w:w="403"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3"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7" w:lineRule="exact"/>
              <w:ind w:left="0" w:right="0"/>
              <w:rPr>
                <w:rFonts w:hint="default" w:ascii="Arial"/>
                <w:sz w:val="20"/>
              </w:rPr>
            </w:pPr>
          </w:p>
        </w:tc>
        <w:tc>
          <w:tcPr>
            <w:tcW w:w="413" w:type="dxa"/>
            <w:vAlign w:val="top"/>
          </w:tcPr>
          <w:p>
            <w:pPr>
              <w:keepNext w:val="0"/>
              <w:keepLines w:val="0"/>
              <w:suppressLineNumbers w:val="0"/>
              <w:spacing w:before="0" w:beforeAutospacing="0" w:after="0" w:afterAutospacing="0" w:line="237" w:lineRule="exact"/>
              <w:ind w:left="0" w:right="0"/>
              <w:rPr>
                <w:rFonts w:hint="default"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trPr>
        <w:tc>
          <w:tcPr>
            <w:tcW w:w="775" w:type="dxa"/>
            <w:vMerge w:val="continue"/>
            <w:tcBorders>
              <w:top w:val="nil"/>
              <w:right w:val="nil"/>
            </w:tcBorders>
            <w:vAlign w:val="top"/>
          </w:tcPr>
          <w:p>
            <w:pPr>
              <w:keepNext w:val="0"/>
              <w:keepLines w:val="0"/>
              <w:suppressLineNumbers w:val="0"/>
              <w:spacing w:before="0" w:beforeAutospacing="0" w:after="0" w:afterAutospacing="0"/>
              <w:ind w:left="0" w:right="0"/>
              <w:rPr>
                <w:rFonts w:hint="default" w:ascii="Arial"/>
                <w:sz w:val="21"/>
              </w:rPr>
            </w:pPr>
          </w:p>
        </w:tc>
        <w:tc>
          <w:tcPr>
            <w:tcW w:w="469" w:type="dxa"/>
            <w:vMerge w:val="continue"/>
            <w:tcBorders>
              <w:top w:val="nil"/>
              <w:left w:val="nil"/>
            </w:tcBorders>
            <w:vAlign w:val="top"/>
          </w:tcPr>
          <w:p>
            <w:pPr>
              <w:keepNext w:val="0"/>
              <w:keepLines w:val="0"/>
              <w:suppressLineNumbers w:val="0"/>
              <w:spacing w:before="0" w:beforeAutospacing="0" w:after="0" w:afterAutospacing="0"/>
              <w:ind w:left="0" w:right="0"/>
              <w:rPr>
                <w:rFonts w:hint="default" w:ascii="Arial"/>
                <w:sz w:val="21"/>
              </w:rPr>
            </w:pPr>
          </w:p>
        </w:tc>
        <w:tc>
          <w:tcPr>
            <w:tcW w:w="403" w:type="dxa"/>
            <w:vAlign w:val="top"/>
          </w:tcPr>
          <w:p>
            <w:pPr>
              <w:keepNext w:val="0"/>
              <w:keepLines w:val="0"/>
              <w:suppressLineNumbers w:val="0"/>
              <w:spacing w:before="0" w:beforeAutospacing="0" w:after="0" w:afterAutospacing="0" w:line="239"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9"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9"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9"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9" w:lineRule="exact"/>
              <w:ind w:left="0" w:right="0"/>
              <w:rPr>
                <w:rFonts w:hint="default" w:ascii="Arial"/>
                <w:sz w:val="20"/>
              </w:rPr>
            </w:pPr>
          </w:p>
        </w:tc>
        <w:tc>
          <w:tcPr>
            <w:tcW w:w="403" w:type="dxa"/>
            <w:vAlign w:val="top"/>
          </w:tcPr>
          <w:p>
            <w:pPr>
              <w:keepNext w:val="0"/>
              <w:keepLines w:val="0"/>
              <w:suppressLineNumbers w:val="0"/>
              <w:spacing w:before="0" w:beforeAutospacing="0" w:after="0" w:afterAutospacing="0" w:line="239"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9"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9"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9"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9"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9"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9"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9"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9"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9" w:lineRule="exact"/>
              <w:ind w:left="0" w:right="0"/>
              <w:rPr>
                <w:rFonts w:hint="default" w:ascii="Arial"/>
                <w:sz w:val="20"/>
              </w:rPr>
            </w:pPr>
          </w:p>
        </w:tc>
        <w:tc>
          <w:tcPr>
            <w:tcW w:w="406" w:type="dxa"/>
            <w:vAlign w:val="top"/>
          </w:tcPr>
          <w:p>
            <w:pPr>
              <w:keepNext w:val="0"/>
              <w:keepLines w:val="0"/>
              <w:suppressLineNumbers w:val="0"/>
              <w:spacing w:before="0" w:beforeAutospacing="0" w:after="0" w:afterAutospacing="0" w:line="239" w:lineRule="exact"/>
              <w:ind w:left="0" w:right="0"/>
              <w:rPr>
                <w:rFonts w:hint="default" w:ascii="Arial"/>
                <w:sz w:val="20"/>
              </w:rPr>
            </w:pPr>
          </w:p>
        </w:tc>
        <w:tc>
          <w:tcPr>
            <w:tcW w:w="407" w:type="dxa"/>
            <w:vAlign w:val="top"/>
          </w:tcPr>
          <w:p>
            <w:pPr>
              <w:keepNext w:val="0"/>
              <w:keepLines w:val="0"/>
              <w:suppressLineNumbers w:val="0"/>
              <w:spacing w:before="0" w:beforeAutospacing="0" w:after="0" w:afterAutospacing="0" w:line="239" w:lineRule="exact"/>
              <w:ind w:left="0" w:right="0"/>
              <w:rPr>
                <w:rFonts w:hint="default" w:ascii="Arial"/>
                <w:sz w:val="20"/>
              </w:rPr>
            </w:pPr>
          </w:p>
        </w:tc>
        <w:tc>
          <w:tcPr>
            <w:tcW w:w="405" w:type="dxa"/>
            <w:vAlign w:val="top"/>
          </w:tcPr>
          <w:p>
            <w:pPr>
              <w:keepNext w:val="0"/>
              <w:keepLines w:val="0"/>
              <w:suppressLineNumbers w:val="0"/>
              <w:spacing w:before="0" w:beforeAutospacing="0" w:after="0" w:afterAutospacing="0" w:line="239" w:lineRule="exact"/>
              <w:ind w:left="0" w:right="0"/>
              <w:rPr>
                <w:rFonts w:hint="default" w:ascii="Arial"/>
                <w:sz w:val="20"/>
              </w:rPr>
            </w:pPr>
          </w:p>
        </w:tc>
        <w:tc>
          <w:tcPr>
            <w:tcW w:w="408" w:type="dxa"/>
            <w:vAlign w:val="top"/>
          </w:tcPr>
          <w:p>
            <w:pPr>
              <w:keepNext w:val="0"/>
              <w:keepLines w:val="0"/>
              <w:suppressLineNumbers w:val="0"/>
              <w:spacing w:before="0" w:beforeAutospacing="0" w:after="0" w:afterAutospacing="0" w:line="239" w:lineRule="exact"/>
              <w:ind w:left="0" w:right="0"/>
              <w:rPr>
                <w:rFonts w:hint="default" w:ascii="Arial"/>
                <w:sz w:val="20"/>
              </w:rPr>
            </w:pPr>
          </w:p>
        </w:tc>
        <w:tc>
          <w:tcPr>
            <w:tcW w:w="413" w:type="dxa"/>
            <w:vAlign w:val="top"/>
          </w:tcPr>
          <w:p>
            <w:pPr>
              <w:keepNext w:val="0"/>
              <w:keepLines w:val="0"/>
              <w:suppressLineNumbers w:val="0"/>
              <w:spacing w:before="0" w:beforeAutospacing="0" w:after="0" w:afterAutospacing="0" w:line="239" w:lineRule="exact"/>
              <w:ind w:left="0" w:right="0"/>
              <w:rPr>
                <w:rFonts w:hint="default" w:ascii="Arial"/>
                <w:sz w:val="20"/>
              </w:rPr>
            </w:pPr>
          </w:p>
        </w:tc>
      </w:tr>
    </w:tbl>
    <w:p>
      <w:pPr>
        <w:spacing w:before="46" w:line="187" w:lineRule="auto"/>
        <w:jc w:val="right"/>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01020</w:t>
      </w:r>
      <w:r>
        <w:rPr>
          <w:rFonts w:ascii="Times New Roman" w:hAnsi="Times New Roman" w:eastAsia="Times New Roman" w:cs="Times New Roman"/>
          <w:spacing w:val="-3"/>
          <w:sz w:val="21"/>
          <w:szCs w:val="21"/>
        </w:rPr>
        <w:t>30405060708090100</w:t>
      </w:r>
    </w:p>
    <w:p>
      <w:pPr>
        <w:spacing w:before="145" w:line="235" w:lineRule="auto"/>
        <w:ind w:left="3520"/>
        <w:rPr>
          <w:rFonts w:ascii="宋体" w:hAnsi="宋体" w:eastAsia="宋体" w:cs="宋体"/>
          <w:sz w:val="21"/>
          <w:szCs w:val="21"/>
        </w:rPr>
      </w:pPr>
      <w:r>
        <w:rPr>
          <w:rFonts w:ascii="宋体" w:hAnsi="宋体" w:eastAsia="宋体" w:cs="宋体"/>
          <w:spacing w:val="-1"/>
          <w:sz w:val="21"/>
          <w:szCs w:val="21"/>
        </w:rPr>
        <w:t>工期历程的百分比（</w:t>
      </w:r>
      <w:r>
        <w:rPr>
          <w:rFonts w:ascii="Times New Roman" w:hAnsi="Times New Roman" w:eastAsia="Times New Roman" w:cs="Times New Roman"/>
          <w:spacing w:val="-1"/>
          <w:sz w:val="21"/>
          <w:szCs w:val="21"/>
        </w:rPr>
        <w:t>%</w:t>
      </w:r>
      <w:r>
        <w:rPr>
          <w:rFonts w:ascii="宋体" w:hAnsi="宋体" w:eastAsia="宋体" w:cs="宋体"/>
          <w:spacing w:val="-1"/>
          <w:sz w:val="21"/>
          <w:szCs w:val="21"/>
        </w:rPr>
        <w:t>）</w:t>
      </w:r>
    </w:p>
    <w:p>
      <w:pPr>
        <w:spacing w:line="235" w:lineRule="auto"/>
        <w:rPr>
          <w:rFonts w:ascii="宋体" w:hAnsi="宋体" w:eastAsia="宋体" w:cs="宋体"/>
          <w:sz w:val="21"/>
          <w:szCs w:val="21"/>
        </w:rPr>
        <w:sectPr>
          <w:footerReference r:id="rId27" w:type="default"/>
          <w:pgSz w:w="11907" w:h="16841"/>
          <w:pgMar w:top="1431" w:right="1284" w:bottom="1216" w:left="1178" w:header="0" w:footer="1055" w:gutter="0"/>
          <w:pgNumType w:fmt="decimal"/>
          <w:cols w:space="720" w:num="1"/>
        </w:sectPr>
      </w:pPr>
    </w:p>
    <w:p>
      <w:pPr>
        <w:pStyle w:val="8"/>
        <w:spacing w:line="286" w:lineRule="auto"/>
      </w:pPr>
    </w:p>
    <w:p>
      <w:pPr>
        <w:pStyle w:val="8"/>
        <w:spacing w:line="287" w:lineRule="auto"/>
      </w:pPr>
    </w:p>
    <w:p>
      <w:pPr>
        <w:spacing w:before="68" w:line="220" w:lineRule="auto"/>
        <w:ind w:left="202"/>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附表四分项工程生产率和施工周期表</w:t>
      </w:r>
      <w:r>
        <w:rPr>
          <w:rFonts w:hint="eastAsia" w:ascii="宋体" w:hAnsi="宋体" w:eastAsia="宋体" w:cs="宋体"/>
          <w:spacing w:val="-1"/>
          <w:sz w:val="21"/>
          <w:szCs w:val="21"/>
          <w:lang w:eastAsia="zh-CN"/>
          <w14:textOutline w14:w="3831" w14:cap="flat" w14:cmpd="sng">
            <w14:solidFill>
              <w14:srgbClr w14:val="000000"/>
            </w14:solidFill>
            <w14:prstDash w14:val="solid"/>
            <w14:miter w14:val="0"/>
          </w14:textOutline>
        </w:rPr>
        <w:t>（</w:t>
      </w:r>
      <w:r>
        <w:rPr>
          <w:rFonts w:hint="eastAsia" w:ascii="宋体" w:hAnsi="宋体" w:eastAsia="宋体" w:cs="宋体"/>
          <w:spacing w:val="-1"/>
          <w:sz w:val="21"/>
          <w:szCs w:val="21"/>
          <w:lang w:val="en-US" w:eastAsia="zh-CN"/>
          <w14:textOutline w14:w="3831" w14:cap="flat" w14:cmpd="sng">
            <w14:solidFill>
              <w14:srgbClr w14:val="000000"/>
            </w14:solidFill>
            <w14:prstDash w14:val="solid"/>
            <w14:miter w14:val="0"/>
          </w14:textOutline>
        </w:rPr>
        <w:t>参考）</w:t>
      </w:r>
    </w:p>
    <w:p>
      <w:pPr>
        <w:spacing w:before="33"/>
      </w:pPr>
    </w:p>
    <w:p>
      <w:pPr>
        <w:spacing w:before="32"/>
      </w:pPr>
    </w:p>
    <w:tbl>
      <w:tblPr>
        <w:tblStyle w:val="68"/>
        <w:tblW w:w="1409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1"/>
        <w:gridCol w:w="1993"/>
        <w:gridCol w:w="900"/>
        <w:gridCol w:w="899"/>
        <w:gridCol w:w="2698"/>
        <w:gridCol w:w="2159"/>
        <w:gridCol w:w="2144"/>
        <w:gridCol w:w="24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821" w:type="dxa"/>
            <w:vAlign w:val="top"/>
          </w:tcPr>
          <w:p>
            <w:pPr>
              <w:keepNext w:val="0"/>
              <w:keepLines w:val="0"/>
              <w:suppressLineNumbers w:val="0"/>
              <w:spacing w:before="0" w:beforeAutospacing="0" w:after="0" w:afterAutospacing="0" w:line="245" w:lineRule="auto"/>
              <w:ind w:left="0" w:right="0"/>
              <w:rPr>
                <w:rFonts w:hint="default" w:ascii="Arial"/>
                <w:sz w:val="21"/>
              </w:rPr>
            </w:pPr>
          </w:p>
          <w:p>
            <w:pPr>
              <w:pStyle w:val="72"/>
              <w:keepNext w:val="0"/>
              <w:keepLines w:val="0"/>
              <w:suppressLineNumbers w:val="0"/>
              <w:spacing w:before="68" w:beforeAutospacing="0" w:after="0" w:afterAutospacing="0" w:line="222" w:lineRule="auto"/>
              <w:ind w:left="208" w:right="0"/>
              <w:rPr>
                <w:rFonts w:hint="default"/>
              </w:rPr>
            </w:pPr>
            <w:r>
              <w:rPr>
                <w:rFonts w:hint="default"/>
                <w:spacing w:val="-2"/>
              </w:rPr>
              <w:t>序号</w:t>
            </w:r>
          </w:p>
        </w:tc>
        <w:tc>
          <w:tcPr>
            <w:tcW w:w="1993" w:type="dxa"/>
            <w:vAlign w:val="top"/>
          </w:tcPr>
          <w:p>
            <w:pPr>
              <w:keepNext w:val="0"/>
              <w:keepLines w:val="0"/>
              <w:suppressLineNumbers w:val="0"/>
              <w:spacing w:before="0" w:beforeAutospacing="0" w:after="0" w:afterAutospacing="0" w:line="245" w:lineRule="auto"/>
              <w:ind w:left="0" w:right="0"/>
              <w:rPr>
                <w:rFonts w:hint="default" w:ascii="Arial"/>
                <w:sz w:val="21"/>
              </w:rPr>
            </w:pPr>
          </w:p>
          <w:p>
            <w:pPr>
              <w:pStyle w:val="72"/>
              <w:keepNext w:val="0"/>
              <w:keepLines w:val="0"/>
              <w:suppressLineNumbers w:val="0"/>
              <w:spacing w:before="68" w:beforeAutospacing="0" w:after="0" w:afterAutospacing="0" w:line="221" w:lineRule="auto"/>
              <w:ind w:left="598" w:right="0"/>
              <w:rPr>
                <w:rFonts w:hint="default"/>
              </w:rPr>
            </w:pPr>
            <w:r>
              <w:rPr>
                <w:rFonts w:hint="default"/>
                <w:spacing w:val="-2"/>
              </w:rPr>
              <w:t>工程项目</w:t>
            </w:r>
          </w:p>
        </w:tc>
        <w:tc>
          <w:tcPr>
            <w:tcW w:w="900" w:type="dxa"/>
            <w:vAlign w:val="top"/>
          </w:tcPr>
          <w:p>
            <w:pPr>
              <w:keepNext w:val="0"/>
              <w:keepLines w:val="0"/>
              <w:suppressLineNumbers w:val="0"/>
              <w:spacing w:before="0" w:beforeAutospacing="0" w:after="0" w:afterAutospacing="0" w:line="245" w:lineRule="auto"/>
              <w:ind w:left="0" w:right="0"/>
              <w:rPr>
                <w:rFonts w:hint="default" w:ascii="Arial"/>
                <w:sz w:val="21"/>
              </w:rPr>
            </w:pPr>
          </w:p>
          <w:p>
            <w:pPr>
              <w:pStyle w:val="72"/>
              <w:keepNext w:val="0"/>
              <w:keepLines w:val="0"/>
              <w:suppressLineNumbers w:val="0"/>
              <w:spacing w:before="68" w:beforeAutospacing="0" w:after="0" w:afterAutospacing="0" w:line="221" w:lineRule="auto"/>
              <w:ind w:left="248" w:right="0"/>
              <w:rPr>
                <w:rFonts w:hint="default"/>
              </w:rPr>
            </w:pPr>
            <w:r>
              <w:rPr>
                <w:rFonts w:hint="default"/>
                <w:spacing w:val="-2"/>
              </w:rPr>
              <w:t>单位</w:t>
            </w:r>
          </w:p>
        </w:tc>
        <w:tc>
          <w:tcPr>
            <w:tcW w:w="899" w:type="dxa"/>
            <w:vAlign w:val="top"/>
          </w:tcPr>
          <w:p>
            <w:pPr>
              <w:keepNext w:val="0"/>
              <w:keepLines w:val="0"/>
              <w:suppressLineNumbers w:val="0"/>
              <w:spacing w:before="0" w:beforeAutospacing="0" w:after="0" w:afterAutospacing="0" w:line="244" w:lineRule="auto"/>
              <w:ind w:left="0" w:right="0"/>
              <w:rPr>
                <w:rFonts w:hint="default" w:ascii="Arial"/>
                <w:sz w:val="21"/>
              </w:rPr>
            </w:pPr>
          </w:p>
          <w:p>
            <w:pPr>
              <w:pStyle w:val="72"/>
              <w:keepNext w:val="0"/>
              <w:keepLines w:val="0"/>
              <w:suppressLineNumbers w:val="0"/>
              <w:spacing w:before="68" w:beforeAutospacing="0" w:after="0" w:afterAutospacing="0" w:line="221" w:lineRule="auto"/>
              <w:ind w:left="251" w:right="0"/>
              <w:rPr>
                <w:rFonts w:hint="default"/>
              </w:rPr>
            </w:pPr>
            <w:r>
              <w:rPr>
                <w:rFonts w:hint="default"/>
                <w:spacing w:val="-2"/>
              </w:rPr>
              <w:t>数量</w:t>
            </w:r>
          </w:p>
        </w:tc>
        <w:tc>
          <w:tcPr>
            <w:tcW w:w="2698" w:type="dxa"/>
            <w:vAlign w:val="top"/>
          </w:tcPr>
          <w:p>
            <w:pPr>
              <w:pStyle w:val="72"/>
              <w:keepNext w:val="0"/>
              <w:keepLines w:val="0"/>
              <w:suppressLineNumbers w:val="0"/>
              <w:spacing w:before="163" w:beforeAutospacing="0" w:after="0" w:afterAutospacing="0" w:line="221" w:lineRule="auto"/>
              <w:ind w:left="0" w:right="0"/>
              <w:jc w:val="right"/>
              <w:rPr>
                <w:rFonts w:hint="default"/>
              </w:rPr>
            </w:pPr>
            <w:r>
              <w:rPr>
                <w:rFonts w:hint="default"/>
                <w:spacing w:val="-18"/>
              </w:rPr>
              <w:t>平均每生产单位规模（</w:t>
            </w:r>
            <w:r>
              <w:rPr>
                <w:rFonts w:hint="eastAsia"/>
                <w:spacing w:val="-18"/>
                <w:u w:val="single"/>
                <w:lang w:val="en-US" w:eastAsia="zh-CN"/>
              </w:rPr>
              <w:t xml:space="preserve">  </w:t>
            </w:r>
            <w:r>
              <w:rPr>
                <w:rFonts w:hint="default"/>
                <w:spacing w:val="-18"/>
              </w:rPr>
              <w:t>人，</w:t>
            </w:r>
          </w:p>
          <w:p>
            <w:pPr>
              <w:pStyle w:val="72"/>
              <w:keepNext w:val="0"/>
              <w:keepLines w:val="0"/>
              <w:suppressLineNumbers w:val="0"/>
              <w:spacing w:before="150" w:beforeAutospacing="0" w:after="0" w:afterAutospacing="0" w:line="205" w:lineRule="auto"/>
              <w:ind w:left="654" w:right="0"/>
              <w:rPr>
                <w:rFonts w:hint="default"/>
              </w:rPr>
            </w:pPr>
            <w:r>
              <w:rPr>
                <w:rFonts w:hint="default"/>
                <w:spacing w:val="-3"/>
              </w:rPr>
              <w:t>各种机械台）</w:t>
            </w:r>
          </w:p>
        </w:tc>
        <w:tc>
          <w:tcPr>
            <w:tcW w:w="2159" w:type="dxa"/>
            <w:vAlign w:val="top"/>
          </w:tcPr>
          <w:p>
            <w:pPr>
              <w:pStyle w:val="72"/>
              <w:keepNext w:val="0"/>
              <w:keepLines w:val="0"/>
              <w:suppressLineNumbers w:val="0"/>
              <w:spacing w:before="142" w:beforeAutospacing="0" w:after="0" w:afterAutospacing="0" w:line="410" w:lineRule="exact"/>
              <w:ind w:left="240" w:right="0"/>
              <w:rPr>
                <w:rFonts w:hint="default"/>
              </w:rPr>
            </w:pPr>
            <w:r>
              <w:rPr>
                <w:rFonts w:hint="default"/>
                <w:spacing w:val="-1"/>
                <w:position w:val="15"/>
              </w:rPr>
              <w:t>平均每单位生产率</w:t>
            </w:r>
          </w:p>
          <w:p>
            <w:pPr>
              <w:pStyle w:val="72"/>
              <w:keepNext w:val="0"/>
              <w:keepLines w:val="0"/>
              <w:suppressLineNumbers w:val="0"/>
              <w:spacing w:before="0" w:beforeAutospacing="0" w:after="0" w:afterAutospacing="0" w:line="215" w:lineRule="auto"/>
              <w:ind w:left="353" w:right="0"/>
              <w:rPr>
                <w:rFonts w:hint="default"/>
              </w:rPr>
            </w:pPr>
            <w:r>
              <w:rPr>
                <w:rFonts w:hint="default"/>
                <w:spacing w:val="-4"/>
              </w:rPr>
              <w:t>（数量、每周）</w:t>
            </w:r>
          </w:p>
        </w:tc>
        <w:tc>
          <w:tcPr>
            <w:tcW w:w="2144" w:type="dxa"/>
            <w:vAlign w:val="top"/>
          </w:tcPr>
          <w:p>
            <w:pPr>
              <w:pStyle w:val="72"/>
              <w:keepNext w:val="0"/>
              <w:keepLines w:val="0"/>
              <w:suppressLineNumbers w:val="0"/>
              <w:spacing w:before="163" w:beforeAutospacing="0" w:after="0" w:afterAutospacing="0" w:line="221" w:lineRule="auto"/>
              <w:ind w:left="552" w:right="0"/>
              <w:rPr>
                <w:rFonts w:hint="default"/>
              </w:rPr>
            </w:pPr>
            <w:r>
              <w:rPr>
                <w:rFonts w:hint="default"/>
                <w:spacing w:val="-1"/>
              </w:rPr>
              <w:t>每生产单位</w:t>
            </w:r>
          </w:p>
          <w:p>
            <w:pPr>
              <w:pStyle w:val="72"/>
              <w:keepNext w:val="0"/>
              <w:keepLines w:val="0"/>
              <w:suppressLineNumbers w:val="0"/>
              <w:spacing w:before="171" w:beforeAutospacing="0" w:after="0" w:afterAutospacing="0" w:line="186" w:lineRule="auto"/>
              <w:ind w:left="131" w:right="0"/>
              <w:rPr>
                <w:rFonts w:hint="default"/>
              </w:rPr>
            </w:pPr>
            <w:r>
              <w:rPr>
                <w:rFonts w:hint="default"/>
                <w:spacing w:val="-3"/>
              </w:rPr>
              <w:t>平均施工时间（周）</w:t>
            </w:r>
          </w:p>
        </w:tc>
        <w:tc>
          <w:tcPr>
            <w:tcW w:w="2483" w:type="dxa"/>
            <w:vAlign w:val="top"/>
          </w:tcPr>
          <w:p>
            <w:pPr>
              <w:pStyle w:val="72"/>
              <w:keepNext w:val="0"/>
              <w:keepLines w:val="0"/>
              <w:suppressLineNumbers w:val="0"/>
              <w:spacing w:before="141" w:beforeAutospacing="0" w:after="0" w:afterAutospacing="0" w:line="221" w:lineRule="auto"/>
              <w:ind w:left="615" w:right="0"/>
              <w:rPr>
                <w:rFonts w:hint="default"/>
              </w:rPr>
            </w:pPr>
            <w:r>
              <w:rPr>
                <w:rFonts w:hint="default"/>
                <w:spacing w:val="-2"/>
              </w:rPr>
              <w:t>生产单位总数</w:t>
            </w:r>
          </w:p>
          <w:p>
            <w:pPr>
              <w:pStyle w:val="72"/>
              <w:keepNext w:val="0"/>
              <w:keepLines w:val="0"/>
              <w:suppressLineNumbers w:val="0"/>
              <w:spacing w:before="159" w:beforeAutospacing="0" w:after="0" w:afterAutospacing="0" w:line="216" w:lineRule="auto"/>
              <w:ind w:left="935" w:right="0"/>
              <w:rPr>
                <w:rFonts w:hint="default"/>
              </w:rPr>
            </w:pPr>
            <w:r>
              <w:rPr>
                <w:rFonts w:hint="default"/>
                <w:spacing w:val="-6"/>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821" w:type="dxa"/>
            <w:vAlign w:val="top"/>
          </w:tcPr>
          <w:p>
            <w:pPr>
              <w:keepNext w:val="0"/>
              <w:keepLines w:val="0"/>
              <w:suppressLineNumbers w:val="0"/>
              <w:spacing w:before="0" w:beforeAutospacing="0" w:after="0" w:afterAutospacing="0" w:line="303" w:lineRule="auto"/>
              <w:ind w:left="0" w:right="0"/>
              <w:rPr>
                <w:rFonts w:hint="default" w:ascii="Arial"/>
                <w:sz w:val="21"/>
              </w:rPr>
            </w:pPr>
          </w:p>
          <w:p>
            <w:pPr>
              <w:keepNext w:val="0"/>
              <w:keepLines w:val="0"/>
              <w:suppressLineNumbers w:val="0"/>
              <w:spacing w:before="37" w:beforeAutospacing="0" w:after="0" w:afterAutospacing="0" w:line="92" w:lineRule="exact"/>
              <w:ind w:left="372" w:right="0"/>
              <w:rPr>
                <w:rFonts w:hint="default" w:ascii="Times New Roman" w:hAnsi="Times New Roman" w:eastAsia="Times New Roman" w:cs="Times New Roman"/>
                <w:sz w:val="13"/>
                <w:szCs w:val="13"/>
              </w:rPr>
            </w:pPr>
            <w:r>
              <w:rPr>
                <w:rFonts w:hint="default" w:ascii="Times New Roman" w:hAnsi="Times New Roman" w:eastAsia="Times New Roman" w:cs="Times New Roman"/>
                <w:spacing w:val="13"/>
                <w:position w:val="-2"/>
                <w:sz w:val="13"/>
                <w:szCs w:val="13"/>
              </w:rPr>
              <w:t>1</w:t>
            </w:r>
          </w:p>
        </w:tc>
        <w:tc>
          <w:tcPr>
            <w:tcW w:w="1993" w:type="dxa"/>
            <w:vAlign w:val="top"/>
          </w:tcPr>
          <w:p>
            <w:pPr>
              <w:pStyle w:val="72"/>
              <w:keepNext w:val="0"/>
              <w:keepLines w:val="0"/>
              <w:suppressLineNumbers w:val="0"/>
              <w:spacing w:before="158" w:beforeAutospacing="0" w:after="0" w:afterAutospacing="0" w:line="221" w:lineRule="auto"/>
              <w:ind w:left="106" w:right="0"/>
              <w:rPr>
                <w:rFonts w:hint="default"/>
              </w:rPr>
            </w:pPr>
            <w:r>
              <w:rPr>
                <w:rFonts w:hint="default"/>
                <w:spacing w:val="-1"/>
              </w:rPr>
              <w:t>特殊路基处理</w:t>
            </w:r>
          </w:p>
        </w:tc>
        <w:tc>
          <w:tcPr>
            <w:tcW w:w="900" w:type="dxa"/>
            <w:vAlign w:val="top"/>
          </w:tcPr>
          <w:p>
            <w:pPr>
              <w:keepNext w:val="0"/>
              <w:keepLines w:val="0"/>
              <w:suppressLineNumbers w:val="0"/>
              <w:spacing w:before="0" w:beforeAutospacing="0" w:after="0" w:afterAutospacing="0"/>
              <w:ind w:left="0" w:right="0"/>
              <w:rPr>
                <w:rFonts w:hint="default" w:ascii="Arial"/>
                <w:sz w:val="21"/>
              </w:rPr>
            </w:pPr>
            <w:r>
              <w:rPr>
                <w:rFonts w:hint="default"/>
              </w:rPr>
              <mc:AlternateContent>
                <mc:Choice Requires="wps">
                  <w:drawing>
                    <wp:anchor distT="0" distB="0" distL="114300" distR="114300" simplePos="0" relativeHeight="251671552" behindDoc="0" locked="0" layoutInCell="1" allowOverlap="1">
                      <wp:simplePos x="0" y="0"/>
                      <wp:positionH relativeFrom="rightMargin">
                        <wp:posOffset>-383540</wp:posOffset>
                      </wp:positionH>
                      <wp:positionV relativeFrom="topMargin">
                        <wp:posOffset>202565</wp:posOffset>
                      </wp:positionV>
                      <wp:extent cx="196215" cy="17653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96215" cy="176530"/>
                              </a:xfrm>
                              <a:prstGeom prst="rect">
                                <a:avLst/>
                              </a:prstGeom>
                              <a:noFill/>
                              <a:ln>
                                <a:noFill/>
                              </a:ln>
                            </wps:spPr>
                            <wps:txbx>
                              <w:txbxContent>
                                <w:p>
                                  <w:pPr>
                                    <w:spacing w:before="19" w:line="236" w:lineRule="auto"/>
                                    <w:ind w:left="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km</w:t>
                                  </w:r>
                                </w:p>
                              </w:txbxContent>
                            </wps:txbx>
                            <wps:bodyPr lIns="0" tIns="0" rIns="0" bIns="0" upright="1"/>
                          </wps:wsp>
                        </a:graphicData>
                      </a:graphic>
                    </wp:anchor>
                  </w:drawing>
                </mc:Choice>
                <mc:Fallback>
                  <w:pict>
                    <v:shape id="_x0000_s1026" o:spid="_x0000_s1026" o:spt="202" type="#_x0000_t202" style="position:absolute;left:0pt;margin-left:14.55pt;margin-top:16.45pt;height:13.9pt;width:15.45pt;mso-position-horizontal-relative:page;mso-position-vertical-relative:page;z-index:251671552;mso-width-relative:page;mso-height-relative:page;" filled="f" stroked="f" coordsize="21600,21600" o:gfxdata="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t84v9kAAAAJAQAADwAAAAAAAAABACAAAAAiAAAAZHJzL2Rvd25yZXYueG1sUEsB&#10;AhQAFAAAAAgAh07iQI/bWKG7AQAAcwMAAA4AAAAAAAAAAQAgAAAAKAEAAGRycy9lMm9Eb2MueG1s&#10;UEsFBgAAAAAGAAYAWQEAAFUFAAAAAA==&#10;">
                      <v:fill on="f" focussize="0,0"/>
                      <v:stroke on="f"/>
                      <v:imagedata o:title=""/>
                      <o:lock v:ext="edit" aspectratio="f"/>
                      <v:textbox inset="0mm,0mm,0mm,0mm">
                        <w:txbxContent>
                          <w:p>
                            <w:pPr>
                              <w:spacing w:before="19" w:line="236" w:lineRule="auto"/>
                              <w:ind w:left="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km</w:t>
                            </w:r>
                          </w:p>
                        </w:txbxContent>
                      </v:textbox>
                    </v:shape>
                  </w:pict>
                </mc:Fallback>
              </mc:AlternateContent>
            </w:r>
          </w:p>
        </w:tc>
        <w:tc>
          <w:tcPr>
            <w:tcW w:w="899" w:type="dxa"/>
            <w:vAlign w:val="top"/>
          </w:tcPr>
          <w:p>
            <w:pPr>
              <w:keepNext w:val="0"/>
              <w:keepLines w:val="0"/>
              <w:suppressLineNumbers w:val="0"/>
              <w:spacing w:before="0" w:beforeAutospacing="0" w:after="0" w:afterAutospacing="0"/>
              <w:ind w:left="0" w:right="0"/>
              <w:rPr>
                <w:rFonts w:hint="default" w:ascii="Arial"/>
                <w:sz w:val="21"/>
              </w:rPr>
            </w:pPr>
          </w:p>
        </w:tc>
        <w:tc>
          <w:tcPr>
            <w:tcW w:w="2698" w:type="dxa"/>
            <w:vAlign w:val="top"/>
          </w:tcPr>
          <w:p>
            <w:pPr>
              <w:keepNext w:val="0"/>
              <w:keepLines w:val="0"/>
              <w:suppressLineNumbers w:val="0"/>
              <w:spacing w:before="0" w:beforeAutospacing="0" w:after="0" w:afterAutospacing="0"/>
              <w:ind w:left="0" w:right="0"/>
              <w:rPr>
                <w:rFonts w:hint="default" w:ascii="Arial"/>
                <w:sz w:val="21"/>
              </w:rPr>
            </w:pPr>
          </w:p>
        </w:tc>
        <w:tc>
          <w:tcPr>
            <w:tcW w:w="2159" w:type="dxa"/>
            <w:vAlign w:val="top"/>
          </w:tcPr>
          <w:p>
            <w:pPr>
              <w:keepNext w:val="0"/>
              <w:keepLines w:val="0"/>
              <w:suppressLineNumbers w:val="0"/>
              <w:spacing w:before="0" w:beforeAutospacing="0" w:after="0" w:afterAutospacing="0"/>
              <w:ind w:left="0" w:right="0"/>
              <w:rPr>
                <w:rFonts w:hint="default" w:ascii="Arial"/>
                <w:sz w:val="21"/>
              </w:rPr>
            </w:pPr>
          </w:p>
        </w:tc>
        <w:tc>
          <w:tcPr>
            <w:tcW w:w="2144" w:type="dxa"/>
            <w:vAlign w:val="top"/>
          </w:tcPr>
          <w:p>
            <w:pPr>
              <w:keepNext w:val="0"/>
              <w:keepLines w:val="0"/>
              <w:suppressLineNumbers w:val="0"/>
              <w:spacing w:before="0" w:beforeAutospacing="0" w:after="0" w:afterAutospacing="0"/>
              <w:ind w:left="0" w:right="0"/>
              <w:rPr>
                <w:rFonts w:hint="default" w:ascii="Arial"/>
                <w:sz w:val="21"/>
              </w:rPr>
            </w:pPr>
          </w:p>
        </w:tc>
        <w:tc>
          <w:tcPr>
            <w:tcW w:w="2483"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821" w:type="dxa"/>
            <w:vAlign w:val="top"/>
          </w:tcPr>
          <w:p>
            <w:pPr>
              <w:keepNext w:val="0"/>
              <w:keepLines w:val="0"/>
              <w:suppressLineNumbers w:val="0"/>
              <w:spacing w:before="0" w:beforeAutospacing="0" w:after="0" w:afterAutospacing="0" w:line="270" w:lineRule="auto"/>
              <w:ind w:left="0" w:right="0"/>
              <w:rPr>
                <w:rFonts w:hint="default" w:ascii="Arial"/>
                <w:sz w:val="21"/>
              </w:rPr>
            </w:pPr>
          </w:p>
          <w:p>
            <w:pPr>
              <w:keepNext w:val="0"/>
              <w:keepLines w:val="0"/>
              <w:suppressLineNumbers w:val="0"/>
              <w:spacing w:before="60" w:beforeAutospacing="0" w:after="0" w:afterAutospacing="0" w:line="106" w:lineRule="exact"/>
              <w:ind w:left="352" w:right="0"/>
              <w:rPr>
                <w:rFonts w:hint="default" w:ascii="Times New Roman" w:hAnsi="Times New Roman" w:eastAsia="Times New Roman" w:cs="Times New Roman"/>
                <w:sz w:val="21"/>
                <w:szCs w:val="21"/>
              </w:rPr>
            </w:pPr>
            <w:r>
              <w:rPr>
                <w:rFonts w:hint="default" w:ascii="Times New Roman" w:hAnsi="Times New Roman" w:eastAsia="Times New Roman" w:cs="Times New Roman"/>
                <w:position w:val="-4"/>
                <w:sz w:val="21"/>
                <w:szCs w:val="21"/>
              </w:rPr>
              <w:t>2</w:t>
            </w:r>
          </w:p>
        </w:tc>
        <w:tc>
          <w:tcPr>
            <w:tcW w:w="1993" w:type="dxa"/>
            <w:vAlign w:val="top"/>
          </w:tcPr>
          <w:p>
            <w:pPr>
              <w:pStyle w:val="72"/>
              <w:keepNext w:val="0"/>
              <w:keepLines w:val="0"/>
              <w:suppressLineNumbers w:val="0"/>
              <w:spacing w:before="161" w:beforeAutospacing="0" w:after="0" w:afterAutospacing="0" w:line="221" w:lineRule="auto"/>
              <w:ind w:left="108" w:right="0"/>
              <w:rPr>
                <w:rFonts w:hint="default"/>
              </w:rPr>
            </w:pPr>
            <w:r>
              <w:rPr>
                <w:rFonts w:hint="default"/>
                <w:spacing w:val="-2"/>
              </w:rPr>
              <w:t>路基填筑</w:t>
            </w:r>
          </w:p>
        </w:tc>
        <w:tc>
          <w:tcPr>
            <w:tcW w:w="900" w:type="dxa"/>
            <w:vAlign w:val="top"/>
          </w:tcPr>
          <w:p>
            <w:pPr>
              <w:pStyle w:val="72"/>
              <w:keepNext w:val="0"/>
              <w:keepLines w:val="0"/>
              <w:suppressLineNumbers w:val="0"/>
              <w:spacing w:before="183" w:beforeAutospacing="0" w:after="0" w:afterAutospacing="0" w:line="167" w:lineRule="auto"/>
              <w:ind w:left="216" w:right="0"/>
              <w:rPr>
                <w:rFonts w:hint="default" w:ascii="Times New Roman" w:hAnsi="Times New Roman" w:eastAsia="Times New Roman" w:cs="Times New Roman"/>
              </w:rPr>
            </w:pPr>
            <w:r>
              <w:rPr>
                <w:rFonts w:hint="default"/>
                <w:spacing w:val="-4"/>
                <w:position w:val="-1"/>
              </w:rPr>
              <w:t>万</w:t>
            </w:r>
            <w:r>
              <w:rPr>
                <w:rFonts w:hint="default" w:ascii="Times New Roman" w:hAnsi="Times New Roman" w:eastAsia="Times New Roman" w:cs="Times New Roman"/>
                <w:spacing w:val="-4"/>
                <w:position w:val="-1"/>
              </w:rPr>
              <w:t>m</w:t>
            </w:r>
            <w:r>
              <w:rPr>
                <w:rFonts w:hint="default" w:ascii="Times New Roman" w:hAnsi="Times New Roman" w:eastAsia="Times New Roman" w:cs="Times New Roman"/>
                <w:spacing w:val="-4"/>
                <w:position w:val="7"/>
              </w:rPr>
              <w:t>3</w:t>
            </w:r>
          </w:p>
        </w:tc>
        <w:tc>
          <w:tcPr>
            <w:tcW w:w="899" w:type="dxa"/>
            <w:vAlign w:val="top"/>
          </w:tcPr>
          <w:p>
            <w:pPr>
              <w:keepNext w:val="0"/>
              <w:keepLines w:val="0"/>
              <w:suppressLineNumbers w:val="0"/>
              <w:spacing w:before="0" w:beforeAutospacing="0" w:after="0" w:afterAutospacing="0"/>
              <w:ind w:left="0" w:right="0"/>
              <w:rPr>
                <w:rFonts w:hint="default" w:ascii="Arial"/>
                <w:sz w:val="21"/>
              </w:rPr>
            </w:pPr>
          </w:p>
        </w:tc>
        <w:tc>
          <w:tcPr>
            <w:tcW w:w="2698" w:type="dxa"/>
            <w:vAlign w:val="top"/>
          </w:tcPr>
          <w:p>
            <w:pPr>
              <w:keepNext w:val="0"/>
              <w:keepLines w:val="0"/>
              <w:suppressLineNumbers w:val="0"/>
              <w:spacing w:before="0" w:beforeAutospacing="0" w:after="0" w:afterAutospacing="0"/>
              <w:ind w:left="0" w:right="0"/>
              <w:rPr>
                <w:rFonts w:hint="default" w:ascii="Arial"/>
                <w:sz w:val="21"/>
              </w:rPr>
            </w:pPr>
          </w:p>
        </w:tc>
        <w:tc>
          <w:tcPr>
            <w:tcW w:w="2159" w:type="dxa"/>
            <w:vAlign w:val="top"/>
          </w:tcPr>
          <w:p>
            <w:pPr>
              <w:keepNext w:val="0"/>
              <w:keepLines w:val="0"/>
              <w:suppressLineNumbers w:val="0"/>
              <w:spacing w:before="0" w:beforeAutospacing="0" w:after="0" w:afterAutospacing="0"/>
              <w:ind w:left="0" w:right="0"/>
              <w:rPr>
                <w:rFonts w:hint="default" w:ascii="Arial"/>
                <w:sz w:val="21"/>
              </w:rPr>
            </w:pPr>
          </w:p>
        </w:tc>
        <w:tc>
          <w:tcPr>
            <w:tcW w:w="2144" w:type="dxa"/>
            <w:vAlign w:val="top"/>
          </w:tcPr>
          <w:p>
            <w:pPr>
              <w:keepNext w:val="0"/>
              <w:keepLines w:val="0"/>
              <w:suppressLineNumbers w:val="0"/>
              <w:spacing w:before="0" w:beforeAutospacing="0" w:after="0" w:afterAutospacing="0"/>
              <w:ind w:left="0" w:right="0"/>
              <w:rPr>
                <w:rFonts w:hint="default" w:ascii="Arial"/>
                <w:sz w:val="21"/>
              </w:rPr>
            </w:pPr>
          </w:p>
        </w:tc>
        <w:tc>
          <w:tcPr>
            <w:tcW w:w="2483"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821" w:type="dxa"/>
            <w:vAlign w:val="top"/>
          </w:tcPr>
          <w:p>
            <w:pPr>
              <w:keepNext w:val="0"/>
              <w:keepLines w:val="0"/>
              <w:suppressLineNumbers w:val="0"/>
              <w:spacing w:before="0" w:beforeAutospacing="0" w:after="0" w:afterAutospacing="0" w:line="301" w:lineRule="auto"/>
              <w:ind w:left="0" w:right="0"/>
              <w:rPr>
                <w:rFonts w:hint="default" w:ascii="Arial"/>
                <w:sz w:val="21"/>
              </w:rPr>
            </w:pPr>
          </w:p>
          <w:p>
            <w:pPr>
              <w:keepNext w:val="0"/>
              <w:keepLines w:val="0"/>
              <w:suppressLineNumbers w:val="0"/>
              <w:spacing w:before="37" w:beforeAutospacing="0" w:after="0" w:afterAutospacing="0" w:line="93" w:lineRule="exact"/>
              <w:ind w:left="356" w:right="0"/>
              <w:rPr>
                <w:rFonts w:hint="default" w:ascii="Times New Roman" w:hAnsi="Times New Roman" w:eastAsia="Times New Roman" w:cs="Times New Roman"/>
                <w:sz w:val="13"/>
                <w:szCs w:val="13"/>
              </w:rPr>
            </w:pPr>
            <w:r>
              <w:rPr>
                <w:rFonts w:hint="default" w:ascii="Times New Roman" w:hAnsi="Times New Roman" w:eastAsia="Times New Roman" w:cs="Times New Roman"/>
                <w:spacing w:val="12"/>
                <w:w w:val="126"/>
                <w:position w:val="-2"/>
                <w:sz w:val="13"/>
                <w:szCs w:val="13"/>
              </w:rPr>
              <w:t>3</w:t>
            </w:r>
          </w:p>
        </w:tc>
        <w:tc>
          <w:tcPr>
            <w:tcW w:w="1993" w:type="dxa"/>
            <w:vAlign w:val="top"/>
          </w:tcPr>
          <w:p>
            <w:pPr>
              <w:pStyle w:val="72"/>
              <w:keepNext w:val="0"/>
              <w:keepLines w:val="0"/>
              <w:suppressLineNumbers w:val="0"/>
              <w:spacing w:before="159" w:beforeAutospacing="0" w:after="0" w:afterAutospacing="0" w:line="221" w:lineRule="auto"/>
              <w:ind w:left="108" w:right="0"/>
              <w:rPr>
                <w:rFonts w:hint="default"/>
              </w:rPr>
            </w:pPr>
            <w:r>
              <w:rPr>
                <w:rFonts w:hint="default"/>
                <w:spacing w:val="-2"/>
              </w:rPr>
              <w:t>路面基层</w:t>
            </w:r>
          </w:p>
        </w:tc>
        <w:tc>
          <w:tcPr>
            <w:tcW w:w="900" w:type="dxa"/>
            <w:vAlign w:val="top"/>
          </w:tcPr>
          <w:p>
            <w:pPr>
              <w:pStyle w:val="72"/>
              <w:keepNext w:val="0"/>
              <w:keepLines w:val="0"/>
              <w:suppressLineNumbers w:val="0"/>
              <w:spacing w:before="182" w:beforeAutospacing="0" w:after="0" w:afterAutospacing="0" w:line="164" w:lineRule="auto"/>
              <w:ind w:left="216" w:right="0"/>
              <w:rPr>
                <w:rFonts w:hint="default" w:ascii="Times New Roman" w:hAnsi="Times New Roman" w:eastAsia="Times New Roman" w:cs="Times New Roman"/>
              </w:rPr>
            </w:pPr>
            <w:r>
              <w:rPr>
                <w:rFonts w:hint="default"/>
                <w:spacing w:val="-4"/>
                <w:position w:val="-1"/>
              </w:rPr>
              <w:t>万</w:t>
            </w:r>
            <w:r>
              <w:rPr>
                <w:rFonts w:hint="default" w:ascii="Times New Roman" w:hAnsi="Times New Roman" w:eastAsia="Times New Roman" w:cs="Times New Roman"/>
                <w:spacing w:val="-4"/>
                <w:position w:val="-1"/>
              </w:rPr>
              <w:t>m</w:t>
            </w:r>
            <w:r>
              <w:rPr>
                <w:rFonts w:hint="default" w:ascii="Times New Roman" w:hAnsi="Times New Roman" w:eastAsia="Times New Roman" w:cs="Times New Roman"/>
                <w:spacing w:val="-4"/>
                <w:position w:val="7"/>
              </w:rPr>
              <w:t>2</w:t>
            </w:r>
          </w:p>
        </w:tc>
        <w:tc>
          <w:tcPr>
            <w:tcW w:w="899" w:type="dxa"/>
            <w:vAlign w:val="top"/>
          </w:tcPr>
          <w:p>
            <w:pPr>
              <w:keepNext w:val="0"/>
              <w:keepLines w:val="0"/>
              <w:suppressLineNumbers w:val="0"/>
              <w:spacing w:before="0" w:beforeAutospacing="0" w:after="0" w:afterAutospacing="0"/>
              <w:ind w:left="0" w:right="0"/>
              <w:rPr>
                <w:rFonts w:hint="default" w:ascii="Arial"/>
                <w:sz w:val="21"/>
              </w:rPr>
            </w:pPr>
          </w:p>
        </w:tc>
        <w:tc>
          <w:tcPr>
            <w:tcW w:w="2698" w:type="dxa"/>
            <w:vAlign w:val="top"/>
          </w:tcPr>
          <w:p>
            <w:pPr>
              <w:keepNext w:val="0"/>
              <w:keepLines w:val="0"/>
              <w:suppressLineNumbers w:val="0"/>
              <w:spacing w:before="0" w:beforeAutospacing="0" w:after="0" w:afterAutospacing="0"/>
              <w:ind w:left="0" w:right="0"/>
              <w:rPr>
                <w:rFonts w:hint="default" w:ascii="Arial"/>
                <w:sz w:val="21"/>
              </w:rPr>
            </w:pPr>
          </w:p>
        </w:tc>
        <w:tc>
          <w:tcPr>
            <w:tcW w:w="2159" w:type="dxa"/>
            <w:vAlign w:val="top"/>
          </w:tcPr>
          <w:p>
            <w:pPr>
              <w:keepNext w:val="0"/>
              <w:keepLines w:val="0"/>
              <w:suppressLineNumbers w:val="0"/>
              <w:spacing w:before="0" w:beforeAutospacing="0" w:after="0" w:afterAutospacing="0"/>
              <w:ind w:left="0" w:right="0"/>
              <w:rPr>
                <w:rFonts w:hint="default" w:ascii="Arial"/>
                <w:sz w:val="21"/>
              </w:rPr>
            </w:pPr>
          </w:p>
        </w:tc>
        <w:tc>
          <w:tcPr>
            <w:tcW w:w="2144" w:type="dxa"/>
            <w:vAlign w:val="top"/>
          </w:tcPr>
          <w:p>
            <w:pPr>
              <w:keepNext w:val="0"/>
              <w:keepLines w:val="0"/>
              <w:suppressLineNumbers w:val="0"/>
              <w:spacing w:before="0" w:beforeAutospacing="0" w:after="0" w:afterAutospacing="0"/>
              <w:ind w:left="0" w:right="0"/>
              <w:rPr>
                <w:rFonts w:hint="default" w:ascii="Arial"/>
                <w:sz w:val="21"/>
              </w:rPr>
            </w:pPr>
          </w:p>
        </w:tc>
        <w:tc>
          <w:tcPr>
            <w:tcW w:w="2483"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21" w:type="dxa"/>
            <w:vAlign w:val="top"/>
          </w:tcPr>
          <w:p>
            <w:pPr>
              <w:keepNext w:val="0"/>
              <w:keepLines w:val="0"/>
              <w:suppressLineNumbers w:val="0"/>
              <w:spacing w:before="0" w:beforeAutospacing="0" w:after="0" w:afterAutospacing="0" w:line="269" w:lineRule="auto"/>
              <w:ind w:left="0" w:right="0"/>
              <w:rPr>
                <w:rFonts w:hint="default" w:ascii="Arial"/>
                <w:sz w:val="21"/>
              </w:rPr>
            </w:pPr>
          </w:p>
          <w:p>
            <w:pPr>
              <w:keepNext w:val="0"/>
              <w:keepLines w:val="0"/>
              <w:suppressLineNumbers w:val="0"/>
              <w:spacing w:before="60" w:beforeAutospacing="0" w:after="0" w:afterAutospacing="0" w:line="104" w:lineRule="exact"/>
              <w:ind w:left="351" w:right="0"/>
              <w:rPr>
                <w:rFonts w:hint="default" w:ascii="Times New Roman" w:hAnsi="Times New Roman" w:eastAsia="Times New Roman" w:cs="Times New Roman"/>
                <w:sz w:val="21"/>
                <w:szCs w:val="21"/>
              </w:rPr>
            </w:pPr>
            <w:r>
              <w:rPr>
                <w:rFonts w:hint="default" w:ascii="Times New Roman" w:hAnsi="Times New Roman" w:eastAsia="Times New Roman" w:cs="Times New Roman"/>
                <w:position w:val="-4"/>
                <w:sz w:val="21"/>
                <w:szCs w:val="21"/>
              </w:rPr>
              <w:t>4</w:t>
            </w:r>
          </w:p>
        </w:tc>
        <w:tc>
          <w:tcPr>
            <w:tcW w:w="1993" w:type="dxa"/>
            <w:vAlign w:val="top"/>
          </w:tcPr>
          <w:p>
            <w:pPr>
              <w:pStyle w:val="72"/>
              <w:keepNext w:val="0"/>
              <w:keepLines w:val="0"/>
              <w:suppressLineNumbers w:val="0"/>
              <w:spacing w:before="162" w:beforeAutospacing="0" w:after="0" w:afterAutospacing="0" w:line="221" w:lineRule="auto"/>
              <w:ind w:left="108" w:right="0"/>
              <w:rPr>
                <w:rFonts w:hint="default"/>
              </w:rPr>
            </w:pPr>
            <w:r>
              <w:rPr>
                <w:rFonts w:hint="default"/>
                <w:spacing w:val="-2"/>
              </w:rPr>
              <w:t>路面面层</w:t>
            </w:r>
          </w:p>
        </w:tc>
        <w:tc>
          <w:tcPr>
            <w:tcW w:w="900" w:type="dxa"/>
            <w:vAlign w:val="top"/>
          </w:tcPr>
          <w:p>
            <w:pPr>
              <w:pStyle w:val="72"/>
              <w:keepNext w:val="0"/>
              <w:keepLines w:val="0"/>
              <w:suppressLineNumbers w:val="0"/>
              <w:spacing w:before="184" w:beforeAutospacing="0" w:after="0" w:afterAutospacing="0" w:line="164" w:lineRule="auto"/>
              <w:ind w:left="216" w:right="0"/>
              <w:rPr>
                <w:rFonts w:hint="default" w:ascii="Times New Roman" w:hAnsi="Times New Roman" w:eastAsia="Times New Roman" w:cs="Times New Roman"/>
              </w:rPr>
            </w:pPr>
            <w:r>
              <w:rPr>
                <w:rFonts w:hint="default"/>
                <w:spacing w:val="-4"/>
                <w:position w:val="-1"/>
              </w:rPr>
              <w:t>万</w:t>
            </w:r>
            <w:r>
              <w:rPr>
                <w:rFonts w:hint="default" w:ascii="Times New Roman" w:hAnsi="Times New Roman" w:eastAsia="Times New Roman" w:cs="Times New Roman"/>
                <w:spacing w:val="-4"/>
                <w:position w:val="-1"/>
              </w:rPr>
              <w:t>m</w:t>
            </w:r>
            <w:r>
              <w:rPr>
                <w:rFonts w:hint="default" w:ascii="Times New Roman" w:hAnsi="Times New Roman" w:eastAsia="Times New Roman" w:cs="Times New Roman"/>
                <w:spacing w:val="-4"/>
                <w:position w:val="7"/>
              </w:rPr>
              <w:t>2</w:t>
            </w:r>
          </w:p>
        </w:tc>
        <w:tc>
          <w:tcPr>
            <w:tcW w:w="899" w:type="dxa"/>
            <w:vAlign w:val="top"/>
          </w:tcPr>
          <w:p>
            <w:pPr>
              <w:keepNext w:val="0"/>
              <w:keepLines w:val="0"/>
              <w:suppressLineNumbers w:val="0"/>
              <w:spacing w:before="0" w:beforeAutospacing="0" w:after="0" w:afterAutospacing="0"/>
              <w:ind w:left="0" w:right="0"/>
              <w:rPr>
                <w:rFonts w:hint="default" w:ascii="Arial"/>
                <w:sz w:val="21"/>
              </w:rPr>
            </w:pPr>
          </w:p>
        </w:tc>
        <w:tc>
          <w:tcPr>
            <w:tcW w:w="2698" w:type="dxa"/>
            <w:vAlign w:val="top"/>
          </w:tcPr>
          <w:p>
            <w:pPr>
              <w:keepNext w:val="0"/>
              <w:keepLines w:val="0"/>
              <w:suppressLineNumbers w:val="0"/>
              <w:spacing w:before="0" w:beforeAutospacing="0" w:after="0" w:afterAutospacing="0"/>
              <w:ind w:left="0" w:right="0"/>
              <w:rPr>
                <w:rFonts w:hint="default" w:ascii="Arial"/>
                <w:sz w:val="21"/>
              </w:rPr>
            </w:pPr>
          </w:p>
        </w:tc>
        <w:tc>
          <w:tcPr>
            <w:tcW w:w="2159" w:type="dxa"/>
            <w:vAlign w:val="top"/>
          </w:tcPr>
          <w:p>
            <w:pPr>
              <w:keepNext w:val="0"/>
              <w:keepLines w:val="0"/>
              <w:suppressLineNumbers w:val="0"/>
              <w:spacing w:before="0" w:beforeAutospacing="0" w:after="0" w:afterAutospacing="0"/>
              <w:ind w:left="0" w:right="0"/>
              <w:rPr>
                <w:rFonts w:hint="default" w:ascii="Arial"/>
                <w:sz w:val="21"/>
              </w:rPr>
            </w:pPr>
          </w:p>
        </w:tc>
        <w:tc>
          <w:tcPr>
            <w:tcW w:w="2144" w:type="dxa"/>
            <w:vAlign w:val="top"/>
          </w:tcPr>
          <w:p>
            <w:pPr>
              <w:keepNext w:val="0"/>
              <w:keepLines w:val="0"/>
              <w:suppressLineNumbers w:val="0"/>
              <w:spacing w:before="0" w:beforeAutospacing="0" w:after="0" w:afterAutospacing="0"/>
              <w:ind w:left="0" w:right="0"/>
              <w:rPr>
                <w:rFonts w:hint="default" w:ascii="Arial"/>
                <w:sz w:val="21"/>
              </w:rPr>
            </w:pPr>
          </w:p>
        </w:tc>
        <w:tc>
          <w:tcPr>
            <w:tcW w:w="2483"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821" w:type="dxa"/>
            <w:vAlign w:val="top"/>
          </w:tcPr>
          <w:p>
            <w:pPr>
              <w:keepNext w:val="0"/>
              <w:keepLines w:val="0"/>
              <w:suppressLineNumbers w:val="0"/>
              <w:spacing w:before="0" w:beforeAutospacing="0" w:after="0" w:afterAutospacing="0" w:line="305" w:lineRule="auto"/>
              <w:ind w:left="0" w:right="0"/>
              <w:rPr>
                <w:rFonts w:hint="default" w:ascii="Arial"/>
                <w:sz w:val="21"/>
              </w:rPr>
            </w:pPr>
          </w:p>
          <w:p>
            <w:pPr>
              <w:keepNext w:val="0"/>
              <w:keepLines w:val="0"/>
              <w:suppressLineNumbers w:val="0"/>
              <w:spacing w:before="37" w:beforeAutospacing="0" w:after="0" w:afterAutospacing="0" w:line="89" w:lineRule="exact"/>
              <w:ind w:left="357" w:right="0"/>
              <w:rPr>
                <w:rFonts w:hint="default" w:ascii="Times New Roman" w:hAnsi="Times New Roman" w:eastAsia="Times New Roman" w:cs="Times New Roman"/>
                <w:sz w:val="13"/>
                <w:szCs w:val="13"/>
              </w:rPr>
            </w:pPr>
            <w:r>
              <w:rPr>
                <w:rFonts w:hint="default" w:ascii="Times New Roman" w:hAnsi="Times New Roman" w:eastAsia="Times New Roman" w:cs="Times New Roman"/>
                <w:spacing w:val="12"/>
                <w:w w:val="124"/>
                <w:position w:val="-2"/>
                <w:sz w:val="13"/>
                <w:szCs w:val="13"/>
              </w:rPr>
              <w:t>5</w:t>
            </w:r>
          </w:p>
        </w:tc>
        <w:tc>
          <w:tcPr>
            <w:tcW w:w="1993" w:type="dxa"/>
            <w:vAlign w:val="top"/>
          </w:tcPr>
          <w:p>
            <w:pPr>
              <w:pStyle w:val="72"/>
              <w:keepNext w:val="0"/>
              <w:keepLines w:val="0"/>
              <w:suppressLineNumbers w:val="0"/>
              <w:spacing w:before="161" w:beforeAutospacing="0" w:after="0" w:afterAutospacing="0" w:line="221" w:lineRule="auto"/>
              <w:ind w:left="108" w:right="0"/>
              <w:rPr>
                <w:rFonts w:hint="default"/>
              </w:rPr>
            </w:pPr>
            <w:r>
              <w:rPr>
                <w:rFonts w:hint="default"/>
                <w:spacing w:val="-1"/>
              </w:rPr>
              <w:t>路基防护及排水</w:t>
            </w:r>
          </w:p>
        </w:tc>
        <w:tc>
          <w:tcPr>
            <w:tcW w:w="900" w:type="dxa"/>
            <w:vAlign w:val="top"/>
          </w:tcPr>
          <w:p>
            <w:pPr>
              <w:keepNext w:val="0"/>
              <w:keepLines w:val="0"/>
              <w:suppressLineNumbers w:val="0"/>
              <w:spacing w:before="0" w:beforeAutospacing="0" w:after="0" w:afterAutospacing="0"/>
              <w:ind w:left="0" w:right="0"/>
              <w:rPr>
                <w:rFonts w:hint="default" w:ascii="Arial"/>
                <w:sz w:val="21"/>
              </w:rPr>
            </w:pPr>
            <w:r>
              <w:rPr>
                <w:rFonts w:hint="default"/>
              </w:rPr>
              <mc:AlternateContent>
                <mc:Choice Requires="wps">
                  <w:drawing>
                    <wp:anchor distT="0" distB="0" distL="114300" distR="114300" simplePos="0" relativeHeight="251670528" behindDoc="0" locked="0" layoutInCell="1" allowOverlap="1">
                      <wp:simplePos x="0" y="0"/>
                      <wp:positionH relativeFrom="rightMargin">
                        <wp:posOffset>-383540</wp:posOffset>
                      </wp:positionH>
                      <wp:positionV relativeFrom="topMargin">
                        <wp:posOffset>201930</wp:posOffset>
                      </wp:positionV>
                      <wp:extent cx="196215" cy="17653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96215" cy="176530"/>
                              </a:xfrm>
                              <a:prstGeom prst="rect">
                                <a:avLst/>
                              </a:prstGeom>
                              <a:noFill/>
                              <a:ln>
                                <a:noFill/>
                              </a:ln>
                            </wps:spPr>
                            <wps:txbx>
                              <w:txbxContent>
                                <w:p>
                                  <w:pPr>
                                    <w:spacing w:before="19" w:line="236" w:lineRule="auto"/>
                                    <w:ind w:left="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km</w:t>
                                  </w:r>
                                </w:p>
                              </w:txbxContent>
                            </wps:txbx>
                            <wps:bodyPr lIns="0" tIns="0" rIns="0" bIns="0" upright="1"/>
                          </wps:wsp>
                        </a:graphicData>
                      </a:graphic>
                    </wp:anchor>
                  </w:drawing>
                </mc:Choice>
                <mc:Fallback>
                  <w:pict>
                    <v:shape id="_x0000_s1026" o:spid="_x0000_s1026" o:spt="202" type="#_x0000_t202" style="position:absolute;left:0pt;margin-left:14.55pt;margin-top:16.4pt;height:13.9pt;width:15.45pt;mso-position-horizontal-relative:page;mso-position-vertical-relative:page;z-index:251670528;mso-width-relative:page;mso-height-relative:page;" filled="f" stroked="f" coordsize="21600,21600" o:gfxdata="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4uq/dkAAAAJAQAADwAAAAAAAAABACAAAAAiAAAAZHJzL2Rvd25yZXYueG1sUEsB&#10;AhQAFAAAAAgAh07iQItr2uy7AQAAcwMAAA4AAAAAAAAAAQAgAAAAKAEAAGRycy9lMm9Eb2MueG1s&#10;UEsFBgAAAAAGAAYAWQEAAFUFAAAAAA==&#10;">
                      <v:fill on="f" focussize="0,0"/>
                      <v:stroke on="f"/>
                      <v:imagedata o:title=""/>
                      <o:lock v:ext="edit" aspectratio="f"/>
                      <v:textbox inset="0mm,0mm,0mm,0mm">
                        <w:txbxContent>
                          <w:p>
                            <w:pPr>
                              <w:spacing w:before="19" w:line="236" w:lineRule="auto"/>
                              <w:ind w:left="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km</w:t>
                            </w:r>
                          </w:p>
                        </w:txbxContent>
                      </v:textbox>
                    </v:shape>
                  </w:pict>
                </mc:Fallback>
              </mc:AlternateContent>
            </w:r>
          </w:p>
        </w:tc>
        <w:tc>
          <w:tcPr>
            <w:tcW w:w="899" w:type="dxa"/>
            <w:vAlign w:val="top"/>
          </w:tcPr>
          <w:p>
            <w:pPr>
              <w:keepNext w:val="0"/>
              <w:keepLines w:val="0"/>
              <w:suppressLineNumbers w:val="0"/>
              <w:spacing w:before="0" w:beforeAutospacing="0" w:after="0" w:afterAutospacing="0"/>
              <w:ind w:left="0" w:right="0"/>
              <w:rPr>
                <w:rFonts w:hint="default" w:ascii="Arial"/>
                <w:sz w:val="21"/>
              </w:rPr>
            </w:pPr>
          </w:p>
        </w:tc>
        <w:tc>
          <w:tcPr>
            <w:tcW w:w="2698" w:type="dxa"/>
            <w:vAlign w:val="top"/>
          </w:tcPr>
          <w:p>
            <w:pPr>
              <w:keepNext w:val="0"/>
              <w:keepLines w:val="0"/>
              <w:suppressLineNumbers w:val="0"/>
              <w:spacing w:before="0" w:beforeAutospacing="0" w:after="0" w:afterAutospacing="0"/>
              <w:ind w:left="0" w:right="0"/>
              <w:rPr>
                <w:rFonts w:hint="default" w:ascii="Arial"/>
                <w:sz w:val="21"/>
              </w:rPr>
            </w:pPr>
          </w:p>
        </w:tc>
        <w:tc>
          <w:tcPr>
            <w:tcW w:w="2159" w:type="dxa"/>
            <w:vAlign w:val="top"/>
          </w:tcPr>
          <w:p>
            <w:pPr>
              <w:keepNext w:val="0"/>
              <w:keepLines w:val="0"/>
              <w:suppressLineNumbers w:val="0"/>
              <w:spacing w:before="0" w:beforeAutospacing="0" w:after="0" w:afterAutospacing="0"/>
              <w:ind w:left="0" w:right="0"/>
              <w:rPr>
                <w:rFonts w:hint="default" w:ascii="Arial"/>
                <w:sz w:val="21"/>
              </w:rPr>
            </w:pPr>
          </w:p>
        </w:tc>
        <w:tc>
          <w:tcPr>
            <w:tcW w:w="2144" w:type="dxa"/>
            <w:vAlign w:val="top"/>
          </w:tcPr>
          <w:p>
            <w:pPr>
              <w:keepNext w:val="0"/>
              <w:keepLines w:val="0"/>
              <w:suppressLineNumbers w:val="0"/>
              <w:spacing w:before="0" w:beforeAutospacing="0" w:after="0" w:afterAutospacing="0"/>
              <w:ind w:left="0" w:right="0"/>
              <w:rPr>
                <w:rFonts w:hint="default" w:ascii="Arial"/>
                <w:sz w:val="21"/>
              </w:rPr>
            </w:pPr>
          </w:p>
        </w:tc>
        <w:tc>
          <w:tcPr>
            <w:tcW w:w="2483"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21" w:type="dxa"/>
            <w:vAlign w:val="top"/>
          </w:tcPr>
          <w:p>
            <w:pPr>
              <w:keepNext w:val="0"/>
              <w:keepLines w:val="0"/>
              <w:suppressLineNumbers w:val="0"/>
              <w:spacing w:before="0" w:beforeAutospacing="0" w:after="0" w:afterAutospacing="0" w:line="270" w:lineRule="auto"/>
              <w:ind w:left="0" w:right="0"/>
              <w:rPr>
                <w:rFonts w:hint="default" w:ascii="Arial"/>
                <w:sz w:val="21"/>
              </w:rPr>
            </w:pPr>
          </w:p>
          <w:p>
            <w:pPr>
              <w:keepNext w:val="0"/>
              <w:keepLines w:val="0"/>
              <w:suppressLineNumbers w:val="0"/>
              <w:spacing w:before="61" w:beforeAutospacing="0" w:after="0" w:afterAutospacing="0" w:line="103" w:lineRule="exact"/>
              <w:ind w:left="356" w:right="0"/>
              <w:rPr>
                <w:rFonts w:hint="default" w:ascii="Times New Roman" w:hAnsi="Times New Roman" w:eastAsia="Times New Roman" w:cs="Times New Roman"/>
                <w:sz w:val="21"/>
                <w:szCs w:val="21"/>
              </w:rPr>
            </w:pPr>
            <w:r>
              <w:rPr>
                <w:rFonts w:hint="default" w:ascii="Times New Roman" w:hAnsi="Times New Roman" w:eastAsia="Times New Roman" w:cs="Times New Roman"/>
                <w:position w:val="-4"/>
                <w:sz w:val="21"/>
                <w:szCs w:val="21"/>
              </w:rPr>
              <w:t>6</w:t>
            </w:r>
          </w:p>
        </w:tc>
        <w:tc>
          <w:tcPr>
            <w:tcW w:w="1993" w:type="dxa"/>
            <w:vAlign w:val="top"/>
          </w:tcPr>
          <w:p>
            <w:pPr>
              <w:pStyle w:val="72"/>
              <w:keepNext w:val="0"/>
              <w:keepLines w:val="0"/>
              <w:suppressLineNumbers w:val="0"/>
              <w:spacing w:before="164" w:beforeAutospacing="0" w:after="0" w:afterAutospacing="0" w:line="222" w:lineRule="auto"/>
              <w:ind w:left="107" w:right="0"/>
              <w:rPr>
                <w:rFonts w:hint="default"/>
              </w:rPr>
            </w:pPr>
            <w:r>
              <w:rPr>
                <w:rFonts w:hint="default"/>
                <w:spacing w:val="-2"/>
              </w:rPr>
              <w:t>涵洞</w:t>
            </w:r>
          </w:p>
        </w:tc>
        <w:tc>
          <w:tcPr>
            <w:tcW w:w="900" w:type="dxa"/>
            <w:vAlign w:val="top"/>
          </w:tcPr>
          <w:p>
            <w:pPr>
              <w:pStyle w:val="72"/>
              <w:keepNext w:val="0"/>
              <w:keepLines w:val="0"/>
              <w:suppressLineNumbers w:val="0"/>
              <w:spacing w:before="164" w:beforeAutospacing="0" w:after="0" w:afterAutospacing="0" w:line="227" w:lineRule="auto"/>
              <w:ind w:left="342" w:right="0"/>
              <w:rPr>
                <w:rFonts w:hint="default"/>
              </w:rPr>
            </w:pPr>
            <w:r>
              <w:rPr>
                <w:rFonts w:hint="default"/>
              </w:rPr>
              <w:t>道</w:t>
            </w:r>
          </w:p>
        </w:tc>
        <w:tc>
          <w:tcPr>
            <w:tcW w:w="899" w:type="dxa"/>
            <w:vAlign w:val="top"/>
          </w:tcPr>
          <w:p>
            <w:pPr>
              <w:keepNext w:val="0"/>
              <w:keepLines w:val="0"/>
              <w:suppressLineNumbers w:val="0"/>
              <w:spacing w:before="0" w:beforeAutospacing="0" w:after="0" w:afterAutospacing="0"/>
              <w:ind w:left="0" w:right="0"/>
              <w:rPr>
                <w:rFonts w:hint="default" w:ascii="Arial"/>
                <w:sz w:val="21"/>
              </w:rPr>
            </w:pPr>
          </w:p>
        </w:tc>
        <w:tc>
          <w:tcPr>
            <w:tcW w:w="2698" w:type="dxa"/>
            <w:vAlign w:val="top"/>
          </w:tcPr>
          <w:p>
            <w:pPr>
              <w:keepNext w:val="0"/>
              <w:keepLines w:val="0"/>
              <w:suppressLineNumbers w:val="0"/>
              <w:spacing w:before="0" w:beforeAutospacing="0" w:after="0" w:afterAutospacing="0"/>
              <w:ind w:left="0" w:right="0"/>
              <w:rPr>
                <w:rFonts w:hint="default" w:ascii="Arial"/>
                <w:sz w:val="21"/>
              </w:rPr>
            </w:pPr>
          </w:p>
        </w:tc>
        <w:tc>
          <w:tcPr>
            <w:tcW w:w="2159" w:type="dxa"/>
            <w:vAlign w:val="top"/>
          </w:tcPr>
          <w:p>
            <w:pPr>
              <w:keepNext w:val="0"/>
              <w:keepLines w:val="0"/>
              <w:suppressLineNumbers w:val="0"/>
              <w:spacing w:before="0" w:beforeAutospacing="0" w:after="0" w:afterAutospacing="0"/>
              <w:ind w:left="0" w:right="0"/>
              <w:rPr>
                <w:rFonts w:hint="default" w:ascii="Arial"/>
                <w:sz w:val="21"/>
              </w:rPr>
            </w:pPr>
          </w:p>
        </w:tc>
        <w:tc>
          <w:tcPr>
            <w:tcW w:w="2144" w:type="dxa"/>
            <w:vAlign w:val="top"/>
          </w:tcPr>
          <w:p>
            <w:pPr>
              <w:keepNext w:val="0"/>
              <w:keepLines w:val="0"/>
              <w:suppressLineNumbers w:val="0"/>
              <w:spacing w:before="0" w:beforeAutospacing="0" w:after="0" w:afterAutospacing="0"/>
              <w:ind w:left="0" w:right="0"/>
              <w:rPr>
                <w:rFonts w:hint="default" w:ascii="Arial"/>
                <w:sz w:val="21"/>
              </w:rPr>
            </w:pPr>
          </w:p>
        </w:tc>
        <w:tc>
          <w:tcPr>
            <w:tcW w:w="2483"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21" w:type="dxa"/>
            <w:vAlign w:val="top"/>
          </w:tcPr>
          <w:p>
            <w:pPr>
              <w:keepNext w:val="0"/>
              <w:keepLines w:val="0"/>
              <w:suppressLineNumbers w:val="0"/>
              <w:spacing w:before="0" w:beforeAutospacing="0" w:after="0" w:afterAutospacing="0" w:line="274" w:lineRule="auto"/>
              <w:ind w:left="0" w:right="0"/>
              <w:rPr>
                <w:rFonts w:hint="default" w:ascii="Arial"/>
                <w:sz w:val="21"/>
              </w:rPr>
            </w:pPr>
          </w:p>
          <w:p>
            <w:pPr>
              <w:keepNext w:val="0"/>
              <w:keepLines w:val="0"/>
              <w:suppressLineNumbers w:val="0"/>
              <w:spacing w:before="60" w:beforeAutospacing="0" w:after="0" w:afterAutospacing="0" w:line="100" w:lineRule="exact"/>
              <w:ind w:left="355" w:right="0"/>
              <w:rPr>
                <w:rFonts w:hint="default" w:ascii="Times New Roman" w:hAnsi="Times New Roman" w:eastAsia="Times New Roman" w:cs="Times New Roman"/>
                <w:sz w:val="21"/>
                <w:szCs w:val="21"/>
              </w:rPr>
            </w:pPr>
            <w:r>
              <w:rPr>
                <w:rFonts w:hint="default" w:ascii="Times New Roman" w:hAnsi="Times New Roman" w:eastAsia="Times New Roman" w:cs="Times New Roman"/>
                <w:position w:val="-4"/>
                <w:sz w:val="21"/>
                <w:szCs w:val="21"/>
              </w:rPr>
              <w:t>7</w:t>
            </w:r>
          </w:p>
        </w:tc>
        <w:tc>
          <w:tcPr>
            <w:tcW w:w="1993" w:type="dxa"/>
            <w:vAlign w:val="top"/>
          </w:tcPr>
          <w:p>
            <w:pPr>
              <w:pStyle w:val="72"/>
              <w:keepNext w:val="0"/>
              <w:keepLines w:val="0"/>
              <w:suppressLineNumbers w:val="0"/>
              <w:spacing w:before="165" w:beforeAutospacing="0" w:after="0" w:afterAutospacing="0" w:line="227" w:lineRule="auto"/>
              <w:ind w:left="106" w:right="0"/>
              <w:rPr>
                <w:rFonts w:hint="default"/>
              </w:rPr>
            </w:pPr>
            <w:r>
              <w:rPr>
                <w:rFonts w:hint="default"/>
                <w:spacing w:val="-2"/>
              </w:rPr>
              <w:t>通道</w:t>
            </w:r>
          </w:p>
        </w:tc>
        <w:tc>
          <w:tcPr>
            <w:tcW w:w="900" w:type="dxa"/>
            <w:vAlign w:val="top"/>
          </w:tcPr>
          <w:p>
            <w:pPr>
              <w:pStyle w:val="72"/>
              <w:keepNext w:val="0"/>
              <w:keepLines w:val="0"/>
              <w:suppressLineNumbers w:val="0"/>
              <w:spacing w:before="165" w:beforeAutospacing="0" w:after="0" w:afterAutospacing="0" w:line="227" w:lineRule="auto"/>
              <w:ind w:left="342" w:right="0"/>
              <w:rPr>
                <w:rFonts w:hint="default"/>
              </w:rPr>
            </w:pPr>
            <w:r>
              <w:rPr>
                <w:rFonts w:hint="default"/>
              </w:rPr>
              <w:t>道</w:t>
            </w:r>
          </w:p>
        </w:tc>
        <w:tc>
          <w:tcPr>
            <w:tcW w:w="899" w:type="dxa"/>
            <w:vAlign w:val="top"/>
          </w:tcPr>
          <w:p>
            <w:pPr>
              <w:keepNext w:val="0"/>
              <w:keepLines w:val="0"/>
              <w:suppressLineNumbers w:val="0"/>
              <w:spacing w:before="0" w:beforeAutospacing="0" w:after="0" w:afterAutospacing="0"/>
              <w:ind w:left="0" w:right="0"/>
              <w:rPr>
                <w:rFonts w:hint="default" w:ascii="Arial"/>
                <w:sz w:val="21"/>
              </w:rPr>
            </w:pPr>
          </w:p>
        </w:tc>
        <w:tc>
          <w:tcPr>
            <w:tcW w:w="2698" w:type="dxa"/>
            <w:vAlign w:val="top"/>
          </w:tcPr>
          <w:p>
            <w:pPr>
              <w:keepNext w:val="0"/>
              <w:keepLines w:val="0"/>
              <w:suppressLineNumbers w:val="0"/>
              <w:spacing w:before="0" w:beforeAutospacing="0" w:after="0" w:afterAutospacing="0"/>
              <w:ind w:left="0" w:right="0"/>
              <w:rPr>
                <w:rFonts w:hint="default" w:ascii="Arial"/>
                <w:sz w:val="21"/>
              </w:rPr>
            </w:pPr>
          </w:p>
        </w:tc>
        <w:tc>
          <w:tcPr>
            <w:tcW w:w="2159" w:type="dxa"/>
            <w:vAlign w:val="top"/>
          </w:tcPr>
          <w:p>
            <w:pPr>
              <w:keepNext w:val="0"/>
              <w:keepLines w:val="0"/>
              <w:suppressLineNumbers w:val="0"/>
              <w:spacing w:before="0" w:beforeAutospacing="0" w:after="0" w:afterAutospacing="0"/>
              <w:ind w:left="0" w:right="0"/>
              <w:rPr>
                <w:rFonts w:hint="default" w:ascii="Arial"/>
                <w:sz w:val="21"/>
              </w:rPr>
            </w:pPr>
          </w:p>
        </w:tc>
        <w:tc>
          <w:tcPr>
            <w:tcW w:w="2144" w:type="dxa"/>
            <w:vAlign w:val="top"/>
          </w:tcPr>
          <w:p>
            <w:pPr>
              <w:keepNext w:val="0"/>
              <w:keepLines w:val="0"/>
              <w:suppressLineNumbers w:val="0"/>
              <w:spacing w:before="0" w:beforeAutospacing="0" w:after="0" w:afterAutospacing="0"/>
              <w:ind w:left="0" w:right="0"/>
              <w:rPr>
                <w:rFonts w:hint="default" w:ascii="Arial"/>
                <w:sz w:val="21"/>
              </w:rPr>
            </w:pPr>
          </w:p>
        </w:tc>
        <w:tc>
          <w:tcPr>
            <w:tcW w:w="2483"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821" w:type="dxa"/>
            <w:vAlign w:val="top"/>
          </w:tcPr>
          <w:p>
            <w:pPr>
              <w:keepNext w:val="0"/>
              <w:keepLines w:val="0"/>
              <w:suppressLineNumbers w:val="0"/>
              <w:spacing w:before="0" w:beforeAutospacing="0" w:after="0" w:afterAutospacing="0" w:line="308" w:lineRule="auto"/>
              <w:ind w:left="0" w:right="0"/>
              <w:rPr>
                <w:rFonts w:hint="default" w:ascii="Arial"/>
                <w:sz w:val="21"/>
              </w:rPr>
            </w:pPr>
          </w:p>
          <w:p>
            <w:pPr>
              <w:keepNext w:val="0"/>
              <w:keepLines w:val="0"/>
              <w:suppressLineNumbers w:val="0"/>
              <w:spacing w:before="35" w:beforeAutospacing="0" w:after="0" w:afterAutospacing="0" w:line="88" w:lineRule="exact"/>
              <w:ind w:left="360" w:right="0"/>
              <w:rPr>
                <w:rFonts w:hint="default" w:ascii="Times New Roman" w:hAnsi="Times New Roman" w:eastAsia="Times New Roman" w:cs="Times New Roman"/>
                <w:sz w:val="12"/>
                <w:szCs w:val="12"/>
              </w:rPr>
            </w:pPr>
            <w:r>
              <w:rPr>
                <w:rFonts w:hint="default" w:ascii="Times New Roman" w:hAnsi="Times New Roman" w:eastAsia="Times New Roman" w:cs="Times New Roman"/>
                <w:spacing w:val="15"/>
                <w:w w:val="125"/>
                <w:position w:val="-1"/>
                <w:sz w:val="12"/>
                <w:szCs w:val="12"/>
              </w:rPr>
              <w:t>8</w:t>
            </w:r>
          </w:p>
        </w:tc>
        <w:tc>
          <w:tcPr>
            <w:tcW w:w="1993" w:type="dxa"/>
            <w:vAlign w:val="top"/>
          </w:tcPr>
          <w:p>
            <w:pPr>
              <w:pStyle w:val="72"/>
              <w:keepNext w:val="0"/>
              <w:keepLines w:val="0"/>
              <w:suppressLineNumbers w:val="0"/>
              <w:spacing w:before="162" w:beforeAutospacing="0" w:after="0" w:afterAutospacing="0" w:line="221" w:lineRule="auto"/>
              <w:ind w:left="106" w:right="0"/>
              <w:rPr>
                <w:rFonts w:hint="default"/>
              </w:rPr>
            </w:pPr>
            <w:r>
              <w:rPr>
                <w:rFonts w:hint="default"/>
                <w:spacing w:val="-2"/>
              </w:rPr>
              <w:t>桥梁基桩</w:t>
            </w:r>
          </w:p>
        </w:tc>
        <w:tc>
          <w:tcPr>
            <w:tcW w:w="900" w:type="dxa"/>
            <w:vAlign w:val="top"/>
          </w:tcPr>
          <w:p>
            <w:pPr>
              <w:pStyle w:val="72"/>
              <w:keepNext w:val="0"/>
              <w:keepLines w:val="0"/>
              <w:suppressLineNumbers w:val="0"/>
              <w:spacing w:before="162" w:beforeAutospacing="0" w:after="0" w:afterAutospacing="0" w:line="221" w:lineRule="auto"/>
              <w:ind w:left="342" w:right="0"/>
              <w:rPr>
                <w:rFonts w:hint="default"/>
              </w:rPr>
            </w:pPr>
            <w:r>
              <w:rPr>
                <w:rFonts w:hint="default"/>
              </w:rPr>
              <w:t>根</w:t>
            </w:r>
          </w:p>
        </w:tc>
        <w:tc>
          <w:tcPr>
            <w:tcW w:w="899" w:type="dxa"/>
            <w:vAlign w:val="top"/>
          </w:tcPr>
          <w:p>
            <w:pPr>
              <w:keepNext w:val="0"/>
              <w:keepLines w:val="0"/>
              <w:suppressLineNumbers w:val="0"/>
              <w:spacing w:before="0" w:beforeAutospacing="0" w:after="0" w:afterAutospacing="0"/>
              <w:ind w:left="0" w:right="0"/>
              <w:rPr>
                <w:rFonts w:hint="default" w:ascii="Arial"/>
                <w:sz w:val="21"/>
              </w:rPr>
            </w:pPr>
          </w:p>
        </w:tc>
        <w:tc>
          <w:tcPr>
            <w:tcW w:w="2698" w:type="dxa"/>
            <w:vAlign w:val="top"/>
          </w:tcPr>
          <w:p>
            <w:pPr>
              <w:keepNext w:val="0"/>
              <w:keepLines w:val="0"/>
              <w:suppressLineNumbers w:val="0"/>
              <w:spacing w:before="0" w:beforeAutospacing="0" w:after="0" w:afterAutospacing="0"/>
              <w:ind w:left="0" w:right="0"/>
              <w:rPr>
                <w:rFonts w:hint="default" w:ascii="Arial"/>
                <w:sz w:val="21"/>
              </w:rPr>
            </w:pPr>
          </w:p>
        </w:tc>
        <w:tc>
          <w:tcPr>
            <w:tcW w:w="2159" w:type="dxa"/>
            <w:vAlign w:val="top"/>
          </w:tcPr>
          <w:p>
            <w:pPr>
              <w:keepNext w:val="0"/>
              <w:keepLines w:val="0"/>
              <w:suppressLineNumbers w:val="0"/>
              <w:spacing w:before="0" w:beforeAutospacing="0" w:after="0" w:afterAutospacing="0"/>
              <w:ind w:left="0" w:right="0"/>
              <w:rPr>
                <w:rFonts w:hint="default" w:ascii="Arial"/>
                <w:sz w:val="21"/>
              </w:rPr>
            </w:pPr>
          </w:p>
        </w:tc>
        <w:tc>
          <w:tcPr>
            <w:tcW w:w="2144" w:type="dxa"/>
            <w:vAlign w:val="top"/>
          </w:tcPr>
          <w:p>
            <w:pPr>
              <w:keepNext w:val="0"/>
              <w:keepLines w:val="0"/>
              <w:suppressLineNumbers w:val="0"/>
              <w:spacing w:before="0" w:beforeAutospacing="0" w:after="0" w:afterAutospacing="0"/>
              <w:ind w:left="0" w:right="0"/>
              <w:rPr>
                <w:rFonts w:hint="default" w:ascii="Arial"/>
                <w:sz w:val="21"/>
              </w:rPr>
            </w:pPr>
          </w:p>
        </w:tc>
        <w:tc>
          <w:tcPr>
            <w:tcW w:w="2483"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21" w:type="dxa"/>
            <w:vAlign w:val="top"/>
          </w:tcPr>
          <w:p>
            <w:pPr>
              <w:keepNext w:val="0"/>
              <w:keepLines w:val="0"/>
              <w:suppressLineNumbers w:val="0"/>
              <w:spacing w:before="0" w:beforeAutospacing="0" w:after="0" w:afterAutospacing="0" w:line="291" w:lineRule="auto"/>
              <w:ind w:left="0" w:right="0"/>
              <w:rPr>
                <w:rFonts w:hint="default" w:ascii="Arial"/>
                <w:sz w:val="21"/>
              </w:rPr>
            </w:pPr>
          </w:p>
          <w:p>
            <w:pPr>
              <w:keepNext w:val="0"/>
              <w:keepLines w:val="0"/>
              <w:suppressLineNumbers w:val="0"/>
              <w:spacing w:before="41" w:beforeAutospacing="0" w:after="0" w:afterAutospacing="0" w:line="101" w:lineRule="exact"/>
              <w:ind w:left="356" w:right="0"/>
              <w:rPr>
                <w:rFonts w:hint="default" w:ascii="Times New Roman" w:hAnsi="Times New Roman" w:eastAsia="Times New Roman" w:cs="Times New Roman"/>
                <w:sz w:val="14"/>
                <w:szCs w:val="14"/>
              </w:rPr>
            </w:pPr>
            <w:r>
              <w:rPr>
                <w:rFonts w:hint="default" w:ascii="Times New Roman" w:hAnsi="Times New Roman" w:eastAsia="Times New Roman" w:cs="Times New Roman"/>
                <w:spacing w:val="11"/>
                <w:w w:val="119"/>
                <w:position w:val="-2"/>
                <w:sz w:val="14"/>
                <w:szCs w:val="14"/>
              </w:rPr>
              <w:t>9</w:t>
            </w:r>
          </w:p>
        </w:tc>
        <w:tc>
          <w:tcPr>
            <w:tcW w:w="1993" w:type="dxa"/>
            <w:vAlign w:val="top"/>
          </w:tcPr>
          <w:p>
            <w:pPr>
              <w:pStyle w:val="72"/>
              <w:keepNext w:val="0"/>
              <w:keepLines w:val="0"/>
              <w:suppressLineNumbers w:val="0"/>
              <w:spacing w:before="165" w:beforeAutospacing="0" w:after="0" w:afterAutospacing="0" w:line="221" w:lineRule="auto"/>
              <w:ind w:left="106" w:right="0"/>
              <w:rPr>
                <w:rFonts w:hint="default"/>
              </w:rPr>
            </w:pPr>
            <w:r>
              <w:rPr>
                <w:rFonts w:hint="default"/>
                <w:spacing w:val="-2"/>
              </w:rPr>
              <w:t>桥梁墩台</w:t>
            </w:r>
          </w:p>
        </w:tc>
        <w:tc>
          <w:tcPr>
            <w:tcW w:w="900" w:type="dxa"/>
            <w:vAlign w:val="top"/>
          </w:tcPr>
          <w:p>
            <w:pPr>
              <w:pStyle w:val="72"/>
              <w:keepNext w:val="0"/>
              <w:keepLines w:val="0"/>
              <w:suppressLineNumbers w:val="0"/>
              <w:spacing w:before="165" w:beforeAutospacing="0" w:after="0" w:afterAutospacing="0" w:line="223" w:lineRule="auto"/>
              <w:ind w:left="344" w:right="0"/>
              <w:rPr>
                <w:rFonts w:hint="default"/>
              </w:rPr>
            </w:pPr>
            <w:r>
              <w:rPr>
                <w:rFonts w:hint="default"/>
              </w:rPr>
              <w:t>座</w:t>
            </w:r>
          </w:p>
        </w:tc>
        <w:tc>
          <w:tcPr>
            <w:tcW w:w="899" w:type="dxa"/>
            <w:vAlign w:val="top"/>
          </w:tcPr>
          <w:p>
            <w:pPr>
              <w:keepNext w:val="0"/>
              <w:keepLines w:val="0"/>
              <w:suppressLineNumbers w:val="0"/>
              <w:spacing w:before="0" w:beforeAutospacing="0" w:after="0" w:afterAutospacing="0"/>
              <w:ind w:left="0" w:right="0"/>
              <w:rPr>
                <w:rFonts w:hint="default" w:ascii="Arial"/>
                <w:sz w:val="21"/>
              </w:rPr>
            </w:pPr>
          </w:p>
        </w:tc>
        <w:tc>
          <w:tcPr>
            <w:tcW w:w="2698" w:type="dxa"/>
            <w:vAlign w:val="top"/>
          </w:tcPr>
          <w:p>
            <w:pPr>
              <w:keepNext w:val="0"/>
              <w:keepLines w:val="0"/>
              <w:suppressLineNumbers w:val="0"/>
              <w:spacing w:before="0" w:beforeAutospacing="0" w:after="0" w:afterAutospacing="0"/>
              <w:ind w:left="0" w:right="0"/>
              <w:rPr>
                <w:rFonts w:hint="default" w:ascii="Arial"/>
                <w:sz w:val="21"/>
              </w:rPr>
            </w:pPr>
          </w:p>
        </w:tc>
        <w:tc>
          <w:tcPr>
            <w:tcW w:w="2159" w:type="dxa"/>
            <w:vAlign w:val="top"/>
          </w:tcPr>
          <w:p>
            <w:pPr>
              <w:keepNext w:val="0"/>
              <w:keepLines w:val="0"/>
              <w:suppressLineNumbers w:val="0"/>
              <w:spacing w:before="0" w:beforeAutospacing="0" w:after="0" w:afterAutospacing="0"/>
              <w:ind w:left="0" w:right="0"/>
              <w:rPr>
                <w:rFonts w:hint="default" w:ascii="Arial"/>
                <w:sz w:val="21"/>
              </w:rPr>
            </w:pPr>
          </w:p>
        </w:tc>
        <w:tc>
          <w:tcPr>
            <w:tcW w:w="2144" w:type="dxa"/>
            <w:vAlign w:val="top"/>
          </w:tcPr>
          <w:p>
            <w:pPr>
              <w:keepNext w:val="0"/>
              <w:keepLines w:val="0"/>
              <w:suppressLineNumbers w:val="0"/>
              <w:spacing w:before="0" w:beforeAutospacing="0" w:after="0" w:afterAutospacing="0"/>
              <w:ind w:left="0" w:right="0"/>
              <w:rPr>
                <w:rFonts w:hint="default" w:ascii="Arial"/>
                <w:sz w:val="21"/>
              </w:rPr>
            </w:pPr>
          </w:p>
        </w:tc>
        <w:tc>
          <w:tcPr>
            <w:tcW w:w="2483"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821" w:type="dxa"/>
            <w:vAlign w:val="top"/>
          </w:tcPr>
          <w:p>
            <w:pPr>
              <w:keepNext w:val="0"/>
              <w:keepLines w:val="0"/>
              <w:suppressLineNumbers w:val="0"/>
              <w:spacing w:before="0" w:beforeAutospacing="0" w:after="0" w:afterAutospacing="0" w:line="307" w:lineRule="auto"/>
              <w:ind w:left="0" w:right="0"/>
              <w:rPr>
                <w:rFonts w:hint="default" w:ascii="Arial"/>
                <w:sz w:val="21"/>
              </w:rPr>
            </w:pPr>
          </w:p>
          <w:p>
            <w:pPr>
              <w:keepNext w:val="0"/>
              <w:keepLines w:val="0"/>
              <w:suppressLineNumbers w:val="0"/>
              <w:spacing w:before="37" w:beforeAutospacing="0" w:after="0" w:afterAutospacing="0" w:line="97" w:lineRule="exact"/>
              <w:ind w:left="322" w:right="0"/>
              <w:rPr>
                <w:rFonts w:hint="default" w:ascii="Times New Roman" w:hAnsi="Times New Roman" w:eastAsia="Times New Roman" w:cs="Times New Roman"/>
                <w:sz w:val="13"/>
                <w:szCs w:val="13"/>
              </w:rPr>
            </w:pPr>
            <w:r>
              <w:rPr>
                <w:rFonts w:hint="default" w:ascii="Times New Roman" w:hAnsi="Times New Roman" w:eastAsia="Times New Roman" w:cs="Times New Roman"/>
                <w:spacing w:val="20"/>
                <w:w w:val="112"/>
                <w:position w:val="-1"/>
                <w:sz w:val="13"/>
                <w:szCs w:val="13"/>
              </w:rPr>
              <w:t>10</w:t>
            </w:r>
          </w:p>
        </w:tc>
        <w:tc>
          <w:tcPr>
            <w:tcW w:w="1993" w:type="dxa"/>
            <w:vAlign w:val="top"/>
          </w:tcPr>
          <w:p>
            <w:pPr>
              <w:pStyle w:val="72"/>
              <w:keepNext w:val="0"/>
              <w:keepLines w:val="0"/>
              <w:suppressLineNumbers w:val="0"/>
              <w:spacing w:before="163" w:beforeAutospacing="0" w:after="0" w:afterAutospacing="0" w:line="221" w:lineRule="auto"/>
              <w:ind w:left="106" w:right="0"/>
              <w:rPr>
                <w:rFonts w:hint="default"/>
              </w:rPr>
            </w:pPr>
            <w:r>
              <w:rPr>
                <w:rFonts w:hint="default"/>
                <w:spacing w:val="-1"/>
              </w:rPr>
              <w:t>梁体预制安装</w:t>
            </w:r>
          </w:p>
        </w:tc>
        <w:tc>
          <w:tcPr>
            <w:tcW w:w="900" w:type="dxa"/>
            <w:vAlign w:val="top"/>
          </w:tcPr>
          <w:p>
            <w:pPr>
              <w:pStyle w:val="72"/>
              <w:keepNext w:val="0"/>
              <w:keepLines w:val="0"/>
              <w:suppressLineNumbers w:val="0"/>
              <w:spacing w:before="164" w:beforeAutospacing="0" w:after="0" w:afterAutospacing="0" w:line="221" w:lineRule="auto"/>
              <w:ind w:left="347" w:right="0"/>
              <w:rPr>
                <w:rFonts w:hint="default"/>
              </w:rPr>
            </w:pPr>
            <w:r>
              <w:rPr>
                <w:rFonts w:hint="default"/>
              </w:rPr>
              <w:t>片</w:t>
            </w:r>
          </w:p>
        </w:tc>
        <w:tc>
          <w:tcPr>
            <w:tcW w:w="899" w:type="dxa"/>
            <w:vAlign w:val="top"/>
          </w:tcPr>
          <w:p>
            <w:pPr>
              <w:keepNext w:val="0"/>
              <w:keepLines w:val="0"/>
              <w:suppressLineNumbers w:val="0"/>
              <w:spacing w:before="0" w:beforeAutospacing="0" w:after="0" w:afterAutospacing="0"/>
              <w:ind w:left="0" w:right="0"/>
              <w:rPr>
                <w:rFonts w:hint="default" w:ascii="Arial"/>
                <w:sz w:val="21"/>
              </w:rPr>
            </w:pPr>
          </w:p>
        </w:tc>
        <w:tc>
          <w:tcPr>
            <w:tcW w:w="2698" w:type="dxa"/>
            <w:vAlign w:val="top"/>
          </w:tcPr>
          <w:p>
            <w:pPr>
              <w:keepNext w:val="0"/>
              <w:keepLines w:val="0"/>
              <w:suppressLineNumbers w:val="0"/>
              <w:spacing w:before="0" w:beforeAutospacing="0" w:after="0" w:afterAutospacing="0"/>
              <w:ind w:left="0" w:right="0"/>
              <w:rPr>
                <w:rFonts w:hint="default" w:ascii="Arial"/>
                <w:sz w:val="21"/>
              </w:rPr>
            </w:pPr>
          </w:p>
        </w:tc>
        <w:tc>
          <w:tcPr>
            <w:tcW w:w="2159" w:type="dxa"/>
            <w:vAlign w:val="top"/>
          </w:tcPr>
          <w:p>
            <w:pPr>
              <w:keepNext w:val="0"/>
              <w:keepLines w:val="0"/>
              <w:suppressLineNumbers w:val="0"/>
              <w:spacing w:before="0" w:beforeAutospacing="0" w:after="0" w:afterAutospacing="0"/>
              <w:ind w:left="0" w:right="0"/>
              <w:rPr>
                <w:rFonts w:hint="default" w:ascii="Arial"/>
                <w:sz w:val="21"/>
              </w:rPr>
            </w:pPr>
          </w:p>
        </w:tc>
        <w:tc>
          <w:tcPr>
            <w:tcW w:w="2144" w:type="dxa"/>
            <w:vAlign w:val="top"/>
          </w:tcPr>
          <w:p>
            <w:pPr>
              <w:keepNext w:val="0"/>
              <w:keepLines w:val="0"/>
              <w:suppressLineNumbers w:val="0"/>
              <w:spacing w:before="0" w:beforeAutospacing="0" w:after="0" w:afterAutospacing="0"/>
              <w:ind w:left="0" w:right="0"/>
              <w:rPr>
                <w:rFonts w:hint="default" w:ascii="Arial"/>
                <w:sz w:val="21"/>
              </w:rPr>
            </w:pPr>
          </w:p>
        </w:tc>
        <w:tc>
          <w:tcPr>
            <w:tcW w:w="2483" w:type="dxa"/>
            <w:vAlign w:val="top"/>
          </w:tcPr>
          <w:p>
            <w:pPr>
              <w:keepNext w:val="0"/>
              <w:keepLines w:val="0"/>
              <w:suppressLineNumbers w:val="0"/>
              <w:spacing w:before="0" w:beforeAutospacing="0" w:after="0" w:afterAutospacing="0"/>
              <w:ind w:left="0" w:right="0"/>
              <w:rPr>
                <w:rFonts w:hint="default" w:ascii="Arial"/>
                <w:sz w:val="21"/>
              </w:rPr>
            </w:pPr>
          </w:p>
        </w:tc>
      </w:tr>
    </w:tbl>
    <w:p>
      <w:pPr>
        <w:pStyle w:val="8"/>
        <w:spacing w:line="273" w:lineRule="auto"/>
      </w:pPr>
    </w:p>
    <w:p>
      <w:pPr>
        <w:spacing w:before="69" w:line="221" w:lineRule="auto"/>
        <w:ind w:left="185"/>
        <w:rPr>
          <w:rFonts w:ascii="宋体" w:hAnsi="宋体" w:eastAsia="宋体" w:cs="宋体"/>
          <w:sz w:val="21"/>
          <w:szCs w:val="21"/>
        </w:rPr>
      </w:pPr>
      <w:r>
        <w:rPr>
          <w:rFonts w:ascii="宋体" w:hAnsi="宋体" w:eastAsia="宋体" w:cs="宋体"/>
          <w:sz w:val="21"/>
          <w:szCs w:val="21"/>
        </w:rPr>
        <w:t>注：互通立交、分离立交的匝道、匝道涵洞、通</w:t>
      </w:r>
      <w:r>
        <w:rPr>
          <w:rFonts w:ascii="宋体" w:hAnsi="宋体" w:eastAsia="宋体" w:cs="宋体"/>
          <w:spacing w:val="-1"/>
          <w:sz w:val="21"/>
          <w:szCs w:val="21"/>
        </w:rPr>
        <w:t>道、桥梁分别归入表中相关的项目内。</w:t>
      </w:r>
    </w:p>
    <w:p>
      <w:pPr>
        <w:spacing w:line="221" w:lineRule="auto"/>
        <w:rPr>
          <w:rFonts w:ascii="宋体" w:hAnsi="宋体" w:eastAsia="宋体" w:cs="宋体"/>
          <w:sz w:val="21"/>
          <w:szCs w:val="21"/>
        </w:rPr>
        <w:sectPr>
          <w:footerReference r:id="rId28" w:type="default"/>
          <w:pgSz w:w="16841" w:h="11907"/>
          <w:pgMar w:top="1012" w:right="1557" w:bottom="1214" w:left="1175" w:header="0" w:footer="1053" w:gutter="0"/>
          <w:pgNumType w:fmt="decimal"/>
          <w:cols w:space="720" w:num="1"/>
        </w:sectPr>
      </w:pPr>
    </w:p>
    <w:p>
      <w:pPr>
        <w:pStyle w:val="8"/>
        <w:spacing w:line="268" w:lineRule="auto"/>
      </w:pPr>
    </w:p>
    <w:p>
      <w:pPr>
        <w:spacing w:before="68" w:line="220" w:lineRule="auto"/>
        <w:ind w:left="487"/>
        <w:rPr>
          <w:rFonts w:ascii="宋体" w:hAnsi="宋体" w:eastAsia="宋体" w:cs="宋体"/>
          <w:sz w:val="21"/>
          <w:szCs w:val="21"/>
        </w:rPr>
      </w:pPr>
      <w:r>
        <w:rPr>
          <w:rFonts w:ascii="宋体" w:hAnsi="宋体" w:eastAsia="宋体" w:cs="宋体"/>
          <w:spacing w:val="-2"/>
          <w:sz w:val="21"/>
          <w:szCs w:val="21"/>
          <w14:textOutline w14:w="3831" w14:cap="flat" w14:cmpd="sng">
            <w14:solidFill>
              <w14:srgbClr w14:val="000000"/>
            </w14:solidFill>
            <w14:prstDash w14:val="solid"/>
            <w14:miter w14:val="0"/>
          </w14:textOutline>
        </w:rPr>
        <w:t>附表五施工总平面图</w:t>
      </w:r>
      <w:r>
        <w:rPr>
          <w:rFonts w:hint="eastAsia" w:ascii="宋体" w:hAnsi="宋体" w:eastAsia="宋体" w:cs="宋体"/>
          <w:spacing w:val="-1"/>
          <w:sz w:val="21"/>
          <w:szCs w:val="21"/>
          <w:lang w:eastAsia="zh-CN"/>
          <w14:textOutline w14:w="3831" w14:cap="flat" w14:cmpd="sng">
            <w14:solidFill>
              <w14:srgbClr w14:val="000000"/>
            </w14:solidFill>
            <w14:prstDash w14:val="solid"/>
            <w14:miter w14:val="0"/>
          </w14:textOutline>
        </w:rPr>
        <w:t>（</w:t>
      </w:r>
      <w:r>
        <w:rPr>
          <w:rFonts w:hint="eastAsia" w:ascii="宋体" w:hAnsi="宋体" w:eastAsia="宋体" w:cs="宋体"/>
          <w:spacing w:val="-1"/>
          <w:sz w:val="21"/>
          <w:szCs w:val="21"/>
          <w:lang w:val="en-US" w:eastAsia="zh-CN"/>
          <w14:textOutline w14:w="3831" w14:cap="flat" w14:cmpd="sng">
            <w14:solidFill>
              <w14:srgbClr w14:val="000000"/>
            </w14:solidFill>
            <w14:prstDash w14:val="solid"/>
            <w14:miter w14:val="0"/>
          </w14:textOutline>
        </w:rPr>
        <w:t>参考）</w:t>
      </w:r>
    </w:p>
    <w:p>
      <w:pPr>
        <w:spacing w:before="294" w:line="408" w:lineRule="exact"/>
        <w:ind w:left="410"/>
        <w:rPr>
          <w:rFonts w:ascii="宋体" w:hAnsi="宋体" w:eastAsia="宋体" w:cs="宋体"/>
          <w:sz w:val="21"/>
          <w:szCs w:val="21"/>
        </w:rPr>
      </w:pPr>
      <w:r>
        <w:rPr>
          <w:rFonts w:ascii="宋体" w:hAnsi="宋体" w:eastAsia="宋体" w:cs="宋体"/>
          <w:spacing w:val="-5"/>
          <w:position w:val="15"/>
          <w:sz w:val="21"/>
          <w:szCs w:val="21"/>
        </w:rPr>
        <w:t>投标人应递交一份施工总平面图，绘出现场临时设施布置图表并附文字说明，说明施工营地、料场、</w:t>
      </w:r>
    </w:p>
    <w:p>
      <w:pPr>
        <w:spacing w:line="219" w:lineRule="auto"/>
        <w:jc w:val="right"/>
        <w:rPr>
          <w:rFonts w:ascii="宋体" w:hAnsi="宋体" w:eastAsia="宋体" w:cs="宋体"/>
          <w:sz w:val="21"/>
          <w:szCs w:val="21"/>
        </w:rPr>
      </w:pPr>
      <w:r>
        <w:rPr>
          <w:rFonts w:ascii="宋体" w:hAnsi="宋体" w:eastAsia="宋体" w:cs="宋体"/>
          <w:spacing w:val="-9"/>
          <w:sz w:val="21"/>
          <w:szCs w:val="21"/>
        </w:rPr>
        <w:t>临时设施、加工车间、现场办公、设备及仓储、供电、供水、卫生、生活、道路、消防等设施的情况和布置。</w:t>
      </w:r>
    </w:p>
    <w:p>
      <w:pPr>
        <w:spacing w:line="219" w:lineRule="auto"/>
        <w:rPr>
          <w:rFonts w:ascii="宋体" w:hAnsi="宋体" w:eastAsia="宋体" w:cs="宋体"/>
          <w:sz w:val="21"/>
          <w:szCs w:val="21"/>
        </w:rPr>
        <w:sectPr>
          <w:footerReference r:id="rId29" w:type="default"/>
          <w:pgSz w:w="11907" w:h="16841"/>
          <w:pgMar w:top="1431" w:right="1000" w:bottom="1216" w:left="1241" w:header="0" w:footer="1055" w:gutter="0"/>
          <w:pgNumType w:fmt="decimal"/>
          <w:cols w:space="720" w:num="1"/>
        </w:sectPr>
      </w:pPr>
    </w:p>
    <w:p>
      <w:pPr>
        <w:spacing w:before="52" w:line="220" w:lineRule="auto"/>
        <w:ind w:left="344"/>
        <w:rPr>
          <w:rFonts w:ascii="宋体" w:hAnsi="宋体" w:eastAsia="宋体" w:cs="宋体"/>
          <w:sz w:val="21"/>
          <w:szCs w:val="21"/>
        </w:rPr>
      </w:pPr>
      <w:r>
        <w:rPr>
          <w:rFonts w:ascii="宋体" w:hAnsi="宋体" w:eastAsia="宋体" w:cs="宋体"/>
          <w:spacing w:val="-2"/>
          <w:sz w:val="21"/>
          <w:szCs w:val="21"/>
          <w14:textOutline w14:w="3831" w14:cap="flat" w14:cmpd="sng">
            <w14:solidFill>
              <w14:srgbClr w14:val="000000"/>
            </w14:solidFill>
            <w14:prstDash w14:val="solid"/>
            <w14:miter w14:val="0"/>
          </w14:textOutline>
        </w:rPr>
        <w:t>附表六劳动力计划表</w:t>
      </w:r>
      <w:r>
        <w:rPr>
          <w:rFonts w:hint="eastAsia" w:ascii="宋体" w:hAnsi="宋体" w:eastAsia="宋体" w:cs="宋体"/>
          <w:spacing w:val="-1"/>
          <w:sz w:val="21"/>
          <w:szCs w:val="21"/>
          <w:lang w:eastAsia="zh-CN"/>
          <w14:textOutline w14:w="3831" w14:cap="flat" w14:cmpd="sng">
            <w14:solidFill>
              <w14:srgbClr w14:val="000000"/>
            </w14:solidFill>
            <w14:prstDash w14:val="solid"/>
            <w14:miter w14:val="0"/>
          </w14:textOutline>
        </w:rPr>
        <w:t>（</w:t>
      </w:r>
      <w:r>
        <w:rPr>
          <w:rFonts w:hint="eastAsia" w:ascii="宋体" w:hAnsi="宋体" w:eastAsia="宋体" w:cs="宋体"/>
          <w:spacing w:val="-1"/>
          <w:sz w:val="21"/>
          <w:szCs w:val="21"/>
          <w:lang w:val="en-US" w:eastAsia="zh-CN"/>
          <w14:textOutline w14:w="3831" w14:cap="flat" w14:cmpd="sng">
            <w14:solidFill>
              <w14:srgbClr w14:val="000000"/>
            </w14:solidFill>
            <w14:prstDash w14:val="solid"/>
            <w14:miter w14:val="0"/>
          </w14:textOutline>
        </w:rPr>
        <w:t>参考）</w:t>
      </w:r>
    </w:p>
    <w:p>
      <w:pPr>
        <w:pStyle w:val="8"/>
        <w:spacing w:line="270" w:lineRule="auto"/>
      </w:pPr>
    </w:p>
    <w:p>
      <w:pPr>
        <w:spacing w:before="68" w:line="212" w:lineRule="auto"/>
        <w:ind w:left="7993"/>
        <w:rPr>
          <w:rFonts w:ascii="黑体" w:hAnsi="黑体" w:eastAsia="黑体" w:cs="黑体"/>
          <w:sz w:val="21"/>
          <w:szCs w:val="21"/>
        </w:rPr>
      </w:pPr>
      <w:r>
        <w:rPr>
          <w:rFonts w:ascii="黑体" w:hAnsi="黑体" w:eastAsia="黑体" w:cs="黑体"/>
          <w:spacing w:val="-4"/>
          <w:sz w:val="21"/>
          <w:szCs w:val="21"/>
        </w:rPr>
        <w:t>单位：人</w:t>
      </w:r>
    </w:p>
    <w:tbl>
      <w:tblPr>
        <w:tblStyle w:val="68"/>
        <w:tblW w:w="8898"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9"/>
        <w:gridCol w:w="1362"/>
        <w:gridCol w:w="1108"/>
        <w:gridCol w:w="1110"/>
        <w:gridCol w:w="1111"/>
        <w:gridCol w:w="1110"/>
        <w:gridCol w:w="1113"/>
        <w:gridCol w:w="11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869" w:type="dxa"/>
            <w:tcBorders>
              <w:left w:val="single" w:color="000000" w:sz="4" w:space="0"/>
            </w:tcBorders>
            <w:vAlign w:val="top"/>
          </w:tcPr>
          <w:p>
            <w:pPr>
              <w:pStyle w:val="72"/>
              <w:keepNext w:val="0"/>
              <w:keepLines w:val="0"/>
              <w:suppressLineNumbers w:val="0"/>
              <w:spacing w:before="142" w:beforeAutospacing="0" w:after="0" w:afterAutospacing="0" w:line="221" w:lineRule="auto"/>
              <w:ind w:left="226" w:right="0"/>
              <w:rPr>
                <w:rFonts w:hint="default"/>
              </w:rPr>
            </w:pPr>
            <w:r>
              <w:rPr>
                <w:rFonts w:hint="default"/>
                <w:spacing w:val="-5"/>
              </w:rPr>
              <w:t>工种</w:t>
            </w:r>
          </w:p>
        </w:tc>
        <w:tc>
          <w:tcPr>
            <w:tcW w:w="8029" w:type="dxa"/>
            <w:gridSpan w:val="7"/>
            <w:vAlign w:val="top"/>
          </w:tcPr>
          <w:p>
            <w:pPr>
              <w:pStyle w:val="72"/>
              <w:keepNext w:val="0"/>
              <w:keepLines w:val="0"/>
              <w:suppressLineNumbers w:val="0"/>
              <w:spacing w:before="141" w:beforeAutospacing="0" w:after="0" w:afterAutospacing="0" w:line="221" w:lineRule="auto"/>
              <w:ind w:left="2544" w:right="0"/>
              <w:rPr>
                <w:rFonts w:hint="default"/>
              </w:rPr>
            </w:pPr>
            <w:r>
              <w:rPr>
                <w:rFonts w:hint="default"/>
                <w:spacing w:val="-1"/>
              </w:rPr>
              <w:t>按工程施工阶段投入劳动力情况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1362" w:type="dxa"/>
            <w:vAlign w:val="top"/>
          </w:tcPr>
          <w:p>
            <w:pPr>
              <w:keepNext w:val="0"/>
              <w:keepLines w:val="0"/>
              <w:suppressLineNumbers w:val="0"/>
              <w:spacing w:before="0" w:beforeAutospacing="0" w:after="0" w:afterAutospacing="0"/>
              <w:ind w:left="0" w:right="0"/>
              <w:rPr>
                <w:rFonts w:hint="default" w:ascii="Arial"/>
                <w:sz w:val="21"/>
              </w:rPr>
            </w:pPr>
          </w:p>
        </w:tc>
        <w:tc>
          <w:tcPr>
            <w:tcW w:w="1108"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1"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3" w:type="dxa"/>
            <w:vAlign w:val="top"/>
          </w:tcPr>
          <w:p>
            <w:pPr>
              <w:keepNext w:val="0"/>
              <w:keepLines w:val="0"/>
              <w:suppressLineNumbers w:val="0"/>
              <w:spacing w:before="0" w:beforeAutospacing="0" w:after="0" w:afterAutospacing="0"/>
              <w:ind w:left="0" w:right="0"/>
              <w:rPr>
                <w:rFonts w:hint="default" w:ascii="Arial"/>
                <w:sz w:val="21"/>
              </w:rPr>
            </w:pPr>
          </w:p>
        </w:tc>
        <w:tc>
          <w:tcPr>
            <w:tcW w:w="1115"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1362" w:type="dxa"/>
            <w:vAlign w:val="top"/>
          </w:tcPr>
          <w:p>
            <w:pPr>
              <w:keepNext w:val="0"/>
              <w:keepLines w:val="0"/>
              <w:suppressLineNumbers w:val="0"/>
              <w:spacing w:before="0" w:beforeAutospacing="0" w:after="0" w:afterAutospacing="0"/>
              <w:ind w:left="0" w:right="0"/>
              <w:rPr>
                <w:rFonts w:hint="default" w:ascii="Arial"/>
                <w:sz w:val="21"/>
              </w:rPr>
            </w:pPr>
          </w:p>
        </w:tc>
        <w:tc>
          <w:tcPr>
            <w:tcW w:w="1108"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1"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3" w:type="dxa"/>
            <w:vAlign w:val="top"/>
          </w:tcPr>
          <w:p>
            <w:pPr>
              <w:keepNext w:val="0"/>
              <w:keepLines w:val="0"/>
              <w:suppressLineNumbers w:val="0"/>
              <w:spacing w:before="0" w:beforeAutospacing="0" w:after="0" w:afterAutospacing="0"/>
              <w:ind w:left="0" w:right="0"/>
              <w:rPr>
                <w:rFonts w:hint="default" w:ascii="Arial"/>
                <w:sz w:val="21"/>
              </w:rPr>
            </w:pPr>
          </w:p>
        </w:tc>
        <w:tc>
          <w:tcPr>
            <w:tcW w:w="1115"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1362" w:type="dxa"/>
            <w:vAlign w:val="top"/>
          </w:tcPr>
          <w:p>
            <w:pPr>
              <w:keepNext w:val="0"/>
              <w:keepLines w:val="0"/>
              <w:suppressLineNumbers w:val="0"/>
              <w:spacing w:before="0" w:beforeAutospacing="0" w:after="0" w:afterAutospacing="0"/>
              <w:ind w:left="0" w:right="0"/>
              <w:rPr>
                <w:rFonts w:hint="default" w:ascii="Arial"/>
                <w:sz w:val="21"/>
              </w:rPr>
            </w:pPr>
          </w:p>
        </w:tc>
        <w:tc>
          <w:tcPr>
            <w:tcW w:w="1108"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1"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3" w:type="dxa"/>
            <w:vAlign w:val="top"/>
          </w:tcPr>
          <w:p>
            <w:pPr>
              <w:keepNext w:val="0"/>
              <w:keepLines w:val="0"/>
              <w:suppressLineNumbers w:val="0"/>
              <w:spacing w:before="0" w:beforeAutospacing="0" w:after="0" w:afterAutospacing="0"/>
              <w:ind w:left="0" w:right="0"/>
              <w:rPr>
                <w:rFonts w:hint="default" w:ascii="Arial"/>
                <w:sz w:val="21"/>
              </w:rPr>
            </w:pPr>
          </w:p>
        </w:tc>
        <w:tc>
          <w:tcPr>
            <w:tcW w:w="1115"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1362" w:type="dxa"/>
            <w:vAlign w:val="top"/>
          </w:tcPr>
          <w:p>
            <w:pPr>
              <w:keepNext w:val="0"/>
              <w:keepLines w:val="0"/>
              <w:suppressLineNumbers w:val="0"/>
              <w:spacing w:before="0" w:beforeAutospacing="0" w:after="0" w:afterAutospacing="0"/>
              <w:ind w:left="0" w:right="0"/>
              <w:rPr>
                <w:rFonts w:hint="default" w:ascii="Arial"/>
                <w:sz w:val="21"/>
              </w:rPr>
            </w:pPr>
          </w:p>
        </w:tc>
        <w:tc>
          <w:tcPr>
            <w:tcW w:w="1108"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1"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3" w:type="dxa"/>
            <w:vAlign w:val="top"/>
          </w:tcPr>
          <w:p>
            <w:pPr>
              <w:keepNext w:val="0"/>
              <w:keepLines w:val="0"/>
              <w:suppressLineNumbers w:val="0"/>
              <w:spacing w:before="0" w:beforeAutospacing="0" w:after="0" w:afterAutospacing="0"/>
              <w:ind w:left="0" w:right="0"/>
              <w:rPr>
                <w:rFonts w:hint="default" w:ascii="Arial"/>
                <w:sz w:val="21"/>
              </w:rPr>
            </w:pPr>
          </w:p>
        </w:tc>
        <w:tc>
          <w:tcPr>
            <w:tcW w:w="1115"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1362" w:type="dxa"/>
            <w:vAlign w:val="top"/>
          </w:tcPr>
          <w:p>
            <w:pPr>
              <w:keepNext w:val="0"/>
              <w:keepLines w:val="0"/>
              <w:suppressLineNumbers w:val="0"/>
              <w:spacing w:before="0" w:beforeAutospacing="0" w:after="0" w:afterAutospacing="0"/>
              <w:ind w:left="0" w:right="0"/>
              <w:rPr>
                <w:rFonts w:hint="default" w:ascii="Arial"/>
                <w:sz w:val="21"/>
              </w:rPr>
            </w:pPr>
          </w:p>
        </w:tc>
        <w:tc>
          <w:tcPr>
            <w:tcW w:w="1108"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1"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3" w:type="dxa"/>
            <w:vAlign w:val="top"/>
          </w:tcPr>
          <w:p>
            <w:pPr>
              <w:keepNext w:val="0"/>
              <w:keepLines w:val="0"/>
              <w:suppressLineNumbers w:val="0"/>
              <w:spacing w:before="0" w:beforeAutospacing="0" w:after="0" w:afterAutospacing="0"/>
              <w:ind w:left="0" w:right="0"/>
              <w:rPr>
                <w:rFonts w:hint="default" w:ascii="Arial"/>
                <w:sz w:val="21"/>
              </w:rPr>
            </w:pPr>
          </w:p>
        </w:tc>
        <w:tc>
          <w:tcPr>
            <w:tcW w:w="1115"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1362" w:type="dxa"/>
            <w:vAlign w:val="top"/>
          </w:tcPr>
          <w:p>
            <w:pPr>
              <w:keepNext w:val="0"/>
              <w:keepLines w:val="0"/>
              <w:suppressLineNumbers w:val="0"/>
              <w:spacing w:before="0" w:beforeAutospacing="0" w:after="0" w:afterAutospacing="0"/>
              <w:ind w:left="0" w:right="0"/>
              <w:rPr>
                <w:rFonts w:hint="default" w:ascii="Arial"/>
                <w:sz w:val="21"/>
              </w:rPr>
            </w:pPr>
          </w:p>
        </w:tc>
        <w:tc>
          <w:tcPr>
            <w:tcW w:w="1108"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1"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3" w:type="dxa"/>
            <w:vAlign w:val="top"/>
          </w:tcPr>
          <w:p>
            <w:pPr>
              <w:keepNext w:val="0"/>
              <w:keepLines w:val="0"/>
              <w:suppressLineNumbers w:val="0"/>
              <w:spacing w:before="0" w:beforeAutospacing="0" w:after="0" w:afterAutospacing="0"/>
              <w:ind w:left="0" w:right="0"/>
              <w:rPr>
                <w:rFonts w:hint="default" w:ascii="Arial"/>
                <w:sz w:val="21"/>
              </w:rPr>
            </w:pPr>
          </w:p>
        </w:tc>
        <w:tc>
          <w:tcPr>
            <w:tcW w:w="1115"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1362" w:type="dxa"/>
            <w:vAlign w:val="top"/>
          </w:tcPr>
          <w:p>
            <w:pPr>
              <w:keepNext w:val="0"/>
              <w:keepLines w:val="0"/>
              <w:suppressLineNumbers w:val="0"/>
              <w:spacing w:before="0" w:beforeAutospacing="0" w:after="0" w:afterAutospacing="0"/>
              <w:ind w:left="0" w:right="0"/>
              <w:rPr>
                <w:rFonts w:hint="default" w:ascii="Arial"/>
                <w:sz w:val="21"/>
              </w:rPr>
            </w:pPr>
          </w:p>
        </w:tc>
        <w:tc>
          <w:tcPr>
            <w:tcW w:w="1108"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1"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3" w:type="dxa"/>
            <w:vAlign w:val="top"/>
          </w:tcPr>
          <w:p>
            <w:pPr>
              <w:keepNext w:val="0"/>
              <w:keepLines w:val="0"/>
              <w:suppressLineNumbers w:val="0"/>
              <w:spacing w:before="0" w:beforeAutospacing="0" w:after="0" w:afterAutospacing="0"/>
              <w:ind w:left="0" w:right="0"/>
              <w:rPr>
                <w:rFonts w:hint="default" w:ascii="Arial"/>
                <w:sz w:val="21"/>
              </w:rPr>
            </w:pPr>
          </w:p>
        </w:tc>
        <w:tc>
          <w:tcPr>
            <w:tcW w:w="1115"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1362" w:type="dxa"/>
            <w:vAlign w:val="top"/>
          </w:tcPr>
          <w:p>
            <w:pPr>
              <w:keepNext w:val="0"/>
              <w:keepLines w:val="0"/>
              <w:suppressLineNumbers w:val="0"/>
              <w:spacing w:before="0" w:beforeAutospacing="0" w:after="0" w:afterAutospacing="0"/>
              <w:ind w:left="0" w:right="0"/>
              <w:rPr>
                <w:rFonts w:hint="default" w:ascii="Arial"/>
                <w:sz w:val="21"/>
              </w:rPr>
            </w:pPr>
          </w:p>
        </w:tc>
        <w:tc>
          <w:tcPr>
            <w:tcW w:w="1108"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1"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3" w:type="dxa"/>
            <w:vAlign w:val="top"/>
          </w:tcPr>
          <w:p>
            <w:pPr>
              <w:keepNext w:val="0"/>
              <w:keepLines w:val="0"/>
              <w:suppressLineNumbers w:val="0"/>
              <w:spacing w:before="0" w:beforeAutospacing="0" w:after="0" w:afterAutospacing="0"/>
              <w:ind w:left="0" w:right="0"/>
              <w:rPr>
                <w:rFonts w:hint="default" w:ascii="Arial"/>
                <w:sz w:val="21"/>
              </w:rPr>
            </w:pPr>
          </w:p>
        </w:tc>
        <w:tc>
          <w:tcPr>
            <w:tcW w:w="1115"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1362" w:type="dxa"/>
            <w:vAlign w:val="top"/>
          </w:tcPr>
          <w:p>
            <w:pPr>
              <w:keepNext w:val="0"/>
              <w:keepLines w:val="0"/>
              <w:suppressLineNumbers w:val="0"/>
              <w:spacing w:before="0" w:beforeAutospacing="0" w:after="0" w:afterAutospacing="0"/>
              <w:ind w:left="0" w:right="0"/>
              <w:rPr>
                <w:rFonts w:hint="default" w:ascii="Arial"/>
                <w:sz w:val="21"/>
              </w:rPr>
            </w:pPr>
          </w:p>
        </w:tc>
        <w:tc>
          <w:tcPr>
            <w:tcW w:w="1108"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1"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3" w:type="dxa"/>
            <w:vAlign w:val="top"/>
          </w:tcPr>
          <w:p>
            <w:pPr>
              <w:keepNext w:val="0"/>
              <w:keepLines w:val="0"/>
              <w:suppressLineNumbers w:val="0"/>
              <w:spacing w:before="0" w:beforeAutospacing="0" w:after="0" w:afterAutospacing="0"/>
              <w:ind w:left="0" w:right="0"/>
              <w:rPr>
                <w:rFonts w:hint="default" w:ascii="Arial"/>
                <w:sz w:val="21"/>
              </w:rPr>
            </w:pPr>
          </w:p>
        </w:tc>
        <w:tc>
          <w:tcPr>
            <w:tcW w:w="1115"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1362" w:type="dxa"/>
            <w:vAlign w:val="top"/>
          </w:tcPr>
          <w:p>
            <w:pPr>
              <w:keepNext w:val="0"/>
              <w:keepLines w:val="0"/>
              <w:suppressLineNumbers w:val="0"/>
              <w:spacing w:before="0" w:beforeAutospacing="0" w:after="0" w:afterAutospacing="0"/>
              <w:ind w:left="0" w:right="0"/>
              <w:rPr>
                <w:rFonts w:hint="default" w:ascii="Arial"/>
                <w:sz w:val="21"/>
              </w:rPr>
            </w:pPr>
          </w:p>
        </w:tc>
        <w:tc>
          <w:tcPr>
            <w:tcW w:w="1108"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1"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3" w:type="dxa"/>
            <w:vAlign w:val="top"/>
          </w:tcPr>
          <w:p>
            <w:pPr>
              <w:keepNext w:val="0"/>
              <w:keepLines w:val="0"/>
              <w:suppressLineNumbers w:val="0"/>
              <w:spacing w:before="0" w:beforeAutospacing="0" w:after="0" w:afterAutospacing="0"/>
              <w:ind w:left="0" w:right="0"/>
              <w:rPr>
                <w:rFonts w:hint="default" w:ascii="Arial"/>
                <w:sz w:val="21"/>
              </w:rPr>
            </w:pPr>
          </w:p>
        </w:tc>
        <w:tc>
          <w:tcPr>
            <w:tcW w:w="1115"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1362" w:type="dxa"/>
            <w:vAlign w:val="top"/>
          </w:tcPr>
          <w:p>
            <w:pPr>
              <w:keepNext w:val="0"/>
              <w:keepLines w:val="0"/>
              <w:suppressLineNumbers w:val="0"/>
              <w:spacing w:before="0" w:beforeAutospacing="0" w:after="0" w:afterAutospacing="0"/>
              <w:ind w:left="0" w:right="0"/>
              <w:rPr>
                <w:rFonts w:hint="default" w:ascii="Arial"/>
                <w:sz w:val="21"/>
              </w:rPr>
            </w:pPr>
          </w:p>
        </w:tc>
        <w:tc>
          <w:tcPr>
            <w:tcW w:w="1108"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1"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3" w:type="dxa"/>
            <w:vAlign w:val="top"/>
          </w:tcPr>
          <w:p>
            <w:pPr>
              <w:keepNext w:val="0"/>
              <w:keepLines w:val="0"/>
              <w:suppressLineNumbers w:val="0"/>
              <w:spacing w:before="0" w:beforeAutospacing="0" w:after="0" w:afterAutospacing="0"/>
              <w:ind w:left="0" w:right="0"/>
              <w:rPr>
                <w:rFonts w:hint="default" w:ascii="Arial"/>
                <w:sz w:val="21"/>
              </w:rPr>
            </w:pPr>
          </w:p>
        </w:tc>
        <w:tc>
          <w:tcPr>
            <w:tcW w:w="1115"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1362" w:type="dxa"/>
            <w:vAlign w:val="top"/>
          </w:tcPr>
          <w:p>
            <w:pPr>
              <w:keepNext w:val="0"/>
              <w:keepLines w:val="0"/>
              <w:suppressLineNumbers w:val="0"/>
              <w:spacing w:before="0" w:beforeAutospacing="0" w:after="0" w:afterAutospacing="0"/>
              <w:ind w:left="0" w:right="0"/>
              <w:rPr>
                <w:rFonts w:hint="default" w:ascii="Arial"/>
                <w:sz w:val="21"/>
              </w:rPr>
            </w:pPr>
          </w:p>
        </w:tc>
        <w:tc>
          <w:tcPr>
            <w:tcW w:w="1108"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1"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3" w:type="dxa"/>
            <w:vAlign w:val="top"/>
          </w:tcPr>
          <w:p>
            <w:pPr>
              <w:keepNext w:val="0"/>
              <w:keepLines w:val="0"/>
              <w:suppressLineNumbers w:val="0"/>
              <w:spacing w:before="0" w:beforeAutospacing="0" w:after="0" w:afterAutospacing="0"/>
              <w:ind w:left="0" w:right="0"/>
              <w:rPr>
                <w:rFonts w:hint="default" w:ascii="Arial"/>
                <w:sz w:val="21"/>
              </w:rPr>
            </w:pPr>
          </w:p>
        </w:tc>
        <w:tc>
          <w:tcPr>
            <w:tcW w:w="1115"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1362" w:type="dxa"/>
            <w:vAlign w:val="top"/>
          </w:tcPr>
          <w:p>
            <w:pPr>
              <w:keepNext w:val="0"/>
              <w:keepLines w:val="0"/>
              <w:suppressLineNumbers w:val="0"/>
              <w:spacing w:before="0" w:beforeAutospacing="0" w:after="0" w:afterAutospacing="0"/>
              <w:ind w:left="0" w:right="0"/>
              <w:rPr>
                <w:rFonts w:hint="default" w:ascii="Arial"/>
                <w:sz w:val="21"/>
              </w:rPr>
            </w:pPr>
          </w:p>
        </w:tc>
        <w:tc>
          <w:tcPr>
            <w:tcW w:w="1108"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1"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3" w:type="dxa"/>
            <w:vAlign w:val="top"/>
          </w:tcPr>
          <w:p>
            <w:pPr>
              <w:keepNext w:val="0"/>
              <w:keepLines w:val="0"/>
              <w:suppressLineNumbers w:val="0"/>
              <w:spacing w:before="0" w:beforeAutospacing="0" w:after="0" w:afterAutospacing="0"/>
              <w:ind w:left="0" w:right="0"/>
              <w:rPr>
                <w:rFonts w:hint="default" w:ascii="Arial"/>
                <w:sz w:val="21"/>
              </w:rPr>
            </w:pPr>
          </w:p>
        </w:tc>
        <w:tc>
          <w:tcPr>
            <w:tcW w:w="1115"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1362" w:type="dxa"/>
            <w:vAlign w:val="top"/>
          </w:tcPr>
          <w:p>
            <w:pPr>
              <w:keepNext w:val="0"/>
              <w:keepLines w:val="0"/>
              <w:suppressLineNumbers w:val="0"/>
              <w:spacing w:before="0" w:beforeAutospacing="0" w:after="0" w:afterAutospacing="0"/>
              <w:ind w:left="0" w:right="0"/>
              <w:rPr>
                <w:rFonts w:hint="default" w:ascii="Arial"/>
                <w:sz w:val="21"/>
              </w:rPr>
            </w:pPr>
          </w:p>
        </w:tc>
        <w:tc>
          <w:tcPr>
            <w:tcW w:w="1108"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1"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3" w:type="dxa"/>
            <w:vAlign w:val="top"/>
          </w:tcPr>
          <w:p>
            <w:pPr>
              <w:keepNext w:val="0"/>
              <w:keepLines w:val="0"/>
              <w:suppressLineNumbers w:val="0"/>
              <w:spacing w:before="0" w:beforeAutospacing="0" w:after="0" w:afterAutospacing="0"/>
              <w:ind w:left="0" w:right="0"/>
              <w:rPr>
                <w:rFonts w:hint="default" w:ascii="Arial"/>
                <w:sz w:val="21"/>
              </w:rPr>
            </w:pPr>
          </w:p>
        </w:tc>
        <w:tc>
          <w:tcPr>
            <w:tcW w:w="1115"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1362" w:type="dxa"/>
            <w:vAlign w:val="top"/>
          </w:tcPr>
          <w:p>
            <w:pPr>
              <w:keepNext w:val="0"/>
              <w:keepLines w:val="0"/>
              <w:suppressLineNumbers w:val="0"/>
              <w:spacing w:before="0" w:beforeAutospacing="0" w:after="0" w:afterAutospacing="0"/>
              <w:ind w:left="0" w:right="0"/>
              <w:rPr>
                <w:rFonts w:hint="default" w:ascii="Arial"/>
                <w:sz w:val="21"/>
              </w:rPr>
            </w:pPr>
          </w:p>
        </w:tc>
        <w:tc>
          <w:tcPr>
            <w:tcW w:w="1108"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1"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3" w:type="dxa"/>
            <w:vAlign w:val="top"/>
          </w:tcPr>
          <w:p>
            <w:pPr>
              <w:keepNext w:val="0"/>
              <w:keepLines w:val="0"/>
              <w:suppressLineNumbers w:val="0"/>
              <w:spacing w:before="0" w:beforeAutospacing="0" w:after="0" w:afterAutospacing="0"/>
              <w:ind w:left="0" w:right="0"/>
              <w:rPr>
                <w:rFonts w:hint="default" w:ascii="Arial"/>
                <w:sz w:val="21"/>
              </w:rPr>
            </w:pPr>
          </w:p>
        </w:tc>
        <w:tc>
          <w:tcPr>
            <w:tcW w:w="1115"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1362" w:type="dxa"/>
            <w:vAlign w:val="top"/>
          </w:tcPr>
          <w:p>
            <w:pPr>
              <w:keepNext w:val="0"/>
              <w:keepLines w:val="0"/>
              <w:suppressLineNumbers w:val="0"/>
              <w:spacing w:before="0" w:beforeAutospacing="0" w:after="0" w:afterAutospacing="0"/>
              <w:ind w:left="0" w:right="0"/>
              <w:rPr>
                <w:rFonts w:hint="default" w:ascii="Arial"/>
                <w:sz w:val="21"/>
              </w:rPr>
            </w:pPr>
          </w:p>
        </w:tc>
        <w:tc>
          <w:tcPr>
            <w:tcW w:w="1108"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1"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3" w:type="dxa"/>
            <w:vAlign w:val="top"/>
          </w:tcPr>
          <w:p>
            <w:pPr>
              <w:keepNext w:val="0"/>
              <w:keepLines w:val="0"/>
              <w:suppressLineNumbers w:val="0"/>
              <w:spacing w:before="0" w:beforeAutospacing="0" w:after="0" w:afterAutospacing="0"/>
              <w:ind w:left="0" w:right="0"/>
              <w:rPr>
                <w:rFonts w:hint="default" w:ascii="Arial"/>
                <w:sz w:val="21"/>
              </w:rPr>
            </w:pPr>
          </w:p>
        </w:tc>
        <w:tc>
          <w:tcPr>
            <w:tcW w:w="1115"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1362" w:type="dxa"/>
            <w:vAlign w:val="top"/>
          </w:tcPr>
          <w:p>
            <w:pPr>
              <w:keepNext w:val="0"/>
              <w:keepLines w:val="0"/>
              <w:suppressLineNumbers w:val="0"/>
              <w:spacing w:before="0" w:beforeAutospacing="0" w:after="0" w:afterAutospacing="0"/>
              <w:ind w:left="0" w:right="0"/>
              <w:rPr>
                <w:rFonts w:hint="default" w:ascii="Arial"/>
                <w:sz w:val="21"/>
              </w:rPr>
            </w:pPr>
          </w:p>
        </w:tc>
        <w:tc>
          <w:tcPr>
            <w:tcW w:w="1108"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1"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3" w:type="dxa"/>
            <w:vAlign w:val="top"/>
          </w:tcPr>
          <w:p>
            <w:pPr>
              <w:keepNext w:val="0"/>
              <w:keepLines w:val="0"/>
              <w:suppressLineNumbers w:val="0"/>
              <w:spacing w:before="0" w:beforeAutospacing="0" w:after="0" w:afterAutospacing="0"/>
              <w:ind w:left="0" w:right="0"/>
              <w:rPr>
                <w:rFonts w:hint="default" w:ascii="Arial"/>
                <w:sz w:val="21"/>
              </w:rPr>
            </w:pPr>
          </w:p>
        </w:tc>
        <w:tc>
          <w:tcPr>
            <w:tcW w:w="1115"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1362" w:type="dxa"/>
            <w:vAlign w:val="top"/>
          </w:tcPr>
          <w:p>
            <w:pPr>
              <w:keepNext w:val="0"/>
              <w:keepLines w:val="0"/>
              <w:suppressLineNumbers w:val="0"/>
              <w:spacing w:before="0" w:beforeAutospacing="0" w:after="0" w:afterAutospacing="0"/>
              <w:ind w:left="0" w:right="0"/>
              <w:rPr>
                <w:rFonts w:hint="default" w:ascii="Arial"/>
                <w:sz w:val="21"/>
              </w:rPr>
            </w:pPr>
          </w:p>
        </w:tc>
        <w:tc>
          <w:tcPr>
            <w:tcW w:w="1108"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1"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3" w:type="dxa"/>
            <w:vAlign w:val="top"/>
          </w:tcPr>
          <w:p>
            <w:pPr>
              <w:keepNext w:val="0"/>
              <w:keepLines w:val="0"/>
              <w:suppressLineNumbers w:val="0"/>
              <w:spacing w:before="0" w:beforeAutospacing="0" w:after="0" w:afterAutospacing="0"/>
              <w:ind w:left="0" w:right="0"/>
              <w:rPr>
                <w:rFonts w:hint="default" w:ascii="Arial"/>
                <w:sz w:val="21"/>
              </w:rPr>
            </w:pPr>
          </w:p>
        </w:tc>
        <w:tc>
          <w:tcPr>
            <w:tcW w:w="1115"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1362" w:type="dxa"/>
            <w:vAlign w:val="top"/>
          </w:tcPr>
          <w:p>
            <w:pPr>
              <w:keepNext w:val="0"/>
              <w:keepLines w:val="0"/>
              <w:suppressLineNumbers w:val="0"/>
              <w:spacing w:before="0" w:beforeAutospacing="0" w:after="0" w:afterAutospacing="0"/>
              <w:ind w:left="0" w:right="0"/>
              <w:rPr>
                <w:rFonts w:hint="default" w:ascii="Arial"/>
                <w:sz w:val="21"/>
              </w:rPr>
            </w:pPr>
          </w:p>
        </w:tc>
        <w:tc>
          <w:tcPr>
            <w:tcW w:w="1108"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1"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3" w:type="dxa"/>
            <w:vAlign w:val="top"/>
          </w:tcPr>
          <w:p>
            <w:pPr>
              <w:keepNext w:val="0"/>
              <w:keepLines w:val="0"/>
              <w:suppressLineNumbers w:val="0"/>
              <w:spacing w:before="0" w:beforeAutospacing="0" w:after="0" w:afterAutospacing="0"/>
              <w:ind w:left="0" w:right="0"/>
              <w:rPr>
                <w:rFonts w:hint="default" w:ascii="Arial"/>
                <w:sz w:val="21"/>
              </w:rPr>
            </w:pPr>
          </w:p>
        </w:tc>
        <w:tc>
          <w:tcPr>
            <w:tcW w:w="1115"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1362" w:type="dxa"/>
            <w:vAlign w:val="top"/>
          </w:tcPr>
          <w:p>
            <w:pPr>
              <w:keepNext w:val="0"/>
              <w:keepLines w:val="0"/>
              <w:suppressLineNumbers w:val="0"/>
              <w:spacing w:before="0" w:beforeAutospacing="0" w:after="0" w:afterAutospacing="0"/>
              <w:ind w:left="0" w:right="0"/>
              <w:rPr>
                <w:rFonts w:hint="default" w:ascii="Arial"/>
                <w:sz w:val="21"/>
              </w:rPr>
            </w:pPr>
          </w:p>
        </w:tc>
        <w:tc>
          <w:tcPr>
            <w:tcW w:w="1108"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1"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3" w:type="dxa"/>
            <w:vAlign w:val="top"/>
          </w:tcPr>
          <w:p>
            <w:pPr>
              <w:keepNext w:val="0"/>
              <w:keepLines w:val="0"/>
              <w:suppressLineNumbers w:val="0"/>
              <w:spacing w:before="0" w:beforeAutospacing="0" w:after="0" w:afterAutospacing="0"/>
              <w:ind w:left="0" w:right="0"/>
              <w:rPr>
                <w:rFonts w:hint="default" w:ascii="Arial"/>
                <w:sz w:val="21"/>
              </w:rPr>
            </w:pPr>
          </w:p>
        </w:tc>
        <w:tc>
          <w:tcPr>
            <w:tcW w:w="1115"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1362" w:type="dxa"/>
            <w:vAlign w:val="top"/>
          </w:tcPr>
          <w:p>
            <w:pPr>
              <w:keepNext w:val="0"/>
              <w:keepLines w:val="0"/>
              <w:suppressLineNumbers w:val="0"/>
              <w:spacing w:before="0" w:beforeAutospacing="0" w:after="0" w:afterAutospacing="0"/>
              <w:ind w:left="0" w:right="0"/>
              <w:rPr>
                <w:rFonts w:hint="default" w:ascii="Arial"/>
                <w:sz w:val="21"/>
              </w:rPr>
            </w:pPr>
          </w:p>
        </w:tc>
        <w:tc>
          <w:tcPr>
            <w:tcW w:w="1108"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1"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3" w:type="dxa"/>
            <w:vAlign w:val="top"/>
          </w:tcPr>
          <w:p>
            <w:pPr>
              <w:keepNext w:val="0"/>
              <w:keepLines w:val="0"/>
              <w:suppressLineNumbers w:val="0"/>
              <w:spacing w:before="0" w:beforeAutospacing="0" w:after="0" w:afterAutospacing="0"/>
              <w:ind w:left="0" w:right="0"/>
              <w:rPr>
                <w:rFonts w:hint="default" w:ascii="Arial"/>
                <w:sz w:val="21"/>
              </w:rPr>
            </w:pPr>
          </w:p>
        </w:tc>
        <w:tc>
          <w:tcPr>
            <w:tcW w:w="1115"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1362" w:type="dxa"/>
            <w:vAlign w:val="top"/>
          </w:tcPr>
          <w:p>
            <w:pPr>
              <w:keepNext w:val="0"/>
              <w:keepLines w:val="0"/>
              <w:suppressLineNumbers w:val="0"/>
              <w:spacing w:before="0" w:beforeAutospacing="0" w:after="0" w:afterAutospacing="0"/>
              <w:ind w:left="0" w:right="0"/>
              <w:rPr>
                <w:rFonts w:hint="default" w:ascii="Arial"/>
                <w:sz w:val="21"/>
              </w:rPr>
            </w:pPr>
          </w:p>
        </w:tc>
        <w:tc>
          <w:tcPr>
            <w:tcW w:w="1108"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1"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3" w:type="dxa"/>
            <w:vAlign w:val="top"/>
          </w:tcPr>
          <w:p>
            <w:pPr>
              <w:keepNext w:val="0"/>
              <w:keepLines w:val="0"/>
              <w:suppressLineNumbers w:val="0"/>
              <w:spacing w:before="0" w:beforeAutospacing="0" w:after="0" w:afterAutospacing="0"/>
              <w:ind w:left="0" w:right="0"/>
              <w:rPr>
                <w:rFonts w:hint="default" w:ascii="Arial"/>
                <w:sz w:val="21"/>
              </w:rPr>
            </w:pPr>
          </w:p>
        </w:tc>
        <w:tc>
          <w:tcPr>
            <w:tcW w:w="1115"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1362" w:type="dxa"/>
            <w:vAlign w:val="top"/>
          </w:tcPr>
          <w:p>
            <w:pPr>
              <w:keepNext w:val="0"/>
              <w:keepLines w:val="0"/>
              <w:suppressLineNumbers w:val="0"/>
              <w:spacing w:before="0" w:beforeAutospacing="0" w:after="0" w:afterAutospacing="0"/>
              <w:ind w:left="0" w:right="0"/>
              <w:rPr>
                <w:rFonts w:hint="default" w:ascii="Arial"/>
                <w:sz w:val="21"/>
              </w:rPr>
            </w:pPr>
          </w:p>
        </w:tc>
        <w:tc>
          <w:tcPr>
            <w:tcW w:w="1108"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1"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3" w:type="dxa"/>
            <w:vAlign w:val="top"/>
          </w:tcPr>
          <w:p>
            <w:pPr>
              <w:keepNext w:val="0"/>
              <w:keepLines w:val="0"/>
              <w:suppressLineNumbers w:val="0"/>
              <w:spacing w:before="0" w:beforeAutospacing="0" w:after="0" w:afterAutospacing="0"/>
              <w:ind w:left="0" w:right="0"/>
              <w:rPr>
                <w:rFonts w:hint="default" w:ascii="Arial"/>
                <w:sz w:val="21"/>
              </w:rPr>
            </w:pPr>
          </w:p>
        </w:tc>
        <w:tc>
          <w:tcPr>
            <w:tcW w:w="1115"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1362" w:type="dxa"/>
            <w:vAlign w:val="top"/>
          </w:tcPr>
          <w:p>
            <w:pPr>
              <w:keepNext w:val="0"/>
              <w:keepLines w:val="0"/>
              <w:suppressLineNumbers w:val="0"/>
              <w:spacing w:before="0" w:beforeAutospacing="0" w:after="0" w:afterAutospacing="0"/>
              <w:ind w:left="0" w:right="0"/>
              <w:rPr>
                <w:rFonts w:hint="default" w:ascii="Arial"/>
                <w:sz w:val="21"/>
              </w:rPr>
            </w:pPr>
          </w:p>
        </w:tc>
        <w:tc>
          <w:tcPr>
            <w:tcW w:w="1108"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1"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3" w:type="dxa"/>
            <w:vAlign w:val="top"/>
          </w:tcPr>
          <w:p>
            <w:pPr>
              <w:keepNext w:val="0"/>
              <w:keepLines w:val="0"/>
              <w:suppressLineNumbers w:val="0"/>
              <w:spacing w:before="0" w:beforeAutospacing="0" w:after="0" w:afterAutospacing="0"/>
              <w:ind w:left="0" w:right="0"/>
              <w:rPr>
                <w:rFonts w:hint="default" w:ascii="Arial"/>
                <w:sz w:val="21"/>
              </w:rPr>
            </w:pPr>
          </w:p>
        </w:tc>
        <w:tc>
          <w:tcPr>
            <w:tcW w:w="1115"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1362" w:type="dxa"/>
            <w:vAlign w:val="top"/>
          </w:tcPr>
          <w:p>
            <w:pPr>
              <w:keepNext w:val="0"/>
              <w:keepLines w:val="0"/>
              <w:suppressLineNumbers w:val="0"/>
              <w:spacing w:before="0" w:beforeAutospacing="0" w:after="0" w:afterAutospacing="0"/>
              <w:ind w:left="0" w:right="0"/>
              <w:rPr>
                <w:rFonts w:hint="default" w:ascii="Arial"/>
                <w:sz w:val="21"/>
              </w:rPr>
            </w:pPr>
          </w:p>
        </w:tc>
        <w:tc>
          <w:tcPr>
            <w:tcW w:w="1108"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1" w:type="dxa"/>
            <w:vAlign w:val="top"/>
          </w:tcPr>
          <w:p>
            <w:pPr>
              <w:keepNext w:val="0"/>
              <w:keepLines w:val="0"/>
              <w:suppressLineNumbers w:val="0"/>
              <w:spacing w:before="0" w:beforeAutospacing="0" w:after="0" w:afterAutospacing="0"/>
              <w:ind w:left="0" w:right="0"/>
              <w:rPr>
                <w:rFonts w:hint="default" w:ascii="Arial"/>
                <w:sz w:val="21"/>
              </w:rPr>
            </w:pPr>
          </w:p>
        </w:tc>
        <w:tc>
          <w:tcPr>
            <w:tcW w:w="1110" w:type="dxa"/>
            <w:vAlign w:val="top"/>
          </w:tcPr>
          <w:p>
            <w:pPr>
              <w:keepNext w:val="0"/>
              <w:keepLines w:val="0"/>
              <w:suppressLineNumbers w:val="0"/>
              <w:spacing w:before="0" w:beforeAutospacing="0" w:after="0" w:afterAutospacing="0"/>
              <w:ind w:left="0" w:right="0"/>
              <w:rPr>
                <w:rFonts w:hint="default" w:ascii="Arial"/>
                <w:sz w:val="21"/>
              </w:rPr>
            </w:pPr>
          </w:p>
        </w:tc>
        <w:tc>
          <w:tcPr>
            <w:tcW w:w="1113" w:type="dxa"/>
            <w:vAlign w:val="top"/>
          </w:tcPr>
          <w:p>
            <w:pPr>
              <w:keepNext w:val="0"/>
              <w:keepLines w:val="0"/>
              <w:suppressLineNumbers w:val="0"/>
              <w:spacing w:before="0" w:beforeAutospacing="0" w:after="0" w:afterAutospacing="0"/>
              <w:ind w:left="0" w:right="0"/>
              <w:rPr>
                <w:rFonts w:hint="default" w:ascii="Arial"/>
                <w:sz w:val="21"/>
              </w:rPr>
            </w:pPr>
          </w:p>
        </w:tc>
        <w:tc>
          <w:tcPr>
            <w:tcW w:w="1115" w:type="dxa"/>
            <w:vAlign w:val="top"/>
          </w:tcPr>
          <w:p>
            <w:pPr>
              <w:keepNext w:val="0"/>
              <w:keepLines w:val="0"/>
              <w:suppressLineNumbers w:val="0"/>
              <w:spacing w:before="0" w:beforeAutospacing="0" w:after="0" w:afterAutospacing="0"/>
              <w:ind w:left="0" w:right="0"/>
              <w:rPr>
                <w:rFonts w:hint="default" w:ascii="Arial"/>
                <w:sz w:val="21"/>
              </w:rPr>
            </w:pPr>
          </w:p>
        </w:tc>
      </w:tr>
    </w:tbl>
    <w:p>
      <w:pPr>
        <w:pStyle w:val="8"/>
      </w:pPr>
    </w:p>
    <w:p>
      <w:pPr>
        <w:sectPr>
          <w:footerReference r:id="rId30" w:type="default"/>
          <w:pgSz w:w="11907" w:h="16841"/>
          <w:pgMar w:top="1431" w:right="1785" w:bottom="1216" w:left="1180" w:header="0" w:footer="1055" w:gutter="0"/>
          <w:pgNumType w:fmt="decimal"/>
          <w:cols w:space="720" w:num="1"/>
        </w:sectPr>
      </w:pPr>
    </w:p>
    <w:p>
      <w:pPr>
        <w:spacing w:before="42" w:line="220" w:lineRule="auto"/>
        <w:ind w:left="128"/>
        <w:rPr>
          <w:rFonts w:ascii="宋体" w:hAnsi="宋体" w:eastAsia="宋体" w:cs="宋体"/>
          <w:sz w:val="21"/>
          <w:szCs w:val="21"/>
        </w:rPr>
      </w:pPr>
      <w:r>
        <w:rPr>
          <w:rFonts w:ascii="宋体" w:hAnsi="宋体" w:eastAsia="宋体" w:cs="宋体"/>
          <w:spacing w:val="-4"/>
          <w:sz w:val="21"/>
          <w:szCs w:val="21"/>
          <w14:textOutline w14:w="3831" w14:cap="flat" w14:cmpd="sng">
            <w14:solidFill>
              <w14:srgbClr w14:val="000000"/>
            </w14:solidFill>
            <w14:prstDash w14:val="solid"/>
            <w14:miter w14:val="0"/>
          </w14:textOutline>
        </w:rPr>
        <w:t>附表七</w:t>
      </w:r>
      <w:r>
        <w:rPr>
          <w:rFonts w:hint="eastAsia" w:ascii="宋体" w:hAnsi="宋体" w:cs="宋体"/>
          <w:spacing w:val="-4"/>
          <w:sz w:val="21"/>
          <w:szCs w:val="21"/>
          <w:lang w:val="en-US" w:eastAsia="zh-CN"/>
          <w14:textOutline w14:w="3831" w14:cap="flat" w14:cmpd="sng">
            <w14:solidFill>
              <w14:srgbClr w14:val="000000"/>
            </w14:solidFill>
            <w14:prstDash w14:val="solid"/>
            <w14:miter w14:val="0"/>
          </w14:textOutline>
        </w:rPr>
        <w:t xml:space="preserve">  </w:t>
      </w:r>
      <w:r>
        <w:rPr>
          <w:rFonts w:ascii="宋体" w:hAnsi="宋体" w:eastAsia="宋体" w:cs="宋体"/>
          <w:spacing w:val="-4"/>
          <w:sz w:val="21"/>
          <w:szCs w:val="21"/>
          <w14:textOutline w14:w="3831" w14:cap="flat" w14:cmpd="sng">
            <w14:solidFill>
              <w14:srgbClr w14:val="000000"/>
            </w14:solidFill>
            <w14:prstDash w14:val="solid"/>
            <w14:miter w14:val="0"/>
          </w14:textOutline>
        </w:rPr>
        <w:t>临时占地计划表</w:t>
      </w:r>
      <w:r>
        <w:rPr>
          <w:rFonts w:hint="eastAsia" w:ascii="宋体" w:hAnsi="宋体" w:eastAsia="宋体" w:cs="宋体"/>
          <w:spacing w:val="-1"/>
          <w:sz w:val="21"/>
          <w:szCs w:val="21"/>
          <w:lang w:eastAsia="zh-CN"/>
          <w14:textOutline w14:w="3831" w14:cap="flat" w14:cmpd="sng">
            <w14:solidFill>
              <w14:srgbClr w14:val="000000"/>
            </w14:solidFill>
            <w14:prstDash w14:val="solid"/>
            <w14:miter w14:val="0"/>
          </w14:textOutline>
        </w:rPr>
        <w:t>（</w:t>
      </w:r>
      <w:r>
        <w:rPr>
          <w:rFonts w:hint="eastAsia" w:ascii="宋体" w:hAnsi="宋体" w:eastAsia="宋体" w:cs="宋体"/>
          <w:spacing w:val="-1"/>
          <w:sz w:val="21"/>
          <w:szCs w:val="21"/>
          <w:lang w:val="en-US" w:eastAsia="zh-CN"/>
          <w14:textOutline w14:w="3831" w14:cap="flat" w14:cmpd="sng">
            <w14:solidFill>
              <w14:srgbClr w14:val="000000"/>
            </w14:solidFill>
            <w14:prstDash w14:val="solid"/>
            <w14:miter w14:val="0"/>
          </w14:textOutline>
        </w:rPr>
        <w:t>参考）</w:t>
      </w:r>
    </w:p>
    <w:p>
      <w:pPr>
        <w:spacing w:before="33"/>
      </w:pPr>
    </w:p>
    <w:p>
      <w:pPr>
        <w:spacing w:before="32"/>
      </w:pPr>
    </w:p>
    <w:tbl>
      <w:tblPr>
        <w:tblStyle w:val="68"/>
        <w:tblW w:w="884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44"/>
        <w:gridCol w:w="393"/>
        <w:gridCol w:w="396"/>
        <w:gridCol w:w="599"/>
        <w:gridCol w:w="599"/>
        <w:gridCol w:w="600"/>
        <w:gridCol w:w="1549"/>
        <w:gridCol w:w="611"/>
        <w:gridCol w:w="624"/>
        <w:gridCol w:w="6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2844" w:type="dxa"/>
            <w:vMerge w:val="restart"/>
            <w:tcBorders>
              <w:bottom w:val="nil"/>
            </w:tcBorders>
            <w:vAlign w:val="top"/>
          </w:tcPr>
          <w:p>
            <w:pPr>
              <w:keepNext w:val="0"/>
              <w:keepLines w:val="0"/>
              <w:suppressLineNumbers w:val="0"/>
              <w:spacing w:before="0" w:beforeAutospacing="0" w:after="0" w:afterAutospacing="0" w:line="255" w:lineRule="auto"/>
              <w:ind w:left="0" w:right="0"/>
              <w:rPr>
                <w:rFonts w:hint="default" w:ascii="Arial"/>
                <w:sz w:val="21"/>
              </w:rPr>
            </w:pPr>
          </w:p>
          <w:p>
            <w:pPr>
              <w:keepNext w:val="0"/>
              <w:keepLines w:val="0"/>
              <w:suppressLineNumbers w:val="0"/>
              <w:spacing w:before="0" w:beforeAutospacing="0" w:after="0" w:afterAutospacing="0" w:line="255" w:lineRule="auto"/>
              <w:ind w:left="0" w:right="0"/>
              <w:rPr>
                <w:rFonts w:hint="default" w:ascii="Arial"/>
                <w:sz w:val="21"/>
              </w:rPr>
            </w:pPr>
          </w:p>
          <w:p>
            <w:pPr>
              <w:pStyle w:val="72"/>
              <w:keepNext w:val="0"/>
              <w:keepLines w:val="0"/>
              <w:suppressLineNumbers w:val="0"/>
              <w:spacing w:before="68" w:beforeAutospacing="0" w:after="0" w:afterAutospacing="0" w:line="222" w:lineRule="auto"/>
              <w:ind w:left="797" w:right="0"/>
              <w:rPr>
                <w:rFonts w:hint="default"/>
              </w:rPr>
            </w:pPr>
            <w:r>
              <w:rPr>
                <w:rFonts w:hint="default"/>
                <w:spacing w:val="-5"/>
              </w:rPr>
              <w:t>用途</w:t>
            </w:r>
          </w:p>
        </w:tc>
        <w:tc>
          <w:tcPr>
            <w:tcW w:w="2587" w:type="dxa"/>
            <w:gridSpan w:val="5"/>
            <w:vAlign w:val="top"/>
          </w:tcPr>
          <w:p>
            <w:pPr>
              <w:pStyle w:val="72"/>
              <w:keepNext w:val="0"/>
              <w:keepLines w:val="0"/>
              <w:suppressLineNumbers w:val="0"/>
              <w:spacing w:before="152" w:beforeAutospacing="0" w:after="0" w:afterAutospacing="0" w:line="249" w:lineRule="exact"/>
              <w:ind w:left="444" w:right="0"/>
              <w:rPr>
                <w:rFonts w:hint="default"/>
              </w:rPr>
            </w:pPr>
            <w:r>
              <w:rPr>
                <w:rFonts w:hint="default"/>
                <w:spacing w:val="-3"/>
                <w:position w:val="-3"/>
              </w:rPr>
              <w:t>面积（</w:t>
            </w:r>
            <w:r>
              <w:rPr>
                <w:rFonts w:hint="default" w:ascii="Times New Roman" w:hAnsi="Times New Roman" w:eastAsia="Times New Roman" w:cs="Times New Roman"/>
                <w:spacing w:val="-3"/>
                <w:position w:val="-3"/>
              </w:rPr>
              <w:t>m</w:t>
            </w:r>
            <w:r>
              <w:rPr>
                <w:rFonts w:hint="default" w:ascii="Times New Roman" w:hAnsi="Times New Roman" w:eastAsia="Times New Roman" w:cs="Times New Roman"/>
                <w:spacing w:val="-3"/>
                <w:position w:val="6"/>
              </w:rPr>
              <w:t>2</w:t>
            </w:r>
            <w:r>
              <w:rPr>
                <w:rFonts w:hint="default"/>
                <w:spacing w:val="-3"/>
                <w:position w:val="-3"/>
              </w:rPr>
              <w:t>）</w:t>
            </w:r>
          </w:p>
        </w:tc>
        <w:tc>
          <w:tcPr>
            <w:tcW w:w="1549" w:type="dxa"/>
            <w:vMerge w:val="restart"/>
            <w:tcBorders>
              <w:bottom w:val="nil"/>
            </w:tcBorders>
            <w:vAlign w:val="top"/>
          </w:tcPr>
          <w:p>
            <w:pPr>
              <w:pStyle w:val="72"/>
              <w:keepNext w:val="0"/>
              <w:keepLines w:val="0"/>
              <w:suppressLineNumbers w:val="0"/>
              <w:tabs>
                <w:tab w:val="left" w:pos="425"/>
              </w:tabs>
              <w:spacing w:before="131" w:beforeAutospacing="0" w:after="0" w:afterAutospacing="0" w:line="232" w:lineRule="auto"/>
              <w:ind w:left="3" w:right="273" w:firstLine="372"/>
              <w:jc w:val="both"/>
              <w:rPr>
                <w:rFonts w:hint="eastAsia"/>
                <w:spacing w:val="-7"/>
                <w:u w:val="single"/>
                <w:lang w:val="en-US" w:eastAsia="zh-CN"/>
              </w:rPr>
            </w:pPr>
            <w:r>
              <w:rPr>
                <w:rFonts w:hint="default"/>
                <w:spacing w:val="-5"/>
              </w:rPr>
              <w:t>需用时间</w:t>
            </w:r>
            <w:r>
              <w:rPr>
                <w:rFonts w:hint="default"/>
                <w:u w:val="single" w:color="auto"/>
              </w:rPr>
              <w:tab/>
            </w:r>
            <w:r>
              <w:rPr>
                <w:rFonts w:hint="default"/>
                <w:spacing w:val="-10"/>
              </w:rPr>
              <w:t>年</w:t>
            </w:r>
            <w:r>
              <w:rPr>
                <w:rFonts w:hint="eastAsia"/>
                <w:spacing w:val="-10"/>
                <w:u w:val="single"/>
                <w:lang w:val="en-US" w:eastAsia="zh-CN"/>
              </w:rPr>
              <w:t xml:space="preserve">  </w:t>
            </w:r>
            <w:r>
              <w:rPr>
                <w:rFonts w:hint="default"/>
                <w:spacing w:val="-10"/>
              </w:rPr>
              <w:t>月</w:t>
            </w:r>
            <w:r>
              <w:rPr>
                <w:rFonts w:hint="default"/>
                <w:spacing w:val="-7"/>
              </w:rPr>
              <w:t>至</w:t>
            </w:r>
            <w:r>
              <w:rPr>
                <w:rFonts w:hint="eastAsia"/>
                <w:spacing w:val="-7"/>
                <w:u w:val="single"/>
                <w:lang w:val="en-US" w:eastAsia="zh-CN"/>
              </w:rPr>
              <w:t xml:space="preserve"> </w:t>
            </w:r>
          </w:p>
          <w:p>
            <w:pPr>
              <w:pStyle w:val="72"/>
              <w:keepNext w:val="0"/>
              <w:keepLines w:val="0"/>
              <w:suppressLineNumbers w:val="0"/>
              <w:tabs>
                <w:tab w:val="left" w:pos="425"/>
              </w:tabs>
              <w:spacing w:before="131" w:beforeAutospacing="0" w:after="0" w:afterAutospacing="0" w:line="232" w:lineRule="auto"/>
              <w:ind w:left="0" w:right="273"/>
              <w:jc w:val="both"/>
              <w:rPr>
                <w:rFonts w:hint="default"/>
              </w:rPr>
            </w:pPr>
            <w:r>
              <w:rPr>
                <w:rFonts w:hint="eastAsia"/>
                <w:spacing w:val="-7"/>
                <w:u w:val="none"/>
                <w:lang w:val="en-US" w:eastAsia="zh-CN"/>
              </w:rPr>
              <w:t xml:space="preserve"> </w:t>
            </w:r>
            <w:r>
              <w:rPr>
                <w:rFonts w:hint="eastAsia"/>
                <w:spacing w:val="-7"/>
                <w:u w:val="single"/>
                <w:lang w:val="en-US" w:eastAsia="zh-CN"/>
              </w:rPr>
              <w:t xml:space="preserve">   </w:t>
            </w:r>
            <w:r>
              <w:rPr>
                <w:rFonts w:hint="default"/>
                <w:spacing w:val="-7"/>
              </w:rPr>
              <w:t>年</w:t>
            </w:r>
            <w:r>
              <w:rPr>
                <w:rFonts w:hint="eastAsia"/>
                <w:spacing w:val="-7"/>
                <w:u w:val="single"/>
                <w:lang w:val="en-US" w:eastAsia="zh-CN"/>
              </w:rPr>
              <w:t xml:space="preserve">   </w:t>
            </w:r>
            <w:r>
              <w:rPr>
                <w:rFonts w:hint="default"/>
                <w:spacing w:val="-7"/>
              </w:rPr>
              <w:t>月</w:t>
            </w:r>
          </w:p>
        </w:tc>
        <w:tc>
          <w:tcPr>
            <w:tcW w:w="1865" w:type="dxa"/>
            <w:gridSpan w:val="3"/>
            <w:vAlign w:val="top"/>
          </w:tcPr>
          <w:p>
            <w:pPr>
              <w:pStyle w:val="72"/>
              <w:keepNext w:val="0"/>
              <w:keepLines w:val="0"/>
              <w:suppressLineNumbers w:val="0"/>
              <w:spacing w:before="130" w:beforeAutospacing="0" w:after="0" w:afterAutospacing="0" w:line="222" w:lineRule="auto"/>
              <w:ind w:left="511" w:right="0"/>
              <w:rPr>
                <w:rFonts w:hint="default"/>
              </w:rPr>
            </w:pPr>
            <w:r>
              <w:rPr>
                <w:rFonts w:hint="default"/>
                <w:spacing w:val="-2"/>
              </w:rPr>
              <w:t>用地位置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7" w:hRule="atLeast"/>
        </w:trPr>
        <w:tc>
          <w:tcPr>
            <w:tcW w:w="2844" w:type="dxa"/>
            <w:vMerge w:val="continue"/>
            <w:tcBorders>
              <w:top w:val="nil"/>
            </w:tcBorders>
            <w:vAlign w:val="top"/>
          </w:tcPr>
          <w:p>
            <w:pPr>
              <w:keepNext w:val="0"/>
              <w:keepLines w:val="0"/>
              <w:suppressLineNumbers w:val="0"/>
              <w:spacing w:before="0" w:beforeAutospacing="0" w:after="0" w:afterAutospacing="0"/>
              <w:ind w:left="0" w:right="0"/>
              <w:rPr>
                <w:rFonts w:hint="default" w:ascii="Arial"/>
                <w:sz w:val="21"/>
              </w:rPr>
            </w:pPr>
          </w:p>
        </w:tc>
        <w:tc>
          <w:tcPr>
            <w:tcW w:w="393" w:type="dxa"/>
            <w:textDirection w:val="tbRlV"/>
            <w:vAlign w:val="top"/>
          </w:tcPr>
          <w:p>
            <w:pPr>
              <w:pStyle w:val="72"/>
              <w:keepNext w:val="0"/>
              <w:keepLines w:val="0"/>
              <w:suppressLineNumbers w:val="0"/>
              <w:spacing w:before="86" w:beforeAutospacing="0" w:after="0" w:afterAutospacing="0" w:line="209" w:lineRule="auto"/>
              <w:ind w:left="401" w:right="0"/>
              <w:rPr>
                <w:rFonts w:hint="default"/>
              </w:rPr>
            </w:pPr>
            <w:r>
              <w:rPr>
                <w:rFonts w:hint="default"/>
                <w:spacing w:val="31"/>
              </w:rPr>
              <w:t>菜地</w:t>
            </w:r>
          </w:p>
        </w:tc>
        <w:tc>
          <w:tcPr>
            <w:tcW w:w="396" w:type="dxa"/>
            <w:textDirection w:val="tbRlV"/>
            <w:vAlign w:val="top"/>
          </w:tcPr>
          <w:p>
            <w:pPr>
              <w:pStyle w:val="72"/>
              <w:keepNext w:val="0"/>
              <w:keepLines w:val="0"/>
              <w:suppressLineNumbers w:val="0"/>
              <w:spacing w:before="89" w:beforeAutospacing="0" w:after="0" w:afterAutospacing="0" w:line="207" w:lineRule="auto"/>
              <w:ind w:left="401" w:right="0"/>
              <w:rPr>
                <w:rFonts w:hint="default"/>
              </w:rPr>
            </w:pPr>
            <w:r>
              <w:rPr>
                <w:rFonts w:hint="default"/>
                <w:spacing w:val="31"/>
              </w:rPr>
              <w:t>水田</w:t>
            </w:r>
          </w:p>
        </w:tc>
        <w:tc>
          <w:tcPr>
            <w:tcW w:w="599" w:type="dxa"/>
            <w:textDirection w:val="tbRlV"/>
            <w:vAlign w:val="top"/>
          </w:tcPr>
          <w:p>
            <w:pPr>
              <w:pStyle w:val="72"/>
              <w:keepNext w:val="0"/>
              <w:keepLines w:val="0"/>
              <w:suppressLineNumbers w:val="0"/>
              <w:spacing w:before="292" w:beforeAutospacing="0" w:after="0" w:afterAutospacing="0" w:line="210" w:lineRule="auto"/>
              <w:ind w:left="401" w:right="0"/>
              <w:rPr>
                <w:rFonts w:hint="default"/>
              </w:rPr>
            </w:pPr>
            <w:r>
              <w:rPr>
                <w:rFonts w:hint="default"/>
                <w:spacing w:val="31"/>
              </w:rPr>
              <w:t>旱地</w:t>
            </w:r>
          </w:p>
        </w:tc>
        <w:tc>
          <w:tcPr>
            <w:tcW w:w="599" w:type="dxa"/>
            <w:textDirection w:val="tbRlV"/>
            <w:vAlign w:val="top"/>
          </w:tcPr>
          <w:p>
            <w:pPr>
              <w:pStyle w:val="72"/>
              <w:keepNext w:val="0"/>
              <w:keepLines w:val="0"/>
              <w:suppressLineNumbers w:val="0"/>
              <w:spacing w:before="291" w:beforeAutospacing="0" w:after="0" w:afterAutospacing="0" w:line="206" w:lineRule="auto"/>
              <w:ind w:left="401" w:right="0"/>
              <w:rPr>
                <w:rFonts w:hint="default"/>
              </w:rPr>
            </w:pPr>
            <w:r>
              <w:rPr>
                <w:rFonts w:hint="default"/>
                <w:spacing w:val="31"/>
              </w:rPr>
              <w:t>果园</w:t>
            </w:r>
          </w:p>
        </w:tc>
        <w:tc>
          <w:tcPr>
            <w:tcW w:w="600" w:type="dxa"/>
            <w:textDirection w:val="tbRlV"/>
            <w:vAlign w:val="top"/>
          </w:tcPr>
          <w:p>
            <w:pPr>
              <w:pStyle w:val="72"/>
              <w:keepNext w:val="0"/>
              <w:keepLines w:val="0"/>
              <w:suppressLineNumbers w:val="0"/>
              <w:spacing w:before="291" w:beforeAutospacing="0" w:after="0" w:afterAutospacing="0" w:line="209" w:lineRule="auto"/>
              <w:ind w:left="401" w:right="0"/>
              <w:rPr>
                <w:rFonts w:hint="default"/>
              </w:rPr>
            </w:pPr>
            <w:r>
              <w:rPr>
                <w:rFonts w:hint="default"/>
                <w:spacing w:val="31"/>
              </w:rPr>
              <w:t>荒地</w:t>
            </w:r>
          </w:p>
        </w:tc>
        <w:tc>
          <w:tcPr>
            <w:tcW w:w="1549" w:type="dxa"/>
            <w:vMerge w:val="continue"/>
            <w:tcBorders>
              <w:top w:val="nil"/>
            </w:tcBorders>
            <w:vAlign w:val="top"/>
          </w:tcPr>
          <w:p>
            <w:pPr>
              <w:keepNext w:val="0"/>
              <w:keepLines w:val="0"/>
              <w:suppressLineNumbers w:val="0"/>
              <w:spacing w:before="0" w:beforeAutospacing="0" w:after="0" w:afterAutospacing="0"/>
              <w:ind w:left="0" w:right="0"/>
              <w:rPr>
                <w:rFonts w:hint="default" w:ascii="Arial"/>
                <w:sz w:val="21"/>
              </w:rPr>
            </w:pPr>
          </w:p>
        </w:tc>
        <w:tc>
          <w:tcPr>
            <w:tcW w:w="611" w:type="dxa"/>
            <w:vAlign w:val="top"/>
          </w:tcPr>
          <w:p>
            <w:pPr>
              <w:pStyle w:val="72"/>
              <w:keepNext w:val="0"/>
              <w:keepLines w:val="0"/>
              <w:suppressLineNumbers w:val="0"/>
              <w:spacing w:before="305" w:beforeAutospacing="0" w:after="0" w:afterAutospacing="0" w:line="221" w:lineRule="auto"/>
              <w:ind w:left="97" w:right="0"/>
              <w:rPr>
                <w:rFonts w:hint="default"/>
              </w:rPr>
            </w:pPr>
            <w:r>
              <w:rPr>
                <w:rFonts w:hint="default"/>
                <w:spacing w:val="-2"/>
              </w:rPr>
              <w:t>桩号</w:t>
            </w:r>
          </w:p>
        </w:tc>
        <w:tc>
          <w:tcPr>
            <w:tcW w:w="624" w:type="dxa"/>
            <w:vAlign w:val="top"/>
          </w:tcPr>
          <w:p>
            <w:pPr>
              <w:pStyle w:val="72"/>
              <w:keepNext w:val="0"/>
              <w:keepLines w:val="0"/>
              <w:suppressLineNumbers w:val="0"/>
              <w:spacing w:before="120" w:beforeAutospacing="0" w:after="0" w:afterAutospacing="0" w:line="399" w:lineRule="exact"/>
              <w:ind w:left="110" w:right="0"/>
              <w:rPr>
                <w:rFonts w:hint="default"/>
              </w:rPr>
            </w:pPr>
            <w:r>
              <w:rPr>
                <w:rFonts w:hint="default"/>
                <w:spacing w:val="-2"/>
                <w:position w:val="14"/>
              </w:rPr>
              <w:t>左侧</w:t>
            </w:r>
          </w:p>
          <w:p>
            <w:pPr>
              <w:pStyle w:val="72"/>
              <w:keepNext w:val="0"/>
              <w:keepLines w:val="0"/>
              <w:suppressLineNumbers w:val="0"/>
              <w:spacing w:before="0" w:beforeAutospacing="0" w:after="0" w:afterAutospacing="0" w:line="280" w:lineRule="exact"/>
              <w:ind w:left="0" w:right="2"/>
              <w:jc w:val="right"/>
              <w:rPr>
                <w:rFonts w:hint="default"/>
              </w:rPr>
            </w:pPr>
            <w:r>
              <w:rPr>
                <w:rFonts w:hint="default"/>
                <w:spacing w:val="-5"/>
                <w:position w:val="1"/>
              </w:rPr>
              <w:t>（</w:t>
            </w:r>
            <w:r>
              <w:rPr>
                <w:rFonts w:hint="default" w:ascii="Times New Roman" w:hAnsi="Times New Roman" w:eastAsia="Times New Roman" w:cs="Times New Roman"/>
                <w:spacing w:val="-5"/>
                <w:position w:val="1"/>
              </w:rPr>
              <w:t>m</w:t>
            </w:r>
            <w:r>
              <w:rPr>
                <w:rFonts w:hint="default"/>
                <w:spacing w:val="-5"/>
                <w:position w:val="1"/>
              </w:rPr>
              <w:t>）</w:t>
            </w:r>
          </w:p>
        </w:tc>
        <w:tc>
          <w:tcPr>
            <w:tcW w:w="630" w:type="dxa"/>
            <w:vAlign w:val="top"/>
          </w:tcPr>
          <w:p>
            <w:pPr>
              <w:pStyle w:val="72"/>
              <w:keepNext w:val="0"/>
              <w:keepLines w:val="0"/>
              <w:suppressLineNumbers w:val="0"/>
              <w:spacing w:before="120" w:beforeAutospacing="0" w:after="0" w:afterAutospacing="0" w:line="399" w:lineRule="exact"/>
              <w:ind w:left="110" w:right="0"/>
              <w:rPr>
                <w:rFonts w:hint="default"/>
              </w:rPr>
            </w:pPr>
            <w:r>
              <w:rPr>
                <w:rFonts w:hint="default"/>
                <w:spacing w:val="-2"/>
                <w:position w:val="14"/>
              </w:rPr>
              <w:t>右侧</w:t>
            </w:r>
          </w:p>
          <w:p>
            <w:pPr>
              <w:pStyle w:val="72"/>
              <w:keepNext w:val="0"/>
              <w:keepLines w:val="0"/>
              <w:suppressLineNumbers w:val="0"/>
              <w:spacing w:before="0" w:beforeAutospacing="0" w:after="0" w:afterAutospacing="0" w:line="280" w:lineRule="exact"/>
              <w:ind w:left="40" w:right="0"/>
              <w:rPr>
                <w:rFonts w:hint="default"/>
              </w:rPr>
            </w:pPr>
            <w:r>
              <w:rPr>
                <w:rFonts w:hint="default"/>
                <w:spacing w:val="-5"/>
                <w:position w:val="1"/>
              </w:rPr>
              <w:t>（</w:t>
            </w:r>
            <w:r>
              <w:rPr>
                <w:rFonts w:hint="default" w:ascii="Times New Roman" w:hAnsi="Times New Roman" w:eastAsia="Times New Roman" w:cs="Times New Roman"/>
                <w:spacing w:val="-5"/>
                <w:position w:val="1"/>
              </w:rPr>
              <w:t>m</w:t>
            </w:r>
            <w:r>
              <w:rPr>
                <w:rFonts w:hint="default"/>
                <w:spacing w:val="-5"/>
                <w:position w:val="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2844" w:type="dxa"/>
            <w:vAlign w:val="top"/>
          </w:tcPr>
          <w:p>
            <w:pPr>
              <w:pStyle w:val="72"/>
              <w:keepNext w:val="0"/>
              <w:keepLines w:val="0"/>
              <w:suppressLineNumbers w:val="0"/>
              <w:spacing w:before="121" w:beforeAutospacing="0" w:after="0" w:afterAutospacing="0" w:line="221" w:lineRule="auto"/>
              <w:ind w:left="38" w:right="0"/>
              <w:rPr>
                <w:rFonts w:hint="default"/>
              </w:rPr>
            </w:pPr>
            <w:r>
              <w:rPr>
                <w:rFonts w:hint="default"/>
                <w:spacing w:val="-2"/>
              </w:rPr>
              <w:t>一、临时工程</w:t>
            </w:r>
          </w:p>
        </w:tc>
        <w:tc>
          <w:tcPr>
            <w:tcW w:w="393" w:type="dxa"/>
            <w:vAlign w:val="top"/>
          </w:tcPr>
          <w:p>
            <w:pPr>
              <w:keepNext w:val="0"/>
              <w:keepLines w:val="0"/>
              <w:suppressLineNumbers w:val="0"/>
              <w:spacing w:before="0" w:beforeAutospacing="0" w:after="0" w:afterAutospacing="0"/>
              <w:ind w:left="0" w:right="0"/>
              <w:rPr>
                <w:rFonts w:hint="default" w:ascii="Arial"/>
                <w:sz w:val="21"/>
              </w:rPr>
            </w:pPr>
          </w:p>
        </w:tc>
        <w:tc>
          <w:tcPr>
            <w:tcW w:w="396"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600" w:type="dxa"/>
            <w:vAlign w:val="top"/>
          </w:tcPr>
          <w:p>
            <w:pPr>
              <w:keepNext w:val="0"/>
              <w:keepLines w:val="0"/>
              <w:suppressLineNumbers w:val="0"/>
              <w:spacing w:before="0" w:beforeAutospacing="0" w:after="0" w:afterAutospacing="0"/>
              <w:ind w:left="0" w:right="0"/>
              <w:rPr>
                <w:rFonts w:hint="default" w:ascii="Arial"/>
                <w:sz w:val="21"/>
              </w:rPr>
            </w:pPr>
          </w:p>
        </w:tc>
        <w:tc>
          <w:tcPr>
            <w:tcW w:w="1549" w:type="dxa"/>
            <w:vAlign w:val="top"/>
          </w:tcPr>
          <w:p>
            <w:pPr>
              <w:keepNext w:val="0"/>
              <w:keepLines w:val="0"/>
              <w:suppressLineNumbers w:val="0"/>
              <w:spacing w:before="0" w:beforeAutospacing="0" w:after="0" w:afterAutospacing="0"/>
              <w:ind w:left="0" w:right="0"/>
              <w:rPr>
                <w:rFonts w:hint="default" w:ascii="Arial"/>
                <w:sz w:val="21"/>
              </w:rPr>
            </w:pPr>
          </w:p>
        </w:tc>
        <w:tc>
          <w:tcPr>
            <w:tcW w:w="611" w:type="dxa"/>
            <w:vAlign w:val="top"/>
          </w:tcPr>
          <w:p>
            <w:pPr>
              <w:keepNext w:val="0"/>
              <w:keepLines w:val="0"/>
              <w:suppressLineNumbers w:val="0"/>
              <w:spacing w:before="0" w:beforeAutospacing="0" w:after="0" w:afterAutospacing="0"/>
              <w:ind w:left="0" w:right="0"/>
              <w:rPr>
                <w:rFonts w:hint="default" w:ascii="Arial"/>
                <w:sz w:val="21"/>
              </w:rPr>
            </w:pPr>
          </w:p>
        </w:tc>
        <w:tc>
          <w:tcPr>
            <w:tcW w:w="624" w:type="dxa"/>
            <w:vAlign w:val="top"/>
          </w:tcPr>
          <w:p>
            <w:pPr>
              <w:keepNext w:val="0"/>
              <w:keepLines w:val="0"/>
              <w:suppressLineNumbers w:val="0"/>
              <w:spacing w:before="0" w:beforeAutospacing="0" w:after="0" w:afterAutospacing="0"/>
              <w:ind w:left="0" w:right="0"/>
              <w:rPr>
                <w:rFonts w:hint="default" w:ascii="Arial"/>
                <w:sz w:val="21"/>
              </w:rPr>
            </w:pPr>
          </w:p>
        </w:tc>
        <w:tc>
          <w:tcPr>
            <w:tcW w:w="63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2844" w:type="dxa"/>
            <w:vAlign w:val="top"/>
          </w:tcPr>
          <w:p>
            <w:pPr>
              <w:pStyle w:val="72"/>
              <w:keepNext w:val="0"/>
              <w:keepLines w:val="0"/>
              <w:suppressLineNumbers w:val="0"/>
              <w:spacing w:before="123" w:beforeAutospacing="0" w:after="0" w:afterAutospacing="0" w:line="221" w:lineRule="auto"/>
              <w:ind w:left="262" w:right="0"/>
              <w:rPr>
                <w:rFonts w:hint="default"/>
              </w:rPr>
            </w:pPr>
            <w:r>
              <w:rPr>
                <w:rFonts w:hint="default" w:ascii="Times New Roman" w:hAnsi="Times New Roman" w:eastAsia="Times New Roman" w:cs="Times New Roman"/>
                <w:spacing w:val="-6"/>
              </w:rPr>
              <w:t>1.</w:t>
            </w:r>
            <w:r>
              <w:rPr>
                <w:rFonts w:hint="default"/>
                <w:spacing w:val="-6"/>
              </w:rPr>
              <w:t>便道</w:t>
            </w:r>
          </w:p>
        </w:tc>
        <w:tc>
          <w:tcPr>
            <w:tcW w:w="393" w:type="dxa"/>
            <w:vAlign w:val="top"/>
          </w:tcPr>
          <w:p>
            <w:pPr>
              <w:keepNext w:val="0"/>
              <w:keepLines w:val="0"/>
              <w:suppressLineNumbers w:val="0"/>
              <w:spacing w:before="0" w:beforeAutospacing="0" w:after="0" w:afterAutospacing="0"/>
              <w:ind w:left="0" w:right="0"/>
              <w:rPr>
                <w:rFonts w:hint="default" w:ascii="Arial"/>
                <w:sz w:val="21"/>
              </w:rPr>
            </w:pPr>
          </w:p>
        </w:tc>
        <w:tc>
          <w:tcPr>
            <w:tcW w:w="396"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600" w:type="dxa"/>
            <w:vAlign w:val="top"/>
          </w:tcPr>
          <w:p>
            <w:pPr>
              <w:keepNext w:val="0"/>
              <w:keepLines w:val="0"/>
              <w:suppressLineNumbers w:val="0"/>
              <w:spacing w:before="0" w:beforeAutospacing="0" w:after="0" w:afterAutospacing="0"/>
              <w:ind w:left="0" w:right="0"/>
              <w:rPr>
                <w:rFonts w:hint="default" w:ascii="Arial"/>
                <w:sz w:val="21"/>
              </w:rPr>
            </w:pPr>
          </w:p>
        </w:tc>
        <w:tc>
          <w:tcPr>
            <w:tcW w:w="1549" w:type="dxa"/>
            <w:vAlign w:val="top"/>
          </w:tcPr>
          <w:p>
            <w:pPr>
              <w:keepNext w:val="0"/>
              <w:keepLines w:val="0"/>
              <w:suppressLineNumbers w:val="0"/>
              <w:spacing w:before="0" w:beforeAutospacing="0" w:after="0" w:afterAutospacing="0"/>
              <w:ind w:left="0" w:right="0"/>
              <w:rPr>
                <w:rFonts w:hint="default" w:ascii="Arial"/>
                <w:sz w:val="21"/>
              </w:rPr>
            </w:pPr>
          </w:p>
        </w:tc>
        <w:tc>
          <w:tcPr>
            <w:tcW w:w="611" w:type="dxa"/>
            <w:vAlign w:val="top"/>
          </w:tcPr>
          <w:p>
            <w:pPr>
              <w:keepNext w:val="0"/>
              <w:keepLines w:val="0"/>
              <w:suppressLineNumbers w:val="0"/>
              <w:spacing w:before="0" w:beforeAutospacing="0" w:after="0" w:afterAutospacing="0"/>
              <w:ind w:left="0" w:right="0"/>
              <w:rPr>
                <w:rFonts w:hint="default" w:ascii="Arial"/>
                <w:sz w:val="21"/>
              </w:rPr>
            </w:pPr>
          </w:p>
        </w:tc>
        <w:tc>
          <w:tcPr>
            <w:tcW w:w="624" w:type="dxa"/>
            <w:vAlign w:val="top"/>
          </w:tcPr>
          <w:p>
            <w:pPr>
              <w:keepNext w:val="0"/>
              <w:keepLines w:val="0"/>
              <w:suppressLineNumbers w:val="0"/>
              <w:spacing w:before="0" w:beforeAutospacing="0" w:after="0" w:afterAutospacing="0"/>
              <w:ind w:left="0" w:right="0"/>
              <w:rPr>
                <w:rFonts w:hint="default" w:ascii="Arial"/>
                <w:sz w:val="21"/>
              </w:rPr>
            </w:pPr>
          </w:p>
        </w:tc>
        <w:tc>
          <w:tcPr>
            <w:tcW w:w="63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2844" w:type="dxa"/>
            <w:vAlign w:val="top"/>
          </w:tcPr>
          <w:p>
            <w:pPr>
              <w:pStyle w:val="72"/>
              <w:keepNext w:val="0"/>
              <w:keepLines w:val="0"/>
              <w:suppressLineNumbers w:val="0"/>
              <w:spacing w:before="123" w:beforeAutospacing="0" w:after="0" w:afterAutospacing="0" w:line="221" w:lineRule="auto"/>
              <w:ind w:left="242" w:right="0"/>
              <w:rPr>
                <w:rFonts w:hint="default"/>
              </w:rPr>
            </w:pPr>
            <w:r>
              <w:rPr>
                <w:rFonts w:hint="default" w:ascii="Times New Roman" w:hAnsi="Times New Roman" w:eastAsia="Times New Roman" w:cs="Times New Roman"/>
                <w:spacing w:val="-1"/>
              </w:rPr>
              <w:t>2.</w:t>
            </w:r>
            <w:r>
              <w:rPr>
                <w:rFonts w:hint="default"/>
                <w:spacing w:val="-1"/>
              </w:rPr>
              <w:t>便桥</w:t>
            </w:r>
          </w:p>
        </w:tc>
        <w:tc>
          <w:tcPr>
            <w:tcW w:w="393" w:type="dxa"/>
            <w:vAlign w:val="top"/>
          </w:tcPr>
          <w:p>
            <w:pPr>
              <w:keepNext w:val="0"/>
              <w:keepLines w:val="0"/>
              <w:suppressLineNumbers w:val="0"/>
              <w:spacing w:before="0" w:beforeAutospacing="0" w:after="0" w:afterAutospacing="0"/>
              <w:ind w:left="0" w:right="0"/>
              <w:rPr>
                <w:rFonts w:hint="default" w:ascii="Arial"/>
                <w:sz w:val="21"/>
              </w:rPr>
            </w:pPr>
          </w:p>
        </w:tc>
        <w:tc>
          <w:tcPr>
            <w:tcW w:w="396"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600" w:type="dxa"/>
            <w:vAlign w:val="top"/>
          </w:tcPr>
          <w:p>
            <w:pPr>
              <w:keepNext w:val="0"/>
              <w:keepLines w:val="0"/>
              <w:suppressLineNumbers w:val="0"/>
              <w:spacing w:before="0" w:beforeAutospacing="0" w:after="0" w:afterAutospacing="0"/>
              <w:ind w:left="0" w:right="0"/>
              <w:rPr>
                <w:rFonts w:hint="default" w:ascii="Arial"/>
                <w:sz w:val="21"/>
              </w:rPr>
            </w:pPr>
          </w:p>
        </w:tc>
        <w:tc>
          <w:tcPr>
            <w:tcW w:w="1549" w:type="dxa"/>
            <w:vAlign w:val="top"/>
          </w:tcPr>
          <w:p>
            <w:pPr>
              <w:keepNext w:val="0"/>
              <w:keepLines w:val="0"/>
              <w:suppressLineNumbers w:val="0"/>
              <w:spacing w:before="0" w:beforeAutospacing="0" w:after="0" w:afterAutospacing="0"/>
              <w:ind w:left="0" w:right="0"/>
              <w:rPr>
                <w:rFonts w:hint="default" w:ascii="Arial"/>
                <w:sz w:val="21"/>
              </w:rPr>
            </w:pPr>
          </w:p>
        </w:tc>
        <w:tc>
          <w:tcPr>
            <w:tcW w:w="611" w:type="dxa"/>
            <w:vAlign w:val="top"/>
          </w:tcPr>
          <w:p>
            <w:pPr>
              <w:keepNext w:val="0"/>
              <w:keepLines w:val="0"/>
              <w:suppressLineNumbers w:val="0"/>
              <w:spacing w:before="0" w:beforeAutospacing="0" w:after="0" w:afterAutospacing="0"/>
              <w:ind w:left="0" w:right="0"/>
              <w:rPr>
                <w:rFonts w:hint="default" w:ascii="Arial"/>
                <w:sz w:val="21"/>
              </w:rPr>
            </w:pPr>
          </w:p>
        </w:tc>
        <w:tc>
          <w:tcPr>
            <w:tcW w:w="624" w:type="dxa"/>
            <w:vAlign w:val="top"/>
          </w:tcPr>
          <w:p>
            <w:pPr>
              <w:keepNext w:val="0"/>
              <w:keepLines w:val="0"/>
              <w:suppressLineNumbers w:val="0"/>
              <w:spacing w:before="0" w:beforeAutospacing="0" w:after="0" w:afterAutospacing="0"/>
              <w:ind w:left="0" w:right="0"/>
              <w:rPr>
                <w:rFonts w:hint="default" w:ascii="Arial"/>
                <w:sz w:val="21"/>
              </w:rPr>
            </w:pPr>
          </w:p>
        </w:tc>
        <w:tc>
          <w:tcPr>
            <w:tcW w:w="63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2844" w:type="dxa"/>
            <w:vAlign w:val="top"/>
          </w:tcPr>
          <w:p>
            <w:pPr>
              <w:keepNext w:val="0"/>
              <w:keepLines w:val="0"/>
              <w:suppressLineNumbers w:val="0"/>
              <w:spacing w:before="204" w:beforeAutospacing="0" w:after="0" w:afterAutospacing="0" w:line="186" w:lineRule="auto"/>
              <w:ind w:left="246" w:right="0"/>
              <w:rPr>
                <w:rFonts w:hint="default" w:ascii="Times New Roman" w:hAnsi="Times New Roman" w:eastAsia="Times New Roman" w:cs="Times New Roman"/>
                <w:sz w:val="21"/>
                <w:szCs w:val="21"/>
              </w:rPr>
            </w:pPr>
            <w:r>
              <w:rPr>
                <w:rFonts w:hint="default" w:ascii="Times New Roman" w:hAnsi="Times New Roman" w:eastAsia="Times New Roman" w:cs="Times New Roman"/>
                <w:spacing w:val="-8"/>
                <w:sz w:val="21"/>
                <w:szCs w:val="21"/>
              </w:rPr>
              <w:t>3.……</w:t>
            </w:r>
          </w:p>
        </w:tc>
        <w:tc>
          <w:tcPr>
            <w:tcW w:w="393" w:type="dxa"/>
            <w:vAlign w:val="top"/>
          </w:tcPr>
          <w:p>
            <w:pPr>
              <w:keepNext w:val="0"/>
              <w:keepLines w:val="0"/>
              <w:suppressLineNumbers w:val="0"/>
              <w:spacing w:before="0" w:beforeAutospacing="0" w:after="0" w:afterAutospacing="0"/>
              <w:ind w:left="0" w:right="0"/>
              <w:rPr>
                <w:rFonts w:hint="default" w:ascii="Arial"/>
                <w:sz w:val="21"/>
              </w:rPr>
            </w:pPr>
          </w:p>
        </w:tc>
        <w:tc>
          <w:tcPr>
            <w:tcW w:w="396"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600" w:type="dxa"/>
            <w:vAlign w:val="top"/>
          </w:tcPr>
          <w:p>
            <w:pPr>
              <w:keepNext w:val="0"/>
              <w:keepLines w:val="0"/>
              <w:suppressLineNumbers w:val="0"/>
              <w:spacing w:before="0" w:beforeAutospacing="0" w:after="0" w:afterAutospacing="0"/>
              <w:ind w:left="0" w:right="0"/>
              <w:rPr>
                <w:rFonts w:hint="default" w:ascii="Arial"/>
                <w:sz w:val="21"/>
              </w:rPr>
            </w:pPr>
          </w:p>
        </w:tc>
        <w:tc>
          <w:tcPr>
            <w:tcW w:w="1549" w:type="dxa"/>
            <w:vAlign w:val="top"/>
          </w:tcPr>
          <w:p>
            <w:pPr>
              <w:keepNext w:val="0"/>
              <w:keepLines w:val="0"/>
              <w:suppressLineNumbers w:val="0"/>
              <w:spacing w:before="0" w:beforeAutospacing="0" w:after="0" w:afterAutospacing="0"/>
              <w:ind w:left="0" w:right="0"/>
              <w:rPr>
                <w:rFonts w:hint="default" w:ascii="Arial"/>
                <w:sz w:val="21"/>
              </w:rPr>
            </w:pPr>
          </w:p>
        </w:tc>
        <w:tc>
          <w:tcPr>
            <w:tcW w:w="611" w:type="dxa"/>
            <w:vAlign w:val="top"/>
          </w:tcPr>
          <w:p>
            <w:pPr>
              <w:keepNext w:val="0"/>
              <w:keepLines w:val="0"/>
              <w:suppressLineNumbers w:val="0"/>
              <w:spacing w:before="0" w:beforeAutospacing="0" w:after="0" w:afterAutospacing="0"/>
              <w:ind w:left="0" w:right="0"/>
              <w:rPr>
                <w:rFonts w:hint="default" w:ascii="Arial"/>
                <w:sz w:val="21"/>
              </w:rPr>
            </w:pPr>
          </w:p>
        </w:tc>
        <w:tc>
          <w:tcPr>
            <w:tcW w:w="624" w:type="dxa"/>
            <w:vAlign w:val="top"/>
          </w:tcPr>
          <w:p>
            <w:pPr>
              <w:keepNext w:val="0"/>
              <w:keepLines w:val="0"/>
              <w:suppressLineNumbers w:val="0"/>
              <w:spacing w:before="0" w:beforeAutospacing="0" w:after="0" w:afterAutospacing="0"/>
              <w:ind w:left="0" w:right="0"/>
              <w:rPr>
                <w:rFonts w:hint="default" w:ascii="Arial"/>
                <w:sz w:val="21"/>
              </w:rPr>
            </w:pPr>
          </w:p>
        </w:tc>
        <w:tc>
          <w:tcPr>
            <w:tcW w:w="63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2844" w:type="dxa"/>
            <w:vAlign w:val="top"/>
          </w:tcPr>
          <w:p>
            <w:pPr>
              <w:keepNext w:val="0"/>
              <w:keepLines w:val="0"/>
              <w:suppressLineNumbers w:val="0"/>
              <w:spacing w:before="0" w:beforeAutospacing="0" w:after="0" w:afterAutospacing="0" w:line="270" w:lineRule="auto"/>
              <w:ind w:left="0" w:right="0"/>
              <w:rPr>
                <w:rFonts w:hint="default" w:ascii="Arial"/>
                <w:sz w:val="21"/>
              </w:rPr>
            </w:pPr>
          </w:p>
          <w:p>
            <w:pPr>
              <w:keepNext w:val="0"/>
              <w:keepLines w:val="0"/>
              <w:suppressLineNumbers w:val="0"/>
              <w:spacing w:before="61" w:beforeAutospacing="0" w:after="0" w:afterAutospacing="0" w:line="62" w:lineRule="exact"/>
              <w:ind w:left="366" w:right="0"/>
              <w:rPr>
                <w:rFonts w:hint="default" w:ascii="Times New Roman" w:hAnsi="Times New Roman" w:eastAsia="Times New Roman" w:cs="Times New Roman"/>
                <w:sz w:val="21"/>
                <w:szCs w:val="21"/>
              </w:rPr>
            </w:pPr>
            <w:r>
              <w:rPr>
                <w:rFonts w:hint="default" w:ascii="Times New Roman" w:hAnsi="Times New Roman" w:eastAsia="Times New Roman" w:cs="Times New Roman"/>
                <w:spacing w:val="-6"/>
                <w:position w:val="1"/>
                <w:sz w:val="21"/>
                <w:szCs w:val="21"/>
              </w:rPr>
              <w:t>……</w:t>
            </w:r>
          </w:p>
        </w:tc>
        <w:tc>
          <w:tcPr>
            <w:tcW w:w="393" w:type="dxa"/>
            <w:vAlign w:val="top"/>
          </w:tcPr>
          <w:p>
            <w:pPr>
              <w:keepNext w:val="0"/>
              <w:keepLines w:val="0"/>
              <w:suppressLineNumbers w:val="0"/>
              <w:spacing w:before="0" w:beforeAutospacing="0" w:after="0" w:afterAutospacing="0"/>
              <w:ind w:left="0" w:right="0"/>
              <w:rPr>
                <w:rFonts w:hint="default" w:ascii="Arial"/>
                <w:sz w:val="21"/>
              </w:rPr>
            </w:pPr>
          </w:p>
        </w:tc>
        <w:tc>
          <w:tcPr>
            <w:tcW w:w="396"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600" w:type="dxa"/>
            <w:vAlign w:val="top"/>
          </w:tcPr>
          <w:p>
            <w:pPr>
              <w:keepNext w:val="0"/>
              <w:keepLines w:val="0"/>
              <w:suppressLineNumbers w:val="0"/>
              <w:spacing w:before="0" w:beforeAutospacing="0" w:after="0" w:afterAutospacing="0"/>
              <w:ind w:left="0" w:right="0"/>
              <w:rPr>
                <w:rFonts w:hint="default" w:ascii="Arial"/>
                <w:sz w:val="21"/>
              </w:rPr>
            </w:pPr>
          </w:p>
        </w:tc>
        <w:tc>
          <w:tcPr>
            <w:tcW w:w="1549" w:type="dxa"/>
            <w:vAlign w:val="top"/>
          </w:tcPr>
          <w:p>
            <w:pPr>
              <w:keepNext w:val="0"/>
              <w:keepLines w:val="0"/>
              <w:suppressLineNumbers w:val="0"/>
              <w:spacing w:before="0" w:beforeAutospacing="0" w:after="0" w:afterAutospacing="0"/>
              <w:ind w:left="0" w:right="0"/>
              <w:rPr>
                <w:rFonts w:hint="default" w:ascii="Arial"/>
                <w:sz w:val="21"/>
              </w:rPr>
            </w:pPr>
          </w:p>
        </w:tc>
        <w:tc>
          <w:tcPr>
            <w:tcW w:w="611" w:type="dxa"/>
            <w:vAlign w:val="top"/>
          </w:tcPr>
          <w:p>
            <w:pPr>
              <w:keepNext w:val="0"/>
              <w:keepLines w:val="0"/>
              <w:suppressLineNumbers w:val="0"/>
              <w:spacing w:before="0" w:beforeAutospacing="0" w:after="0" w:afterAutospacing="0"/>
              <w:ind w:left="0" w:right="0"/>
              <w:rPr>
                <w:rFonts w:hint="default" w:ascii="Arial"/>
                <w:sz w:val="21"/>
              </w:rPr>
            </w:pPr>
          </w:p>
        </w:tc>
        <w:tc>
          <w:tcPr>
            <w:tcW w:w="624" w:type="dxa"/>
            <w:vAlign w:val="top"/>
          </w:tcPr>
          <w:p>
            <w:pPr>
              <w:keepNext w:val="0"/>
              <w:keepLines w:val="0"/>
              <w:suppressLineNumbers w:val="0"/>
              <w:spacing w:before="0" w:beforeAutospacing="0" w:after="0" w:afterAutospacing="0"/>
              <w:ind w:left="0" w:right="0"/>
              <w:rPr>
                <w:rFonts w:hint="default" w:ascii="Arial"/>
                <w:sz w:val="21"/>
              </w:rPr>
            </w:pPr>
          </w:p>
        </w:tc>
        <w:tc>
          <w:tcPr>
            <w:tcW w:w="63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2844" w:type="dxa"/>
            <w:vAlign w:val="top"/>
          </w:tcPr>
          <w:p>
            <w:pPr>
              <w:pStyle w:val="72"/>
              <w:keepNext w:val="0"/>
              <w:keepLines w:val="0"/>
              <w:suppressLineNumbers w:val="0"/>
              <w:spacing w:before="128" w:beforeAutospacing="0" w:after="0" w:afterAutospacing="0" w:line="221" w:lineRule="auto"/>
              <w:ind w:left="38" w:right="0"/>
              <w:rPr>
                <w:rFonts w:hint="default"/>
              </w:rPr>
            </w:pPr>
            <w:r>
              <w:rPr>
                <w:rFonts w:hint="default"/>
                <w:spacing w:val="-1"/>
              </w:rPr>
              <w:t>二、生产及生活临时设施</w:t>
            </w:r>
          </w:p>
        </w:tc>
        <w:tc>
          <w:tcPr>
            <w:tcW w:w="393" w:type="dxa"/>
            <w:vAlign w:val="top"/>
          </w:tcPr>
          <w:p>
            <w:pPr>
              <w:keepNext w:val="0"/>
              <w:keepLines w:val="0"/>
              <w:suppressLineNumbers w:val="0"/>
              <w:spacing w:before="0" w:beforeAutospacing="0" w:after="0" w:afterAutospacing="0"/>
              <w:ind w:left="0" w:right="0"/>
              <w:rPr>
                <w:rFonts w:hint="default" w:ascii="Arial"/>
                <w:sz w:val="21"/>
              </w:rPr>
            </w:pPr>
          </w:p>
        </w:tc>
        <w:tc>
          <w:tcPr>
            <w:tcW w:w="396"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600" w:type="dxa"/>
            <w:vAlign w:val="top"/>
          </w:tcPr>
          <w:p>
            <w:pPr>
              <w:keepNext w:val="0"/>
              <w:keepLines w:val="0"/>
              <w:suppressLineNumbers w:val="0"/>
              <w:spacing w:before="0" w:beforeAutospacing="0" w:after="0" w:afterAutospacing="0"/>
              <w:ind w:left="0" w:right="0"/>
              <w:rPr>
                <w:rFonts w:hint="default" w:ascii="Arial"/>
                <w:sz w:val="21"/>
              </w:rPr>
            </w:pPr>
          </w:p>
        </w:tc>
        <w:tc>
          <w:tcPr>
            <w:tcW w:w="1549" w:type="dxa"/>
            <w:vAlign w:val="top"/>
          </w:tcPr>
          <w:p>
            <w:pPr>
              <w:keepNext w:val="0"/>
              <w:keepLines w:val="0"/>
              <w:suppressLineNumbers w:val="0"/>
              <w:spacing w:before="0" w:beforeAutospacing="0" w:after="0" w:afterAutospacing="0"/>
              <w:ind w:left="0" w:right="0"/>
              <w:rPr>
                <w:rFonts w:hint="default" w:ascii="Arial"/>
                <w:sz w:val="21"/>
              </w:rPr>
            </w:pPr>
          </w:p>
        </w:tc>
        <w:tc>
          <w:tcPr>
            <w:tcW w:w="611" w:type="dxa"/>
            <w:vAlign w:val="top"/>
          </w:tcPr>
          <w:p>
            <w:pPr>
              <w:keepNext w:val="0"/>
              <w:keepLines w:val="0"/>
              <w:suppressLineNumbers w:val="0"/>
              <w:spacing w:before="0" w:beforeAutospacing="0" w:after="0" w:afterAutospacing="0"/>
              <w:ind w:left="0" w:right="0"/>
              <w:rPr>
                <w:rFonts w:hint="default" w:ascii="Arial"/>
                <w:sz w:val="21"/>
              </w:rPr>
            </w:pPr>
          </w:p>
        </w:tc>
        <w:tc>
          <w:tcPr>
            <w:tcW w:w="624" w:type="dxa"/>
            <w:vAlign w:val="top"/>
          </w:tcPr>
          <w:p>
            <w:pPr>
              <w:keepNext w:val="0"/>
              <w:keepLines w:val="0"/>
              <w:suppressLineNumbers w:val="0"/>
              <w:spacing w:before="0" w:beforeAutospacing="0" w:after="0" w:afterAutospacing="0"/>
              <w:ind w:left="0" w:right="0"/>
              <w:rPr>
                <w:rFonts w:hint="default" w:ascii="Arial"/>
                <w:sz w:val="21"/>
              </w:rPr>
            </w:pPr>
          </w:p>
        </w:tc>
        <w:tc>
          <w:tcPr>
            <w:tcW w:w="63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2844" w:type="dxa"/>
            <w:vAlign w:val="top"/>
          </w:tcPr>
          <w:p>
            <w:pPr>
              <w:pStyle w:val="72"/>
              <w:keepNext w:val="0"/>
              <w:keepLines w:val="0"/>
              <w:suppressLineNumbers w:val="0"/>
              <w:spacing w:before="128" w:beforeAutospacing="0" w:after="0" w:afterAutospacing="0" w:line="221" w:lineRule="auto"/>
              <w:ind w:left="262" w:right="0"/>
              <w:rPr>
                <w:rFonts w:hint="default"/>
              </w:rPr>
            </w:pPr>
            <w:r>
              <w:rPr>
                <w:rFonts w:hint="default" w:ascii="Times New Roman" w:hAnsi="Times New Roman" w:eastAsia="Times New Roman" w:cs="Times New Roman"/>
                <w:spacing w:val="-4"/>
              </w:rPr>
              <w:t>1.</w:t>
            </w:r>
            <w:r>
              <w:rPr>
                <w:rFonts w:hint="default"/>
                <w:spacing w:val="-4"/>
              </w:rPr>
              <w:t>临时住房</w:t>
            </w:r>
          </w:p>
        </w:tc>
        <w:tc>
          <w:tcPr>
            <w:tcW w:w="393" w:type="dxa"/>
            <w:vAlign w:val="top"/>
          </w:tcPr>
          <w:p>
            <w:pPr>
              <w:keepNext w:val="0"/>
              <w:keepLines w:val="0"/>
              <w:suppressLineNumbers w:val="0"/>
              <w:spacing w:before="0" w:beforeAutospacing="0" w:after="0" w:afterAutospacing="0"/>
              <w:ind w:left="0" w:right="0"/>
              <w:rPr>
                <w:rFonts w:hint="default" w:ascii="Arial"/>
                <w:sz w:val="21"/>
              </w:rPr>
            </w:pPr>
          </w:p>
        </w:tc>
        <w:tc>
          <w:tcPr>
            <w:tcW w:w="396"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600" w:type="dxa"/>
            <w:vAlign w:val="top"/>
          </w:tcPr>
          <w:p>
            <w:pPr>
              <w:keepNext w:val="0"/>
              <w:keepLines w:val="0"/>
              <w:suppressLineNumbers w:val="0"/>
              <w:spacing w:before="0" w:beforeAutospacing="0" w:after="0" w:afterAutospacing="0"/>
              <w:ind w:left="0" w:right="0"/>
              <w:rPr>
                <w:rFonts w:hint="default" w:ascii="Arial"/>
                <w:sz w:val="21"/>
              </w:rPr>
            </w:pPr>
          </w:p>
        </w:tc>
        <w:tc>
          <w:tcPr>
            <w:tcW w:w="1549" w:type="dxa"/>
            <w:vAlign w:val="top"/>
          </w:tcPr>
          <w:p>
            <w:pPr>
              <w:keepNext w:val="0"/>
              <w:keepLines w:val="0"/>
              <w:suppressLineNumbers w:val="0"/>
              <w:spacing w:before="0" w:beforeAutospacing="0" w:after="0" w:afterAutospacing="0"/>
              <w:ind w:left="0" w:right="0"/>
              <w:rPr>
                <w:rFonts w:hint="default" w:ascii="Arial"/>
                <w:sz w:val="21"/>
              </w:rPr>
            </w:pPr>
          </w:p>
        </w:tc>
        <w:tc>
          <w:tcPr>
            <w:tcW w:w="611" w:type="dxa"/>
            <w:vAlign w:val="top"/>
          </w:tcPr>
          <w:p>
            <w:pPr>
              <w:keepNext w:val="0"/>
              <w:keepLines w:val="0"/>
              <w:suppressLineNumbers w:val="0"/>
              <w:spacing w:before="0" w:beforeAutospacing="0" w:after="0" w:afterAutospacing="0"/>
              <w:ind w:left="0" w:right="0"/>
              <w:rPr>
                <w:rFonts w:hint="default" w:ascii="Arial"/>
                <w:sz w:val="21"/>
              </w:rPr>
            </w:pPr>
          </w:p>
        </w:tc>
        <w:tc>
          <w:tcPr>
            <w:tcW w:w="624" w:type="dxa"/>
            <w:vAlign w:val="top"/>
          </w:tcPr>
          <w:p>
            <w:pPr>
              <w:keepNext w:val="0"/>
              <w:keepLines w:val="0"/>
              <w:suppressLineNumbers w:val="0"/>
              <w:spacing w:before="0" w:beforeAutospacing="0" w:after="0" w:afterAutospacing="0"/>
              <w:ind w:left="0" w:right="0"/>
              <w:rPr>
                <w:rFonts w:hint="default" w:ascii="Arial"/>
                <w:sz w:val="21"/>
              </w:rPr>
            </w:pPr>
          </w:p>
        </w:tc>
        <w:tc>
          <w:tcPr>
            <w:tcW w:w="63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2844" w:type="dxa"/>
            <w:vAlign w:val="top"/>
          </w:tcPr>
          <w:p>
            <w:pPr>
              <w:pStyle w:val="72"/>
              <w:keepNext w:val="0"/>
              <w:keepLines w:val="0"/>
              <w:suppressLineNumbers w:val="0"/>
              <w:spacing w:before="126" w:beforeAutospacing="0" w:after="0" w:afterAutospacing="0" w:line="221" w:lineRule="auto"/>
              <w:ind w:left="242" w:right="0"/>
              <w:rPr>
                <w:rFonts w:hint="default"/>
              </w:rPr>
            </w:pPr>
            <w:r>
              <w:rPr>
                <w:rFonts w:hint="default" w:ascii="Times New Roman" w:hAnsi="Times New Roman" w:eastAsia="Times New Roman" w:cs="Times New Roman"/>
                <w:spacing w:val="-1"/>
              </w:rPr>
              <w:t>2.</w:t>
            </w:r>
            <w:r>
              <w:rPr>
                <w:rFonts w:hint="default"/>
                <w:spacing w:val="-1"/>
              </w:rPr>
              <w:t>办公等公用房屋</w:t>
            </w:r>
          </w:p>
        </w:tc>
        <w:tc>
          <w:tcPr>
            <w:tcW w:w="393" w:type="dxa"/>
            <w:vAlign w:val="top"/>
          </w:tcPr>
          <w:p>
            <w:pPr>
              <w:keepNext w:val="0"/>
              <w:keepLines w:val="0"/>
              <w:suppressLineNumbers w:val="0"/>
              <w:spacing w:before="0" w:beforeAutospacing="0" w:after="0" w:afterAutospacing="0"/>
              <w:ind w:left="0" w:right="0"/>
              <w:rPr>
                <w:rFonts w:hint="default" w:ascii="Arial"/>
                <w:sz w:val="21"/>
              </w:rPr>
            </w:pPr>
          </w:p>
        </w:tc>
        <w:tc>
          <w:tcPr>
            <w:tcW w:w="396"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600" w:type="dxa"/>
            <w:vAlign w:val="top"/>
          </w:tcPr>
          <w:p>
            <w:pPr>
              <w:keepNext w:val="0"/>
              <w:keepLines w:val="0"/>
              <w:suppressLineNumbers w:val="0"/>
              <w:spacing w:before="0" w:beforeAutospacing="0" w:after="0" w:afterAutospacing="0"/>
              <w:ind w:left="0" w:right="0"/>
              <w:rPr>
                <w:rFonts w:hint="default" w:ascii="Arial"/>
                <w:sz w:val="21"/>
              </w:rPr>
            </w:pPr>
          </w:p>
        </w:tc>
        <w:tc>
          <w:tcPr>
            <w:tcW w:w="1549" w:type="dxa"/>
            <w:vAlign w:val="top"/>
          </w:tcPr>
          <w:p>
            <w:pPr>
              <w:keepNext w:val="0"/>
              <w:keepLines w:val="0"/>
              <w:suppressLineNumbers w:val="0"/>
              <w:spacing w:before="0" w:beforeAutospacing="0" w:after="0" w:afterAutospacing="0"/>
              <w:ind w:left="0" w:right="0"/>
              <w:rPr>
                <w:rFonts w:hint="default" w:ascii="Arial"/>
                <w:sz w:val="21"/>
              </w:rPr>
            </w:pPr>
          </w:p>
        </w:tc>
        <w:tc>
          <w:tcPr>
            <w:tcW w:w="611" w:type="dxa"/>
            <w:vAlign w:val="top"/>
          </w:tcPr>
          <w:p>
            <w:pPr>
              <w:keepNext w:val="0"/>
              <w:keepLines w:val="0"/>
              <w:suppressLineNumbers w:val="0"/>
              <w:spacing w:before="0" w:beforeAutospacing="0" w:after="0" w:afterAutospacing="0"/>
              <w:ind w:left="0" w:right="0"/>
              <w:rPr>
                <w:rFonts w:hint="default" w:ascii="Arial"/>
                <w:sz w:val="21"/>
              </w:rPr>
            </w:pPr>
          </w:p>
        </w:tc>
        <w:tc>
          <w:tcPr>
            <w:tcW w:w="624" w:type="dxa"/>
            <w:vAlign w:val="top"/>
          </w:tcPr>
          <w:p>
            <w:pPr>
              <w:keepNext w:val="0"/>
              <w:keepLines w:val="0"/>
              <w:suppressLineNumbers w:val="0"/>
              <w:spacing w:before="0" w:beforeAutospacing="0" w:after="0" w:afterAutospacing="0"/>
              <w:ind w:left="0" w:right="0"/>
              <w:rPr>
                <w:rFonts w:hint="default" w:ascii="Arial"/>
                <w:sz w:val="21"/>
              </w:rPr>
            </w:pPr>
          </w:p>
        </w:tc>
        <w:tc>
          <w:tcPr>
            <w:tcW w:w="63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2844" w:type="dxa"/>
            <w:vAlign w:val="top"/>
          </w:tcPr>
          <w:p>
            <w:pPr>
              <w:pStyle w:val="72"/>
              <w:keepNext w:val="0"/>
              <w:keepLines w:val="0"/>
              <w:suppressLineNumbers w:val="0"/>
              <w:spacing w:before="126" w:beforeAutospacing="0" w:after="0" w:afterAutospacing="0" w:line="221" w:lineRule="auto"/>
              <w:ind w:left="246" w:right="0"/>
              <w:rPr>
                <w:rFonts w:hint="default"/>
              </w:rPr>
            </w:pPr>
            <w:r>
              <w:rPr>
                <w:rFonts w:hint="default" w:ascii="Times New Roman" w:hAnsi="Times New Roman" w:eastAsia="Times New Roman" w:cs="Times New Roman"/>
                <w:spacing w:val="-2"/>
              </w:rPr>
              <w:t>3.</w:t>
            </w:r>
            <w:r>
              <w:rPr>
                <w:rFonts w:hint="default"/>
                <w:spacing w:val="-2"/>
              </w:rPr>
              <w:t>料库</w:t>
            </w:r>
          </w:p>
        </w:tc>
        <w:tc>
          <w:tcPr>
            <w:tcW w:w="393" w:type="dxa"/>
            <w:vAlign w:val="top"/>
          </w:tcPr>
          <w:p>
            <w:pPr>
              <w:keepNext w:val="0"/>
              <w:keepLines w:val="0"/>
              <w:suppressLineNumbers w:val="0"/>
              <w:spacing w:before="0" w:beforeAutospacing="0" w:after="0" w:afterAutospacing="0"/>
              <w:ind w:left="0" w:right="0"/>
              <w:rPr>
                <w:rFonts w:hint="default" w:ascii="Arial"/>
                <w:sz w:val="21"/>
              </w:rPr>
            </w:pPr>
          </w:p>
        </w:tc>
        <w:tc>
          <w:tcPr>
            <w:tcW w:w="396"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600" w:type="dxa"/>
            <w:vAlign w:val="top"/>
          </w:tcPr>
          <w:p>
            <w:pPr>
              <w:keepNext w:val="0"/>
              <w:keepLines w:val="0"/>
              <w:suppressLineNumbers w:val="0"/>
              <w:spacing w:before="0" w:beforeAutospacing="0" w:after="0" w:afterAutospacing="0"/>
              <w:ind w:left="0" w:right="0"/>
              <w:rPr>
                <w:rFonts w:hint="default" w:ascii="Arial"/>
                <w:sz w:val="21"/>
              </w:rPr>
            </w:pPr>
          </w:p>
        </w:tc>
        <w:tc>
          <w:tcPr>
            <w:tcW w:w="1549" w:type="dxa"/>
            <w:vAlign w:val="top"/>
          </w:tcPr>
          <w:p>
            <w:pPr>
              <w:keepNext w:val="0"/>
              <w:keepLines w:val="0"/>
              <w:suppressLineNumbers w:val="0"/>
              <w:spacing w:before="0" w:beforeAutospacing="0" w:after="0" w:afterAutospacing="0"/>
              <w:ind w:left="0" w:right="0"/>
              <w:rPr>
                <w:rFonts w:hint="default" w:ascii="Arial"/>
                <w:sz w:val="21"/>
              </w:rPr>
            </w:pPr>
          </w:p>
        </w:tc>
        <w:tc>
          <w:tcPr>
            <w:tcW w:w="611" w:type="dxa"/>
            <w:vAlign w:val="top"/>
          </w:tcPr>
          <w:p>
            <w:pPr>
              <w:keepNext w:val="0"/>
              <w:keepLines w:val="0"/>
              <w:suppressLineNumbers w:val="0"/>
              <w:spacing w:before="0" w:beforeAutospacing="0" w:after="0" w:afterAutospacing="0"/>
              <w:ind w:left="0" w:right="0"/>
              <w:rPr>
                <w:rFonts w:hint="default" w:ascii="Arial"/>
                <w:sz w:val="21"/>
              </w:rPr>
            </w:pPr>
          </w:p>
        </w:tc>
        <w:tc>
          <w:tcPr>
            <w:tcW w:w="624" w:type="dxa"/>
            <w:vAlign w:val="top"/>
          </w:tcPr>
          <w:p>
            <w:pPr>
              <w:keepNext w:val="0"/>
              <w:keepLines w:val="0"/>
              <w:suppressLineNumbers w:val="0"/>
              <w:spacing w:before="0" w:beforeAutospacing="0" w:after="0" w:afterAutospacing="0"/>
              <w:ind w:left="0" w:right="0"/>
              <w:rPr>
                <w:rFonts w:hint="default" w:ascii="Arial"/>
                <w:sz w:val="21"/>
              </w:rPr>
            </w:pPr>
          </w:p>
        </w:tc>
        <w:tc>
          <w:tcPr>
            <w:tcW w:w="63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2844" w:type="dxa"/>
            <w:vAlign w:val="top"/>
          </w:tcPr>
          <w:p>
            <w:pPr>
              <w:pStyle w:val="72"/>
              <w:keepNext w:val="0"/>
              <w:keepLines w:val="0"/>
              <w:suppressLineNumbers w:val="0"/>
              <w:spacing w:before="127" w:beforeAutospacing="0" w:after="0" w:afterAutospacing="0" w:line="221" w:lineRule="auto"/>
              <w:ind w:left="241" w:right="0"/>
              <w:rPr>
                <w:rFonts w:hint="default"/>
              </w:rPr>
            </w:pPr>
            <w:r>
              <w:rPr>
                <w:rFonts w:hint="default" w:ascii="Times New Roman" w:hAnsi="Times New Roman" w:eastAsia="Times New Roman" w:cs="Times New Roman"/>
                <w:spacing w:val="-1"/>
              </w:rPr>
              <w:t>4.</w:t>
            </w:r>
            <w:r>
              <w:rPr>
                <w:rFonts w:hint="default"/>
                <w:spacing w:val="-1"/>
              </w:rPr>
              <w:t>预制场</w:t>
            </w:r>
          </w:p>
        </w:tc>
        <w:tc>
          <w:tcPr>
            <w:tcW w:w="393" w:type="dxa"/>
            <w:vAlign w:val="top"/>
          </w:tcPr>
          <w:p>
            <w:pPr>
              <w:keepNext w:val="0"/>
              <w:keepLines w:val="0"/>
              <w:suppressLineNumbers w:val="0"/>
              <w:spacing w:before="0" w:beforeAutospacing="0" w:after="0" w:afterAutospacing="0"/>
              <w:ind w:left="0" w:right="0"/>
              <w:rPr>
                <w:rFonts w:hint="default" w:ascii="Arial"/>
                <w:sz w:val="21"/>
              </w:rPr>
            </w:pPr>
          </w:p>
        </w:tc>
        <w:tc>
          <w:tcPr>
            <w:tcW w:w="396"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600" w:type="dxa"/>
            <w:vAlign w:val="top"/>
          </w:tcPr>
          <w:p>
            <w:pPr>
              <w:keepNext w:val="0"/>
              <w:keepLines w:val="0"/>
              <w:suppressLineNumbers w:val="0"/>
              <w:spacing w:before="0" w:beforeAutospacing="0" w:after="0" w:afterAutospacing="0"/>
              <w:ind w:left="0" w:right="0"/>
              <w:rPr>
                <w:rFonts w:hint="default" w:ascii="Arial"/>
                <w:sz w:val="21"/>
              </w:rPr>
            </w:pPr>
          </w:p>
        </w:tc>
        <w:tc>
          <w:tcPr>
            <w:tcW w:w="1549" w:type="dxa"/>
            <w:vAlign w:val="top"/>
          </w:tcPr>
          <w:p>
            <w:pPr>
              <w:keepNext w:val="0"/>
              <w:keepLines w:val="0"/>
              <w:suppressLineNumbers w:val="0"/>
              <w:spacing w:before="0" w:beforeAutospacing="0" w:after="0" w:afterAutospacing="0"/>
              <w:ind w:left="0" w:right="0"/>
              <w:rPr>
                <w:rFonts w:hint="default" w:ascii="Arial"/>
                <w:sz w:val="21"/>
              </w:rPr>
            </w:pPr>
          </w:p>
        </w:tc>
        <w:tc>
          <w:tcPr>
            <w:tcW w:w="611" w:type="dxa"/>
            <w:vAlign w:val="top"/>
          </w:tcPr>
          <w:p>
            <w:pPr>
              <w:keepNext w:val="0"/>
              <w:keepLines w:val="0"/>
              <w:suppressLineNumbers w:val="0"/>
              <w:spacing w:before="0" w:beforeAutospacing="0" w:after="0" w:afterAutospacing="0"/>
              <w:ind w:left="0" w:right="0"/>
              <w:rPr>
                <w:rFonts w:hint="default" w:ascii="Arial"/>
                <w:sz w:val="21"/>
              </w:rPr>
            </w:pPr>
          </w:p>
        </w:tc>
        <w:tc>
          <w:tcPr>
            <w:tcW w:w="624" w:type="dxa"/>
            <w:vAlign w:val="top"/>
          </w:tcPr>
          <w:p>
            <w:pPr>
              <w:keepNext w:val="0"/>
              <w:keepLines w:val="0"/>
              <w:suppressLineNumbers w:val="0"/>
              <w:spacing w:before="0" w:beforeAutospacing="0" w:after="0" w:afterAutospacing="0"/>
              <w:ind w:left="0" w:right="0"/>
              <w:rPr>
                <w:rFonts w:hint="default" w:ascii="Arial"/>
                <w:sz w:val="21"/>
              </w:rPr>
            </w:pPr>
          </w:p>
        </w:tc>
        <w:tc>
          <w:tcPr>
            <w:tcW w:w="63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2844" w:type="dxa"/>
            <w:vAlign w:val="top"/>
          </w:tcPr>
          <w:p>
            <w:pPr>
              <w:keepNext w:val="0"/>
              <w:keepLines w:val="0"/>
              <w:suppressLineNumbers w:val="0"/>
              <w:spacing w:before="0" w:beforeAutospacing="0" w:after="0" w:afterAutospacing="0" w:line="269" w:lineRule="auto"/>
              <w:ind w:left="0" w:right="0"/>
              <w:rPr>
                <w:rFonts w:hint="default" w:ascii="Arial"/>
                <w:sz w:val="21"/>
              </w:rPr>
            </w:pPr>
          </w:p>
          <w:p>
            <w:pPr>
              <w:keepNext w:val="0"/>
              <w:keepLines w:val="0"/>
              <w:suppressLineNumbers w:val="0"/>
              <w:spacing w:before="61" w:beforeAutospacing="0" w:after="0" w:afterAutospacing="0" w:line="63" w:lineRule="exact"/>
              <w:ind w:left="261" w:right="0"/>
              <w:rPr>
                <w:rFonts w:hint="default" w:ascii="Times New Roman" w:hAnsi="Times New Roman" w:eastAsia="Times New Roman" w:cs="Times New Roman"/>
                <w:sz w:val="21"/>
                <w:szCs w:val="21"/>
              </w:rPr>
            </w:pPr>
            <w:r>
              <w:rPr>
                <w:rFonts w:hint="default" w:ascii="Times New Roman" w:hAnsi="Times New Roman" w:eastAsia="Times New Roman" w:cs="Times New Roman"/>
                <w:spacing w:val="-6"/>
                <w:position w:val="1"/>
                <w:sz w:val="21"/>
                <w:szCs w:val="21"/>
              </w:rPr>
              <w:t>……</w:t>
            </w:r>
          </w:p>
        </w:tc>
        <w:tc>
          <w:tcPr>
            <w:tcW w:w="393" w:type="dxa"/>
            <w:vAlign w:val="top"/>
          </w:tcPr>
          <w:p>
            <w:pPr>
              <w:keepNext w:val="0"/>
              <w:keepLines w:val="0"/>
              <w:suppressLineNumbers w:val="0"/>
              <w:spacing w:before="0" w:beforeAutospacing="0" w:after="0" w:afterAutospacing="0"/>
              <w:ind w:left="0" w:right="0"/>
              <w:rPr>
                <w:rFonts w:hint="default" w:ascii="Arial"/>
                <w:sz w:val="21"/>
              </w:rPr>
            </w:pPr>
          </w:p>
        </w:tc>
        <w:tc>
          <w:tcPr>
            <w:tcW w:w="396"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600" w:type="dxa"/>
            <w:vAlign w:val="top"/>
          </w:tcPr>
          <w:p>
            <w:pPr>
              <w:keepNext w:val="0"/>
              <w:keepLines w:val="0"/>
              <w:suppressLineNumbers w:val="0"/>
              <w:spacing w:before="0" w:beforeAutospacing="0" w:after="0" w:afterAutospacing="0"/>
              <w:ind w:left="0" w:right="0"/>
              <w:rPr>
                <w:rFonts w:hint="default" w:ascii="Arial"/>
                <w:sz w:val="21"/>
              </w:rPr>
            </w:pPr>
          </w:p>
        </w:tc>
        <w:tc>
          <w:tcPr>
            <w:tcW w:w="1549" w:type="dxa"/>
            <w:vAlign w:val="top"/>
          </w:tcPr>
          <w:p>
            <w:pPr>
              <w:keepNext w:val="0"/>
              <w:keepLines w:val="0"/>
              <w:suppressLineNumbers w:val="0"/>
              <w:spacing w:before="0" w:beforeAutospacing="0" w:after="0" w:afterAutospacing="0"/>
              <w:ind w:left="0" w:right="0"/>
              <w:rPr>
                <w:rFonts w:hint="default" w:ascii="Arial"/>
                <w:sz w:val="21"/>
              </w:rPr>
            </w:pPr>
          </w:p>
        </w:tc>
        <w:tc>
          <w:tcPr>
            <w:tcW w:w="611" w:type="dxa"/>
            <w:vAlign w:val="top"/>
          </w:tcPr>
          <w:p>
            <w:pPr>
              <w:keepNext w:val="0"/>
              <w:keepLines w:val="0"/>
              <w:suppressLineNumbers w:val="0"/>
              <w:spacing w:before="0" w:beforeAutospacing="0" w:after="0" w:afterAutospacing="0"/>
              <w:ind w:left="0" w:right="0"/>
              <w:rPr>
                <w:rFonts w:hint="default" w:ascii="Arial"/>
                <w:sz w:val="21"/>
              </w:rPr>
            </w:pPr>
          </w:p>
        </w:tc>
        <w:tc>
          <w:tcPr>
            <w:tcW w:w="624" w:type="dxa"/>
            <w:vAlign w:val="top"/>
          </w:tcPr>
          <w:p>
            <w:pPr>
              <w:keepNext w:val="0"/>
              <w:keepLines w:val="0"/>
              <w:suppressLineNumbers w:val="0"/>
              <w:spacing w:before="0" w:beforeAutospacing="0" w:after="0" w:afterAutospacing="0"/>
              <w:ind w:left="0" w:right="0"/>
              <w:rPr>
                <w:rFonts w:hint="default" w:ascii="Arial"/>
                <w:sz w:val="21"/>
              </w:rPr>
            </w:pPr>
          </w:p>
        </w:tc>
        <w:tc>
          <w:tcPr>
            <w:tcW w:w="63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2844" w:type="dxa"/>
            <w:vAlign w:val="top"/>
          </w:tcPr>
          <w:p>
            <w:pPr>
              <w:keepNext w:val="0"/>
              <w:keepLines w:val="0"/>
              <w:suppressLineNumbers w:val="0"/>
              <w:spacing w:before="0" w:beforeAutospacing="0" w:after="0" w:afterAutospacing="0"/>
              <w:ind w:left="0" w:right="0"/>
              <w:rPr>
                <w:rFonts w:hint="default" w:ascii="Arial"/>
                <w:sz w:val="21"/>
              </w:rPr>
            </w:pPr>
          </w:p>
        </w:tc>
        <w:tc>
          <w:tcPr>
            <w:tcW w:w="393" w:type="dxa"/>
            <w:vAlign w:val="top"/>
          </w:tcPr>
          <w:p>
            <w:pPr>
              <w:keepNext w:val="0"/>
              <w:keepLines w:val="0"/>
              <w:suppressLineNumbers w:val="0"/>
              <w:spacing w:before="0" w:beforeAutospacing="0" w:after="0" w:afterAutospacing="0"/>
              <w:ind w:left="0" w:right="0"/>
              <w:rPr>
                <w:rFonts w:hint="default" w:ascii="Arial"/>
                <w:sz w:val="21"/>
              </w:rPr>
            </w:pPr>
          </w:p>
        </w:tc>
        <w:tc>
          <w:tcPr>
            <w:tcW w:w="396"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600" w:type="dxa"/>
            <w:vAlign w:val="top"/>
          </w:tcPr>
          <w:p>
            <w:pPr>
              <w:keepNext w:val="0"/>
              <w:keepLines w:val="0"/>
              <w:suppressLineNumbers w:val="0"/>
              <w:spacing w:before="0" w:beforeAutospacing="0" w:after="0" w:afterAutospacing="0"/>
              <w:ind w:left="0" w:right="0"/>
              <w:rPr>
                <w:rFonts w:hint="default" w:ascii="Arial"/>
                <w:sz w:val="21"/>
              </w:rPr>
            </w:pPr>
          </w:p>
        </w:tc>
        <w:tc>
          <w:tcPr>
            <w:tcW w:w="1549" w:type="dxa"/>
            <w:vAlign w:val="top"/>
          </w:tcPr>
          <w:p>
            <w:pPr>
              <w:keepNext w:val="0"/>
              <w:keepLines w:val="0"/>
              <w:suppressLineNumbers w:val="0"/>
              <w:spacing w:before="0" w:beforeAutospacing="0" w:after="0" w:afterAutospacing="0"/>
              <w:ind w:left="0" w:right="0"/>
              <w:rPr>
                <w:rFonts w:hint="default" w:ascii="Arial"/>
                <w:sz w:val="21"/>
              </w:rPr>
            </w:pPr>
          </w:p>
        </w:tc>
        <w:tc>
          <w:tcPr>
            <w:tcW w:w="611" w:type="dxa"/>
            <w:vAlign w:val="top"/>
          </w:tcPr>
          <w:p>
            <w:pPr>
              <w:keepNext w:val="0"/>
              <w:keepLines w:val="0"/>
              <w:suppressLineNumbers w:val="0"/>
              <w:spacing w:before="0" w:beforeAutospacing="0" w:after="0" w:afterAutospacing="0"/>
              <w:ind w:left="0" w:right="0"/>
              <w:rPr>
                <w:rFonts w:hint="default" w:ascii="Arial"/>
                <w:sz w:val="21"/>
              </w:rPr>
            </w:pPr>
          </w:p>
        </w:tc>
        <w:tc>
          <w:tcPr>
            <w:tcW w:w="624" w:type="dxa"/>
            <w:vAlign w:val="top"/>
          </w:tcPr>
          <w:p>
            <w:pPr>
              <w:keepNext w:val="0"/>
              <w:keepLines w:val="0"/>
              <w:suppressLineNumbers w:val="0"/>
              <w:spacing w:before="0" w:beforeAutospacing="0" w:after="0" w:afterAutospacing="0"/>
              <w:ind w:left="0" w:right="0"/>
              <w:rPr>
                <w:rFonts w:hint="default" w:ascii="Arial"/>
                <w:sz w:val="21"/>
              </w:rPr>
            </w:pPr>
          </w:p>
        </w:tc>
        <w:tc>
          <w:tcPr>
            <w:tcW w:w="63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2844" w:type="dxa"/>
            <w:vAlign w:val="top"/>
          </w:tcPr>
          <w:p>
            <w:pPr>
              <w:keepNext w:val="0"/>
              <w:keepLines w:val="0"/>
              <w:suppressLineNumbers w:val="0"/>
              <w:spacing w:before="0" w:beforeAutospacing="0" w:after="0" w:afterAutospacing="0"/>
              <w:ind w:left="0" w:right="0"/>
              <w:rPr>
                <w:rFonts w:hint="default" w:ascii="Arial"/>
                <w:sz w:val="21"/>
              </w:rPr>
            </w:pPr>
          </w:p>
        </w:tc>
        <w:tc>
          <w:tcPr>
            <w:tcW w:w="393" w:type="dxa"/>
            <w:vAlign w:val="top"/>
          </w:tcPr>
          <w:p>
            <w:pPr>
              <w:keepNext w:val="0"/>
              <w:keepLines w:val="0"/>
              <w:suppressLineNumbers w:val="0"/>
              <w:spacing w:before="0" w:beforeAutospacing="0" w:after="0" w:afterAutospacing="0"/>
              <w:ind w:left="0" w:right="0"/>
              <w:rPr>
                <w:rFonts w:hint="default" w:ascii="Arial"/>
                <w:sz w:val="21"/>
              </w:rPr>
            </w:pPr>
          </w:p>
        </w:tc>
        <w:tc>
          <w:tcPr>
            <w:tcW w:w="396"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600" w:type="dxa"/>
            <w:vAlign w:val="top"/>
          </w:tcPr>
          <w:p>
            <w:pPr>
              <w:keepNext w:val="0"/>
              <w:keepLines w:val="0"/>
              <w:suppressLineNumbers w:val="0"/>
              <w:spacing w:before="0" w:beforeAutospacing="0" w:after="0" w:afterAutospacing="0"/>
              <w:ind w:left="0" w:right="0"/>
              <w:rPr>
                <w:rFonts w:hint="default" w:ascii="Arial"/>
                <w:sz w:val="21"/>
              </w:rPr>
            </w:pPr>
          </w:p>
        </w:tc>
        <w:tc>
          <w:tcPr>
            <w:tcW w:w="1549" w:type="dxa"/>
            <w:vAlign w:val="top"/>
          </w:tcPr>
          <w:p>
            <w:pPr>
              <w:keepNext w:val="0"/>
              <w:keepLines w:val="0"/>
              <w:suppressLineNumbers w:val="0"/>
              <w:spacing w:before="0" w:beforeAutospacing="0" w:after="0" w:afterAutospacing="0"/>
              <w:ind w:left="0" w:right="0"/>
              <w:rPr>
                <w:rFonts w:hint="default" w:ascii="Arial"/>
                <w:sz w:val="21"/>
              </w:rPr>
            </w:pPr>
          </w:p>
        </w:tc>
        <w:tc>
          <w:tcPr>
            <w:tcW w:w="611" w:type="dxa"/>
            <w:vAlign w:val="top"/>
          </w:tcPr>
          <w:p>
            <w:pPr>
              <w:keepNext w:val="0"/>
              <w:keepLines w:val="0"/>
              <w:suppressLineNumbers w:val="0"/>
              <w:spacing w:before="0" w:beforeAutospacing="0" w:after="0" w:afterAutospacing="0"/>
              <w:ind w:left="0" w:right="0"/>
              <w:rPr>
                <w:rFonts w:hint="default" w:ascii="Arial"/>
                <w:sz w:val="21"/>
              </w:rPr>
            </w:pPr>
          </w:p>
        </w:tc>
        <w:tc>
          <w:tcPr>
            <w:tcW w:w="624" w:type="dxa"/>
            <w:vAlign w:val="top"/>
          </w:tcPr>
          <w:p>
            <w:pPr>
              <w:keepNext w:val="0"/>
              <w:keepLines w:val="0"/>
              <w:suppressLineNumbers w:val="0"/>
              <w:spacing w:before="0" w:beforeAutospacing="0" w:after="0" w:afterAutospacing="0"/>
              <w:ind w:left="0" w:right="0"/>
              <w:rPr>
                <w:rFonts w:hint="default" w:ascii="Arial"/>
                <w:sz w:val="21"/>
              </w:rPr>
            </w:pPr>
          </w:p>
        </w:tc>
        <w:tc>
          <w:tcPr>
            <w:tcW w:w="63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2844" w:type="dxa"/>
            <w:vAlign w:val="top"/>
          </w:tcPr>
          <w:p>
            <w:pPr>
              <w:keepNext w:val="0"/>
              <w:keepLines w:val="0"/>
              <w:suppressLineNumbers w:val="0"/>
              <w:spacing w:before="0" w:beforeAutospacing="0" w:after="0" w:afterAutospacing="0"/>
              <w:ind w:left="0" w:right="0"/>
              <w:rPr>
                <w:rFonts w:hint="default" w:ascii="Arial"/>
                <w:sz w:val="21"/>
              </w:rPr>
            </w:pPr>
          </w:p>
        </w:tc>
        <w:tc>
          <w:tcPr>
            <w:tcW w:w="393" w:type="dxa"/>
            <w:vAlign w:val="top"/>
          </w:tcPr>
          <w:p>
            <w:pPr>
              <w:keepNext w:val="0"/>
              <w:keepLines w:val="0"/>
              <w:suppressLineNumbers w:val="0"/>
              <w:spacing w:before="0" w:beforeAutospacing="0" w:after="0" w:afterAutospacing="0"/>
              <w:ind w:left="0" w:right="0"/>
              <w:rPr>
                <w:rFonts w:hint="default" w:ascii="Arial"/>
                <w:sz w:val="21"/>
              </w:rPr>
            </w:pPr>
          </w:p>
        </w:tc>
        <w:tc>
          <w:tcPr>
            <w:tcW w:w="396"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600" w:type="dxa"/>
            <w:vAlign w:val="top"/>
          </w:tcPr>
          <w:p>
            <w:pPr>
              <w:keepNext w:val="0"/>
              <w:keepLines w:val="0"/>
              <w:suppressLineNumbers w:val="0"/>
              <w:spacing w:before="0" w:beforeAutospacing="0" w:after="0" w:afterAutospacing="0"/>
              <w:ind w:left="0" w:right="0"/>
              <w:rPr>
                <w:rFonts w:hint="default" w:ascii="Arial"/>
                <w:sz w:val="21"/>
              </w:rPr>
            </w:pPr>
          </w:p>
        </w:tc>
        <w:tc>
          <w:tcPr>
            <w:tcW w:w="1549" w:type="dxa"/>
            <w:vAlign w:val="top"/>
          </w:tcPr>
          <w:p>
            <w:pPr>
              <w:keepNext w:val="0"/>
              <w:keepLines w:val="0"/>
              <w:suppressLineNumbers w:val="0"/>
              <w:spacing w:before="0" w:beforeAutospacing="0" w:after="0" w:afterAutospacing="0"/>
              <w:ind w:left="0" w:right="0"/>
              <w:rPr>
                <w:rFonts w:hint="default" w:ascii="Arial"/>
                <w:sz w:val="21"/>
              </w:rPr>
            </w:pPr>
          </w:p>
        </w:tc>
        <w:tc>
          <w:tcPr>
            <w:tcW w:w="611" w:type="dxa"/>
            <w:vAlign w:val="top"/>
          </w:tcPr>
          <w:p>
            <w:pPr>
              <w:keepNext w:val="0"/>
              <w:keepLines w:val="0"/>
              <w:suppressLineNumbers w:val="0"/>
              <w:spacing w:before="0" w:beforeAutospacing="0" w:after="0" w:afterAutospacing="0"/>
              <w:ind w:left="0" w:right="0"/>
              <w:rPr>
                <w:rFonts w:hint="default" w:ascii="Arial"/>
                <w:sz w:val="21"/>
              </w:rPr>
            </w:pPr>
          </w:p>
        </w:tc>
        <w:tc>
          <w:tcPr>
            <w:tcW w:w="624" w:type="dxa"/>
            <w:vAlign w:val="top"/>
          </w:tcPr>
          <w:p>
            <w:pPr>
              <w:keepNext w:val="0"/>
              <w:keepLines w:val="0"/>
              <w:suppressLineNumbers w:val="0"/>
              <w:spacing w:before="0" w:beforeAutospacing="0" w:after="0" w:afterAutospacing="0"/>
              <w:ind w:left="0" w:right="0"/>
              <w:rPr>
                <w:rFonts w:hint="default" w:ascii="Arial"/>
                <w:sz w:val="21"/>
              </w:rPr>
            </w:pPr>
          </w:p>
        </w:tc>
        <w:tc>
          <w:tcPr>
            <w:tcW w:w="63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2844" w:type="dxa"/>
            <w:vAlign w:val="top"/>
          </w:tcPr>
          <w:p>
            <w:pPr>
              <w:keepNext w:val="0"/>
              <w:keepLines w:val="0"/>
              <w:suppressLineNumbers w:val="0"/>
              <w:spacing w:before="0" w:beforeAutospacing="0" w:after="0" w:afterAutospacing="0"/>
              <w:ind w:left="0" w:right="0"/>
              <w:rPr>
                <w:rFonts w:hint="default" w:ascii="Arial"/>
                <w:sz w:val="21"/>
              </w:rPr>
            </w:pPr>
          </w:p>
        </w:tc>
        <w:tc>
          <w:tcPr>
            <w:tcW w:w="393" w:type="dxa"/>
            <w:vAlign w:val="top"/>
          </w:tcPr>
          <w:p>
            <w:pPr>
              <w:keepNext w:val="0"/>
              <w:keepLines w:val="0"/>
              <w:suppressLineNumbers w:val="0"/>
              <w:spacing w:before="0" w:beforeAutospacing="0" w:after="0" w:afterAutospacing="0"/>
              <w:ind w:left="0" w:right="0"/>
              <w:rPr>
                <w:rFonts w:hint="default" w:ascii="Arial"/>
                <w:sz w:val="21"/>
              </w:rPr>
            </w:pPr>
          </w:p>
        </w:tc>
        <w:tc>
          <w:tcPr>
            <w:tcW w:w="396"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600" w:type="dxa"/>
            <w:vAlign w:val="top"/>
          </w:tcPr>
          <w:p>
            <w:pPr>
              <w:keepNext w:val="0"/>
              <w:keepLines w:val="0"/>
              <w:suppressLineNumbers w:val="0"/>
              <w:spacing w:before="0" w:beforeAutospacing="0" w:after="0" w:afterAutospacing="0"/>
              <w:ind w:left="0" w:right="0"/>
              <w:rPr>
                <w:rFonts w:hint="default" w:ascii="Arial"/>
                <w:sz w:val="21"/>
              </w:rPr>
            </w:pPr>
          </w:p>
        </w:tc>
        <w:tc>
          <w:tcPr>
            <w:tcW w:w="1549" w:type="dxa"/>
            <w:vAlign w:val="top"/>
          </w:tcPr>
          <w:p>
            <w:pPr>
              <w:keepNext w:val="0"/>
              <w:keepLines w:val="0"/>
              <w:suppressLineNumbers w:val="0"/>
              <w:spacing w:before="0" w:beforeAutospacing="0" w:after="0" w:afterAutospacing="0"/>
              <w:ind w:left="0" w:right="0"/>
              <w:rPr>
                <w:rFonts w:hint="default" w:ascii="Arial"/>
                <w:sz w:val="21"/>
              </w:rPr>
            </w:pPr>
          </w:p>
        </w:tc>
        <w:tc>
          <w:tcPr>
            <w:tcW w:w="611" w:type="dxa"/>
            <w:vAlign w:val="top"/>
          </w:tcPr>
          <w:p>
            <w:pPr>
              <w:keepNext w:val="0"/>
              <w:keepLines w:val="0"/>
              <w:suppressLineNumbers w:val="0"/>
              <w:spacing w:before="0" w:beforeAutospacing="0" w:after="0" w:afterAutospacing="0"/>
              <w:ind w:left="0" w:right="0"/>
              <w:rPr>
                <w:rFonts w:hint="default" w:ascii="Arial"/>
                <w:sz w:val="21"/>
              </w:rPr>
            </w:pPr>
          </w:p>
        </w:tc>
        <w:tc>
          <w:tcPr>
            <w:tcW w:w="624" w:type="dxa"/>
            <w:vAlign w:val="top"/>
          </w:tcPr>
          <w:p>
            <w:pPr>
              <w:keepNext w:val="0"/>
              <w:keepLines w:val="0"/>
              <w:suppressLineNumbers w:val="0"/>
              <w:spacing w:before="0" w:beforeAutospacing="0" w:after="0" w:afterAutospacing="0"/>
              <w:ind w:left="0" w:right="0"/>
              <w:rPr>
                <w:rFonts w:hint="default" w:ascii="Arial"/>
                <w:sz w:val="21"/>
              </w:rPr>
            </w:pPr>
          </w:p>
        </w:tc>
        <w:tc>
          <w:tcPr>
            <w:tcW w:w="63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2844" w:type="dxa"/>
            <w:vAlign w:val="top"/>
          </w:tcPr>
          <w:p>
            <w:pPr>
              <w:keepNext w:val="0"/>
              <w:keepLines w:val="0"/>
              <w:suppressLineNumbers w:val="0"/>
              <w:spacing w:before="0" w:beforeAutospacing="0" w:after="0" w:afterAutospacing="0"/>
              <w:ind w:left="0" w:right="0"/>
              <w:rPr>
                <w:rFonts w:hint="default" w:ascii="Arial"/>
                <w:sz w:val="21"/>
              </w:rPr>
            </w:pPr>
          </w:p>
        </w:tc>
        <w:tc>
          <w:tcPr>
            <w:tcW w:w="393" w:type="dxa"/>
            <w:vAlign w:val="top"/>
          </w:tcPr>
          <w:p>
            <w:pPr>
              <w:keepNext w:val="0"/>
              <w:keepLines w:val="0"/>
              <w:suppressLineNumbers w:val="0"/>
              <w:spacing w:before="0" w:beforeAutospacing="0" w:after="0" w:afterAutospacing="0"/>
              <w:ind w:left="0" w:right="0"/>
              <w:rPr>
                <w:rFonts w:hint="default" w:ascii="Arial"/>
                <w:sz w:val="21"/>
              </w:rPr>
            </w:pPr>
          </w:p>
        </w:tc>
        <w:tc>
          <w:tcPr>
            <w:tcW w:w="396"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600" w:type="dxa"/>
            <w:vAlign w:val="top"/>
          </w:tcPr>
          <w:p>
            <w:pPr>
              <w:keepNext w:val="0"/>
              <w:keepLines w:val="0"/>
              <w:suppressLineNumbers w:val="0"/>
              <w:spacing w:before="0" w:beforeAutospacing="0" w:after="0" w:afterAutospacing="0"/>
              <w:ind w:left="0" w:right="0"/>
              <w:rPr>
                <w:rFonts w:hint="default" w:ascii="Arial"/>
                <w:sz w:val="21"/>
              </w:rPr>
            </w:pPr>
          </w:p>
        </w:tc>
        <w:tc>
          <w:tcPr>
            <w:tcW w:w="1549" w:type="dxa"/>
            <w:vAlign w:val="top"/>
          </w:tcPr>
          <w:p>
            <w:pPr>
              <w:keepNext w:val="0"/>
              <w:keepLines w:val="0"/>
              <w:suppressLineNumbers w:val="0"/>
              <w:spacing w:before="0" w:beforeAutospacing="0" w:after="0" w:afterAutospacing="0"/>
              <w:ind w:left="0" w:right="0"/>
              <w:rPr>
                <w:rFonts w:hint="default" w:ascii="Arial"/>
                <w:sz w:val="21"/>
              </w:rPr>
            </w:pPr>
          </w:p>
        </w:tc>
        <w:tc>
          <w:tcPr>
            <w:tcW w:w="611" w:type="dxa"/>
            <w:vAlign w:val="top"/>
          </w:tcPr>
          <w:p>
            <w:pPr>
              <w:keepNext w:val="0"/>
              <w:keepLines w:val="0"/>
              <w:suppressLineNumbers w:val="0"/>
              <w:spacing w:before="0" w:beforeAutospacing="0" w:after="0" w:afterAutospacing="0"/>
              <w:ind w:left="0" w:right="0"/>
              <w:rPr>
                <w:rFonts w:hint="default" w:ascii="Arial"/>
                <w:sz w:val="21"/>
              </w:rPr>
            </w:pPr>
          </w:p>
        </w:tc>
        <w:tc>
          <w:tcPr>
            <w:tcW w:w="624" w:type="dxa"/>
            <w:vAlign w:val="top"/>
          </w:tcPr>
          <w:p>
            <w:pPr>
              <w:keepNext w:val="0"/>
              <w:keepLines w:val="0"/>
              <w:suppressLineNumbers w:val="0"/>
              <w:spacing w:before="0" w:beforeAutospacing="0" w:after="0" w:afterAutospacing="0"/>
              <w:ind w:left="0" w:right="0"/>
              <w:rPr>
                <w:rFonts w:hint="default" w:ascii="Arial"/>
                <w:sz w:val="21"/>
              </w:rPr>
            </w:pPr>
          </w:p>
        </w:tc>
        <w:tc>
          <w:tcPr>
            <w:tcW w:w="63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2844" w:type="dxa"/>
            <w:vAlign w:val="top"/>
          </w:tcPr>
          <w:p>
            <w:pPr>
              <w:keepNext w:val="0"/>
              <w:keepLines w:val="0"/>
              <w:suppressLineNumbers w:val="0"/>
              <w:spacing w:before="0" w:beforeAutospacing="0" w:after="0" w:afterAutospacing="0"/>
              <w:ind w:left="0" w:right="0"/>
              <w:rPr>
                <w:rFonts w:hint="default" w:ascii="Arial"/>
                <w:sz w:val="21"/>
              </w:rPr>
            </w:pPr>
          </w:p>
        </w:tc>
        <w:tc>
          <w:tcPr>
            <w:tcW w:w="393" w:type="dxa"/>
            <w:vAlign w:val="top"/>
          </w:tcPr>
          <w:p>
            <w:pPr>
              <w:keepNext w:val="0"/>
              <w:keepLines w:val="0"/>
              <w:suppressLineNumbers w:val="0"/>
              <w:spacing w:before="0" w:beforeAutospacing="0" w:after="0" w:afterAutospacing="0"/>
              <w:ind w:left="0" w:right="0"/>
              <w:rPr>
                <w:rFonts w:hint="default" w:ascii="Arial"/>
                <w:sz w:val="21"/>
              </w:rPr>
            </w:pPr>
          </w:p>
        </w:tc>
        <w:tc>
          <w:tcPr>
            <w:tcW w:w="396"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600" w:type="dxa"/>
            <w:vAlign w:val="top"/>
          </w:tcPr>
          <w:p>
            <w:pPr>
              <w:keepNext w:val="0"/>
              <w:keepLines w:val="0"/>
              <w:suppressLineNumbers w:val="0"/>
              <w:spacing w:before="0" w:beforeAutospacing="0" w:after="0" w:afterAutospacing="0"/>
              <w:ind w:left="0" w:right="0"/>
              <w:rPr>
                <w:rFonts w:hint="default" w:ascii="Arial"/>
                <w:sz w:val="21"/>
              </w:rPr>
            </w:pPr>
          </w:p>
        </w:tc>
        <w:tc>
          <w:tcPr>
            <w:tcW w:w="1549" w:type="dxa"/>
            <w:vAlign w:val="top"/>
          </w:tcPr>
          <w:p>
            <w:pPr>
              <w:keepNext w:val="0"/>
              <w:keepLines w:val="0"/>
              <w:suppressLineNumbers w:val="0"/>
              <w:spacing w:before="0" w:beforeAutospacing="0" w:after="0" w:afterAutospacing="0"/>
              <w:ind w:left="0" w:right="0"/>
              <w:rPr>
                <w:rFonts w:hint="default" w:ascii="Arial"/>
                <w:sz w:val="21"/>
              </w:rPr>
            </w:pPr>
          </w:p>
        </w:tc>
        <w:tc>
          <w:tcPr>
            <w:tcW w:w="611" w:type="dxa"/>
            <w:vAlign w:val="top"/>
          </w:tcPr>
          <w:p>
            <w:pPr>
              <w:keepNext w:val="0"/>
              <w:keepLines w:val="0"/>
              <w:suppressLineNumbers w:val="0"/>
              <w:spacing w:before="0" w:beforeAutospacing="0" w:after="0" w:afterAutospacing="0"/>
              <w:ind w:left="0" w:right="0"/>
              <w:rPr>
                <w:rFonts w:hint="default" w:ascii="Arial"/>
                <w:sz w:val="21"/>
              </w:rPr>
            </w:pPr>
          </w:p>
        </w:tc>
        <w:tc>
          <w:tcPr>
            <w:tcW w:w="624" w:type="dxa"/>
            <w:vAlign w:val="top"/>
          </w:tcPr>
          <w:p>
            <w:pPr>
              <w:keepNext w:val="0"/>
              <w:keepLines w:val="0"/>
              <w:suppressLineNumbers w:val="0"/>
              <w:spacing w:before="0" w:beforeAutospacing="0" w:after="0" w:afterAutospacing="0"/>
              <w:ind w:left="0" w:right="0"/>
              <w:rPr>
                <w:rFonts w:hint="default" w:ascii="Arial"/>
                <w:sz w:val="21"/>
              </w:rPr>
            </w:pPr>
          </w:p>
        </w:tc>
        <w:tc>
          <w:tcPr>
            <w:tcW w:w="63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2844" w:type="dxa"/>
            <w:vAlign w:val="top"/>
          </w:tcPr>
          <w:p>
            <w:pPr>
              <w:keepNext w:val="0"/>
              <w:keepLines w:val="0"/>
              <w:suppressLineNumbers w:val="0"/>
              <w:spacing w:before="0" w:beforeAutospacing="0" w:after="0" w:afterAutospacing="0"/>
              <w:ind w:left="0" w:right="0"/>
              <w:rPr>
                <w:rFonts w:hint="default" w:ascii="Arial"/>
                <w:sz w:val="21"/>
              </w:rPr>
            </w:pPr>
          </w:p>
        </w:tc>
        <w:tc>
          <w:tcPr>
            <w:tcW w:w="393" w:type="dxa"/>
            <w:vAlign w:val="top"/>
          </w:tcPr>
          <w:p>
            <w:pPr>
              <w:keepNext w:val="0"/>
              <w:keepLines w:val="0"/>
              <w:suppressLineNumbers w:val="0"/>
              <w:spacing w:before="0" w:beforeAutospacing="0" w:after="0" w:afterAutospacing="0"/>
              <w:ind w:left="0" w:right="0"/>
              <w:rPr>
                <w:rFonts w:hint="default" w:ascii="Arial"/>
                <w:sz w:val="21"/>
              </w:rPr>
            </w:pPr>
          </w:p>
        </w:tc>
        <w:tc>
          <w:tcPr>
            <w:tcW w:w="396"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600" w:type="dxa"/>
            <w:vAlign w:val="top"/>
          </w:tcPr>
          <w:p>
            <w:pPr>
              <w:keepNext w:val="0"/>
              <w:keepLines w:val="0"/>
              <w:suppressLineNumbers w:val="0"/>
              <w:spacing w:before="0" w:beforeAutospacing="0" w:after="0" w:afterAutospacing="0"/>
              <w:ind w:left="0" w:right="0"/>
              <w:rPr>
                <w:rFonts w:hint="default" w:ascii="Arial"/>
                <w:sz w:val="21"/>
              </w:rPr>
            </w:pPr>
          </w:p>
        </w:tc>
        <w:tc>
          <w:tcPr>
            <w:tcW w:w="1549" w:type="dxa"/>
            <w:vAlign w:val="top"/>
          </w:tcPr>
          <w:p>
            <w:pPr>
              <w:keepNext w:val="0"/>
              <w:keepLines w:val="0"/>
              <w:suppressLineNumbers w:val="0"/>
              <w:spacing w:before="0" w:beforeAutospacing="0" w:after="0" w:afterAutospacing="0"/>
              <w:ind w:left="0" w:right="0"/>
              <w:rPr>
                <w:rFonts w:hint="default" w:ascii="Arial"/>
                <w:sz w:val="21"/>
              </w:rPr>
            </w:pPr>
          </w:p>
        </w:tc>
        <w:tc>
          <w:tcPr>
            <w:tcW w:w="611" w:type="dxa"/>
            <w:vAlign w:val="top"/>
          </w:tcPr>
          <w:p>
            <w:pPr>
              <w:keepNext w:val="0"/>
              <w:keepLines w:val="0"/>
              <w:suppressLineNumbers w:val="0"/>
              <w:spacing w:before="0" w:beforeAutospacing="0" w:after="0" w:afterAutospacing="0"/>
              <w:ind w:left="0" w:right="0"/>
              <w:rPr>
                <w:rFonts w:hint="default" w:ascii="Arial"/>
                <w:sz w:val="21"/>
              </w:rPr>
            </w:pPr>
          </w:p>
        </w:tc>
        <w:tc>
          <w:tcPr>
            <w:tcW w:w="624" w:type="dxa"/>
            <w:vAlign w:val="top"/>
          </w:tcPr>
          <w:p>
            <w:pPr>
              <w:keepNext w:val="0"/>
              <w:keepLines w:val="0"/>
              <w:suppressLineNumbers w:val="0"/>
              <w:spacing w:before="0" w:beforeAutospacing="0" w:after="0" w:afterAutospacing="0"/>
              <w:ind w:left="0" w:right="0"/>
              <w:rPr>
                <w:rFonts w:hint="default" w:ascii="Arial"/>
                <w:sz w:val="21"/>
              </w:rPr>
            </w:pPr>
          </w:p>
        </w:tc>
        <w:tc>
          <w:tcPr>
            <w:tcW w:w="63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2844" w:type="dxa"/>
            <w:vAlign w:val="top"/>
          </w:tcPr>
          <w:p>
            <w:pPr>
              <w:keepNext w:val="0"/>
              <w:keepLines w:val="0"/>
              <w:suppressLineNumbers w:val="0"/>
              <w:spacing w:before="0" w:beforeAutospacing="0" w:after="0" w:afterAutospacing="0"/>
              <w:ind w:left="0" w:right="0"/>
              <w:rPr>
                <w:rFonts w:hint="default" w:ascii="Arial"/>
                <w:sz w:val="21"/>
              </w:rPr>
            </w:pPr>
          </w:p>
        </w:tc>
        <w:tc>
          <w:tcPr>
            <w:tcW w:w="393" w:type="dxa"/>
            <w:vAlign w:val="top"/>
          </w:tcPr>
          <w:p>
            <w:pPr>
              <w:keepNext w:val="0"/>
              <w:keepLines w:val="0"/>
              <w:suppressLineNumbers w:val="0"/>
              <w:spacing w:before="0" w:beforeAutospacing="0" w:after="0" w:afterAutospacing="0"/>
              <w:ind w:left="0" w:right="0"/>
              <w:rPr>
                <w:rFonts w:hint="default" w:ascii="Arial"/>
                <w:sz w:val="21"/>
              </w:rPr>
            </w:pPr>
          </w:p>
        </w:tc>
        <w:tc>
          <w:tcPr>
            <w:tcW w:w="396"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600" w:type="dxa"/>
            <w:vAlign w:val="top"/>
          </w:tcPr>
          <w:p>
            <w:pPr>
              <w:keepNext w:val="0"/>
              <w:keepLines w:val="0"/>
              <w:suppressLineNumbers w:val="0"/>
              <w:spacing w:before="0" w:beforeAutospacing="0" w:after="0" w:afterAutospacing="0"/>
              <w:ind w:left="0" w:right="0"/>
              <w:rPr>
                <w:rFonts w:hint="default" w:ascii="Arial"/>
                <w:sz w:val="21"/>
              </w:rPr>
            </w:pPr>
          </w:p>
        </w:tc>
        <w:tc>
          <w:tcPr>
            <w:tcW w:w="1549" w:type="dxa"/>
            <w:vAlign w:val="top"/>
          </w:tcPr>
          <w:p>
            <w:pPr>
              <w:keepNext w:val="0"/>
              <w:keepLines w:val="0"/>
              <w:suppressLineNumbers w:val="0"/>
              <w:spacing w:before="0" w:beforeAutospacing="0" w:after="0" w:afterAutospacing="0"/>
              <w:ind w:left="0" w:right="0"/>
              <w:rPr>
                <w:rFonts w:hint="default" w:ascii="Arial"/>
                <w:sz w:val="21"/>
              </w:rPr>
            </w:pPr>
          </w:p>
        </w:tc>
        <w:tc>
          <w:tcPr>
            <w:tcW w:w="611" w:type="dxa"/>
            <w:vAlign w:val="top"/>
          </w:tcPr>
          <w:p>
            <w:pPr>
              <w:keepNext w:val="0"/>
              <w:keepLines w:val="0"/>
              <w:suppressLineNumbers w:val="0"/>
              <w:spacing w:before="0" w:beforeAutospacing="0" w:after="0" w:afterAutospacing="0"/>
              <w:ind w:left="0" w:right="0"/>
              <w:rPr>
                <w:rFonts w:hint="default" w:ascii="Arial"/>
                <w:sz w:val="21"/>
              </w:rPr>
            </w:pPr>
          </w:p>
        </w:tc>
        <w:tc>
          <w:tcPr>
            <w:tcW w:w="624" w:type="dxa"/>
            <w:vAlign w:val="top"/>
          </w:tcPr>
          <w:p>
            <w:pPr>
              <w:keepNext w:val="0"/>
              <w:keepLines w:val="0"/>
              <w:suppressLineNumbers w:val="0"/>
              <w:spacing w:before="0" w:beforeAutospacing="0" w:after="0" w:afterAutospacing="0"/>
              <w:ind w:left="0" w:right="0"/>
              <w:rPr>
                <w:rFonts w:hint="default" w:ascii="Arial"/>
                <w:sz w:val="21"/>
              </w:rPr>
            </w:pPr>
          </w:p>
        </w:tc>
        <w:tc>
          <w:tcPr>
            <w:tcW w:w="63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2844" w:type="dxa"/>
            <w:vAlign w:val="top"/>
          </w:tcPr>
          <w:p>
            <w:pPr>
              <w:keepNext w:val="0"/>
              <w:keepLines w:val="0"/>
              <w:suppressLineNumbers w:val="0"/>
              <w:spacing w:before="0" w:beforeAutospacing="0" w:after="0" w:afterAutospacing="0"/>
              <w:ind w:left="0" w:right="0"/>
              <w:rPr>
                <w:rFonts w:hint="default" w:ascii="Arial"/>
                <w:sz w:val="21"/>
              </w:rPr>
            </w:pPr>
          </w:p>
        </w:tc>
        <w:tc>
          <w:tcPr>
            <w:tcW w:w="393" w:type="dxa"/>
            <w:vAlign w:val="top"/>
          </w:tcPr>
          <w:p>
            <w:pPr>
              <w:keepNext w:val="0"/>
              <w:keepLines w:val="0"/>
              <w:suppressLineNumbers w:val="0"/>
              <w:spacing w:before="0" w:beforeAutospacing="0" w:after="0" w:afterAutospacing="0"/>
              <w:ind w:left="0" w:right="0"/>
              <w:rPr>
                <w:rFonts w:hint="default" w:ascii="Arial"/>
                <w:sz w:val="21"/>
              </w:rPr>
            </w:pPr>
          </w:p>
        </w:tc>
        <w:tc>
          <w:tcPr>
            <w:tcW w:w="396"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600" w:type="dxa"/>
            <w:vAlign w:val="top"/>
          </w:tcPr>
          <w:p>
            <w:pPr>
              <w:keepNext w:val="0"/>
              <w:keepLines w:val="0"/>
              <w:suppressLineNumbers w:val="0"/>
              <w:spacing w:before="0" w:beforeAutospacing="0" w:after="0" w:afterAutospacing="0"/>
              <w:ind w:left="0" w:right="0"/>
              <w:rPr>
                <w:rFonts w:hint="default" w:ascii="Arial"/>
                <w:sz w:val="21"/>
              </w:rPr>
            </w:pPr>
          </w:p>
        </w:tc>
        <w:tc>
          <w:tcPr>
            <w:tcW w:w="1549" w:type="dxa"/>
            <w:vAlign w:val="top"/>
          </w:tcPr>
          <w:p>
            <w:pPr>
              <w:keepNext w:val="0"/>
              <w:keepLines w:val="0"/>
              <w:suppressLineNumbers w:val="0"/>
              <w:spacing w:before="0" w:beforeAutospacing="0" w:after="0" w:afterAutospacing="0"/>
              <w:ind w:left="0" w:right="0"/>
              <w:rPr>
                <w:rFonts w:hint="default" w:ascii="Arial"/>
                <w:sz w:val="21"/>
              </w:rPr>
            </w:pPr>
          </w:p>
        </w:tc>
        <w:tc>
          <w:tcPr>
            <w:tcW w:w="611" w:type="dxa"/>
            <w:vAlign w:val="top"/>
          </w:tcPr>
          <w:p>
            <w:pPr>
              <w:keepNext w:val="0"/>
              <w:keepLines w:val="0"/>
              <w:suppressLineNumbers w:val="0"/>
              <w:spacing w:before="0" w:beforeAutospacing="0" w:after="0" w:afterAutospacing="0"/>
              <w:ind w:left="0" w:right="0"/>
              <w:rPr>
                <w:rFonts w:hint="default" w:ascii="Arial"/>
                <w:sz w:val="21"/>
              </w:rPr>
            </w:pPr>
          </w:p>
        </w:tc>
        <w:tc>
          <w:tcPr>
            <w:tcW w:w="624" w:type="dxa"/>
            <w:vAlign w:val="top"/>
          </w:tcPr>
          <w:p>
            <w:pPr>
              <w:keepNext w:val="0"/>
              <w:keepLines w:val="0"/>
              <w:suppressLineNumbers w:val="0"/>
              <w:spacing w:before="0" w:beforeAutospacing="0" w:after="0" w:afterAutospacing="0"/>
              <w:ind w:left="0" w:right="0"/>
              <w:rPr>
                <w:rFonts w:hint="default" w:ascii="Arial"/>
                <w:sz w:val="21"/>
              </w:rPr>
            </w:pPr>
          </w:p>
        </w:tc>
        <w:tc>
          <w:tcPr>
            <w:tcW w:w="63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2844" w:type="dxa"/>
            <w:vAlign w:val="top"/>
          </w:tcPr>
          <w:p>
            <w:pPr>
              <w:keepNext w:val="0"/>
              <w:keepLines w:val="0"/>
              <w:suppressLineNumbers w:val="0"/>
              <w:spacing w:before="0" w:beforeAutospacing="0" w:after="0" w:afterAutospacing="0"/>
              <w:ind w:left="0" w:right="0"/>
              <w:rPr>
                <w:rFonts w:hint="default" w:ascii="Arial"/>
                <w:sz w:val="21"/>
              </w:rPr>
            </w:pPr>
          </w:p>
        </w:tc>
        <w:tc>
          <w:tcPr>
            <w:tcW w:w="393" w:type="dxa"/>
            <w:vAlign w:val="top"/>
          </w:tcPr>
          <w:p>
            <w:pPr>
              <w:keepNext w:val="0"/>
              <w:keepLines w:val="0"/>
              <w:suppressLineNumbers w:val="0"/>
              <w:spacing w:before="0" w:beforeAutospacing="0" w:after="0" w:afterAutospacing="0"/>
              <w:ind w:left="0" w:right="0"/>
              <w:rPr>
                <w:rFonts w:hint="default" w:ascii="Arial"/>
                <w:sz w:val="21"/>
              </w:rPr>
            </w:pPr>
          </w:p>
        </w:tc>
        <w:tc>
          <w:tcPr>
            <w:tcW w:w="396"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600" w:type="dxa"/>
            <w:vAlign w:val="top"/>
          </w:tcPr>
          <w:p>
            <w:pPr>
              <w:keepNext w:val="0"/>
              <w:keepLines w:val="0"/>
              <w:suppressLineNumbers w:val="0"/>
              <w:spacing w:before="0" w:beforeAutospacing="0" w:after="0" w:afterAutospacing="0"/>
              <w:ind w:left="0" w:right="0"/>
              <w:rPr>
                <w:rFonts w:hint="default" w:ascii="Arial"/>
                <w:sz w:val="21"/>
              </w:rPr>
            </w:pPr>
          </w:p>
        </w:tc>
        <w:tc>
          <w:tcPr>
            <w:tcW w:w="1549" w:type="dxa"/>
            <w:vAlign w:val="top"/>
          </w:tcPr>
          <w:p>
            <w:pPr>
              <w:keepNext w:val="0"/>
              <w:keepLines w:val="0"/>
              <w:suppressLineNumbers w:val="0"/>
              <w:spacing w:before="0" w:beforeAutospacing="0" w:after="0" w:afterAutospacing="0"/>
              <w:ind w:left="0" w:right="0"/>
              <w:rPr>
                <w:rFonts w:hint="default" w:ascii="Arial"/>
                <w:sz w:val="21"/>
              </w:rPr>
            </w:pPr>
          </w:p>
        </w:tc>
        <w:tc>
          <w:tcPr>
            <w:tcW w:w="611" w:type="dxa"/>
            <w:vAlign w:val="top"/>
          </w:tcPr>
          <w:p>
            <w:pPr>
              <w:keepNext w:val="0"/>
              <w:keepLines w:val="0"/>
              <w:suppressLineNumbers w:val="0"/>
              <w:spacing w:before="0" w:beforeAutospacing="0" w:after="0" w:afterAutospacing="0"/>
              <w:ind w:left="0" w:right="0"/>
              <w:rPr>
                <w:rFonts w:hint="default" w:ascii="Arial"/>
                <w:sz w:val="21"/>
              </w:rPr>
            </w:pPr>
          </w:p>
        </w:tc>
        <w:tc>
          <w:tcPr>
            <w:tcW w:w="624" w:type="dxa"/>
            <w:vAlign w:val="top"/>
          </w:tcPr>
          <w:p>
            <w:pPr>
              <w:keepNext w:val="0"/>
              <w:keepLines w:val="0"/>
              <w:suppressLineNumbers w:val="0"/>
              <w:spacing w:before="0" w:beforeAutospacing="0" w:after="0" w:afterAutospacing="0"/>
              <w:ind w:left="0" w:right="0"/>
              <w:rPr>
                <w:rFonts w:hint="default" w:ascii="Arial"/>
                <w:sz w:val="21"/>
              </w:rPr>
            </w:pPr>
          </w:p>
        </w:tc>
        <w:tc>
          <w:tcPr>
            <w:tcW w:w="63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2844" w:type="dxa"/>
            <w:vAlign w:val="top"/>
          </w:tcPr>
          <w:p>
            <w:pPr>
              <w:keepNext w:val="0"/>
              <w:keepLines w:val="0"/>
              <w:suppressLineNumbers w:val="0"/>
              <w:spacing w:before="0" w:beforeAutospacing="0" w:after="0" w:afterAutospacing="0"/>
              <w:ind w:left="0" w:right="0"/>
              <w:rPr>
                <w:rFonts w:hint="default" w:ascii="Arial"/>
                <w:sz w:val="21"/>
              </w:rPr>
            </w:pPr>
          </w:p>
        </w:tc>
        <w:tc>
          <w:tcPr>
            <w:tcW w:w="393" w:type="dxa"/>
            <w:vAlign w:val="top"/>
          </w:tcPr>
          <w:p>
            <w:pPr>
              <w:keepNext w:val="0"/>
              <w:keepLines w:val="0"/>
              <w:suppressLineNumbers w:val="0"/>
              <w:spacing w:before="0" w:beforeAutospacing="0" w:after="0" w:afterAutospacing="0"/>
              <w:ind w:left="0" w:right="0"/>
              <w:rPr>
                <w:rFonts w:hint="default" w:ascii="Arial"/>
                <w:sz w:val="21"/>
              </w:rPr>
            </w:pPr>
          </w:p>
        </w:tc>
        <w:tc>
          <w:tcPr>
            <w:tcW w:w="396"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600" w:type="dxa"/>
            <w:vAlign w:val="top"/>
          </w:tcPr>
          <w:p>
            <w:pPr>
              <w:keepNext w:val="0"/>
              <w:keepLines w:val="0"/>
              <w:suppressLineNumbers w:val="0"/>
              <w:spacing w:before="0" w:beforeAutospacing="0" w:after="0" w:afterAutospacing="0"/>
              <w:ind w:left="0" w:right="0"/>
              <w:rPr>
                <w:rFonts w:hint="default" w:ascii="Arial"/>
                <w:sz w:val="21"/>
              </w:rPr>
            </w:pPr>
          </w:p>
        </w:tc>
        <w:tc>
          <w:tcPr>
            <w:tcW w:w="1549" w:type="dxa"/>
            <w:vAlign w:val="top"/>
          </w:tcPr>
          <w:p>
            <w:pPr>
              <w:keepNext w:val="0"/>
              <w:keepLines w:val="0"/>
              <w:suppressLineNumbers w:val="0"/>
              <w:spacing w:before="0" w:beforeAutospacing="0" w:after="0" w:afterAutospacing="0"/>
              <w:ind w:left="0" w:right="0"/>
              <w:rPr>
                <w:rFonts w:hint="default" w:ascii="Arial"/>
                <w:sz w:val="21"/>
              </w:rPr>
            </w:pPr>
          </w:p>
        </w:tc>
        <w:tc>
          <w:tcPr>
            <w:tcW w:w="611" w:type="dxa"/>
            <w:vAlign w:val="top"/>
          </w:tcPr>
          <w:p>
            <w:pPr>
              <w:keepNext w:val="0"/>
              <w:keepLines w:val="0"/>
              <w:suppressLineNumbers w:val="0"/>
              <w:spacing w:before="0" w:beforeAutospacing="0" w:after="0" w:afterAutospacing="0"/>
              <w:ind w:left="0" w:right="0"/>
              <w:rPr>
                <w:rFonts w:hint="default" w:ascii="Arial"/>
                <w:sz w:val="21"/>
              </w:rPr>
            </w:pPr>
          </w:p>
        </w:tc>
        <w:tc>
          <w:tcPr>
            <w:tcW w:w="624" w:type="dxa"/>
            <w:vAlign w:val="top"/>
          </w:tcPr>
          <w:p>
            <w:pPr>
              <w:keepNext w:val="0"/>
              <w:keepLines w:val="0"/>
              <w:suppressLineNumbers w:val="0"/>
              <w:spacing w:before="0" w:beforeAutospacing="0" w:after="0" w:afterAutospacing="0"/>
              <w:ind w:left="0" w:right="0"/>
              <w:rPr>
                <w:rFonts w:hint="default" w:ascii="Arial"/>
                <w:sz w:val="21"/>
              </w:rPr>
            </w:pPr>
          </w:p>
        </w:tc>
        <w:tc>
          <w:tcPr>
            <w:tcW w:w="63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2844" w:type="dxa"/>
            <w:vAlign w:val="top"/>
          </w:tcPr>
          <w:p>
            <w:pPr>
              <w:keepNext w:val="0"/>
              <w:keepLines w:val="0"/>
              <w:suppressLineNumbers w:val="0"/>
              <w:spacing w:before="0" w:beforeAutospacing="0" w:after="0" w:afterAutospacing="0"/>
              <w:ind w:left="0" w:right="0"/>
              <w:rPr>
                <w:rFonts w:hint="default" w:ascii="Arial"/>
                <w:sz w:val="21"/>
              </w:rPr>
            </w:pPr>
          </w:p>
        </w:tc>
        <w:tc>
          <w:tcPr>
            <w:tcW w:w="393" w:type="dxa"/>
            <w:vAlign w:val="top"/>
          </w:tcPr>
          <w:p>
            <w:pPr>
              <w:keepNext w:val="0"/>
              <w:keepLines w:val="0"/>
              <w:suppressLineNumbers w:val="0"/>
              <w:spacing w:before="0" w:beforeAutospacing="0" w:after="0" w:afterAutospacing="0"/>
              <w:ind w:left="0" w:right="0"/>
              <w:rPr>
                <w:rFonts w:hint="default" w:ascii="Arial"/>
                <w:sz w:val="21"/>
              </w:rPr>
            </w:pPr>
          </w:p>
        </w:tc>
        <w:tc>
          <w:tcPr>
            <w:tcW w:w="396"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600" w:type="dxa"/>
            <w:vAlign w:val="top"/>
          </w:tcPr>
          <w:p>
            <w:pPr>
              <w:keepNext w:val="0"/>
              <w:keepLines w:val="0"/>
              <w:suppressLineNumbers w:val="0"/>
              <w:spacing w:before="0" w:beforeAutospacing="0" w:after="0" w:afterAutospacing="0"/>
              <w:ind w:left="0" w:right="0"/>
              <w:rPr>
                <w:rFonts w:hint="default" w:ascii="Arial"/>
                <w:sz w:val="21"/>
              </w:rPr>
            </w:pPr>
          </w:p>
        </w:tc>
        <w:tc>
          <w:tcPr>
            <w:tcW w:w="1549" w:type="dxa"/>
            <w:vAlign w:val="top"/>
          </w:tcPr>
          <w:p>
            <w:pPr>
              <w:keepNext w:val="0"/>
              <w:keepLines w:val="0"/>
              <w:suppressLineNumbers w:val="0"/>
              <w:spacing w:before="0" w:beforeAutospacing="0" w:after="0" w:afterAutospacing="0"/>
              <w:ind w:left="0" w:right="0"/>
              <w:rPr>
                <w:rFonts w:hint="default" w:ascii="Arial"/>
                <w:sz w:val="21"/>
              </w:rPr>
            </w:pPr>
          </w:p>
        </w:tc>
        <w:tc>
          <w:tcPr>
            <w:tcW w:w="611" w:type="dxa"/>
            <w:vAlign w:val="top"/>
          </w:tcPr>
          <w:p>
            <w:pPr>
              <w:keepNext w:val="0"/>
              <w:keepLines w:val="0"/>
              <w:suppressLineNumbers w:val="0"/>
              <w:spacing w:before="0" w:beforeAutospacing="0" w:after="0" w:afterAutospacing="0"/>
              <w:ind w:left="0" w:right="0"/>
              <w:rPr>
                <w:rFonts w:hint="default" w:ascii="Arial"/>
                <w:sz w:val="21"/>
              </w:rPr>
            </w:pPr>
          </w:p>
        </w:tc>
        <w:tc>
          <w:tcPr>
            <w:tcW w:w="624" w:type="dxa"/>
            <w:vAlign w:val="top"/>
          </w:tcPr>
          <w:p>
            <w:pPr>
              <w:keepNext w:val="0"/>
              <w:keepLines w:val="0"/>
              <w:suppressLineNumbers w:val="0"/>
              <w:spacing w:before="0" w:beforeAutospacing="0" w:after="0" w:afterAutospacing="0"/>
              <w:ind w:left="0" w:right="0"/>
              <w:rPr>
                <w:rFonts w:hint="default" w:ascii="Arial"/>
                <w:sz w:val="21"/>
              </w:rPr>
            </w:pPr>
          </w:p>
        </w:tc>
        <w:tc>
          <w:tcPr>
            <w:tcW w:w="63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2844" w:type="dxa"/>
            <w:vAlign w:val="top"/>
          </w:tcPr>
          <w:p>
            <w:pPr>
              <w:keepNext w:val="0"/>
              <w:keepLines w:val="0"/>
              <w:suppressLineNumbers w:val="0"/>
              <w:spacing w:before="0" w:beforeAutospacing="0" w:after="0" w:afterAutospacing="0"/>
              <w:ind w:left="0" w:right="0"/>
              <w:rPr>
                <w:rFonts w:hint="default" w:ascii="Arial"/>
                <w:sz w:val="21"/>
              </w:rPr>
            </w:pPr>
          </w:p>
        </w:tc>
        <w:tc>
          <w:tcPr>
            <w:tcW w:w="393" w:type="dxa"/>
            <w:vAlign w:val="top"/>
          </w:tcPr>
          <w:p>
            <w:pPr>
              <w:keepNext w:val="0"/>
              <w:keepLines w:val="0"/>
              <w:suppressLineNumbers w:val="0"/>
              <w:spacing w:before="0" w:beforeAutospacing="0" w:after="0" w:afterAutospacing="0"/>
              <w:ind w:left="0" w:right="0"/>
              <w:rPr>
                <w:rFonts w:hint="default" w:ascii="Arial"/>
                <w:sz w:val="21"/>
              </w:rPr>
            </w:pPr>
          </w:p>
        </w:tc>
        <w:tc>
          <w:tcPr>
            <w:tcW w:w="396"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600" w:type="dxa"/>
            <w:vAlign w:val="top"/>
          </w:tcPr>
          <w:p>
            <w:pPr>
              <w:keepNext w:val="0"/>
              <w:keepLines w:val="0"/>
              <w:suppressLineNumbers w:val="0"/>
              <w:spacing w:before="0" w:beforeAutospacing="0" w:after="0" w:afterAutospacing="0"/>
              <w:ind w:left="0" w:right="0"/>
              <w:rPr>
                <w:rFonts w:hint="default" w:ascii="Arial"/>
                <w:sz w:val="21"/>
              </w:rPr>
            </w:pPr>
          </w:p>
        </w:tc>
        <w:tc>
          <w:tcPr>
            <w:tcW w:w="1549" w:type="dxa"/>
            <w:vAlign w:val="top"/>
          </w:tcPr>
          <w:p>
            <w:pPr>
              <w:keepNext w:val="0"/>
              <w:keepLines w:val="0"/>
              <w:suppressLineNumbers w:val="0"/>
              <w:spacing w:before="0" w:beforeAutospacing="0" w:after="0" w:afterAutospacing="0"/>
              <w:ind w:left="0" w:right="0"/>
              <w:rPr>
                <w:rFonts w:hint="default" w:ascii="Arial"/>
                <w:sz w:val="21"/>
              </w:rPr>
            </w:pPr>
          </w:p>
        </w:tc>
        <w:tc>
          <w:tcPr>
            <w:tcW w:w="611" w:type="dxa"/>
            <w:vAlign w:val="top"/>
          </w:tcPr>
          <w:p>
            <w:pPr>
              <w:keepNext w:val="0"/>
              <w:keepLines w:val="0"/>
              <w:suppressLineNumbers w:val="0"/>
              <w:spacing w:before="0" w:beforeAutospacing="0" w:after="0" w:afterAutospacing="0"/>
              <w:ind w:left="0" w:right="0"/>
              <w:rPr>
                <w:rFonts w:hint="default" w:ascii="Arial"/>
                <w:sz w:val="21"/>
              </w:rPr>
            </w:pPr>
          </w:p>
        </w:tc>
        <w:tc>
          <w:tcPr>
            <w:tcW w:w="624" w:type="dxa"/>
            <w:vAlign w:val="top"/>
          </w:tcPr>
          <w:p>
            <w:pPr>
              <w:keepNext w:val="0"/>
              <w:keepLines w:val="0"/>
              <w:suppressLineNumbers w:val="0"/>
              <w:spacing w:before="0" w:beforeAutospacing="0" w:after="0" w:afterAutospacing="0"/>
              <w:ind w:left="0" w:right="0"/>
              <w:rPr>
                <w:rFonts w:hint="default" w:ascii="Arial"/>
                <w:sz w:val="21"/>
              </w:rPr>
            </w:pPr>
          </w:p>
        </w:tc>
        <w:tc>
          <w:tcPr>
            <w:tcW w:w="63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2844" w:type="dxa"/>
            <w:vAlign w:val="top"/>
          </w:tcPr>
          <w:p>
            <w:pPr>
              <w:pStyle w:val="72"/>
              <w:keepNext w:val="0"/>
              <w:keepLines w:val="0"/>
              <w:suppressLineNumbers w:val="0"/>
              <w:spacing w:before="131" w:beforeAutospacing="0" w:after="0" w:afterAutospacing="0" w:line="221" w:lineRule="auto"/>
              <w:ind w:left="36" w:right="0"/>
              <w:rPr>
                <w:rFonts w:hint="default"/>
              </w:rPr>
            </w:pPr>
            <w:r>
              <w:rPr>
                <w:rFonts w:hint="default"/>
                <w:spacing w:val="-2"/>
              </w:rPr>
              <w:t>租用面积合计</w:t>
            </w:r>
          </w:p>
        </w:tc>
        <w:tc>
          <w:tcPr>
            <w:tcW w:w="393" w:type="dxa"/>
            <w:vAlign w:val="top"/>
          </w:tcPr>
          <w:p>
            <w:pPr>
              <w:keepNext w:val="0"/>
              <w:keepLines w:val="0"/>
              <w:suppressLineNumbers w:val="0"/>
              <w:spacing w:before="0" w:beforeAutospacing="0" w:after="0" w:afterAutospacing="0"/>
              <w:ind w:left="0" w:right="0"/>
              <w:rPr>
                <w:rFonts w:hint="default" w:ascii="Arial"/>
                <w:sz w:val="21"/>
              </w:rPr>
            </w:pPr>
          </w:p>
        </w:tc>
        <w:tc>
          <w:tcPr>
            <w:tcW w:w="396"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599" w:type="dxa"/>
            <w:vAlign w:val="top"/>
          </w:tcPr>
          <w:p>
            <w:pPr>
              <w:keepNext w:val="0"/>
              <w:keepLines w:val="0"/>
              <w:suppressLineNumbers w:val="0"/>
              <w:spacing w:before="0" w:beforeAutospacing="0" w:after="0" w:afterAutospacing="0"/>
              <w:ind w:left="0" w:right="0"/>
              <w:rPr>
                <w:rFonts w:hint="default" w:ascii="Arial"/>
                <w:sz w:val="21"/>
              </w:rPr>
            </w:pPr>
          </w:p>
        </w:tc>
        <w:tc>
          <w:tcPr>
            <w:tcW w:w="600" w:type="dxa"/>
            <w:vAlign w:val="top"/>
          </w:tcPr>
          <w:p>
            <w:pPr>
              <w:keepNext w:val="0"/>
              <w:keepLines w:val="0"/>
              <w:suppressLineNumbers w:val="0"/>
              <w:spacing w:before="0" w:beforeAutospacing="0" w:after="0" w:afterAutospacing="0"/>
              <w:ind w:left="0" w:right="0"/>
              <w:rPr>
                <w:rFonts w:hint="default" w:ascii="Arial"/>
                <w:sz w:val="21"/>
              </w:rPr>
            </w:pPr>
          </w:p>
        </w:tc>
        <w:tc>
          <w:tcPr>
            <w:tcW w:w="1549" w:type="dxa"/>
            <w:vAlign w:val="top"/>
          </w:tcPr>
          <w:p>
            <w:pPr>
              <w:keepNext w:val="0"/>
              <w:keepLines w:val="0"/>
              <w:suppressLineNumbers w:val="0"/>
              <w:spacing w:before="0" w:beforeAutospacing="0" w:after="0" w:afterAutospacing="0"/>
              <w:ind w:left="0" w:right="0"/>
              <w:rPr>
                <w:rFonts w:hint="default" w:ascii="Arial"/>
                <w:sz w:val="21"/>
              </w:rPr>
            </w:pPr>
          </w:p>
        </w:tc>
        <w:tc>
          <w:tcPr>
            <w:tcW w:w="611" w:type="dxa"/>
            <w:vAlign w:val="top"/>
          </w:tcPr>
          <w:p>
            <w:pPr>
              <w:keepNext w:val="0"/>
              <w:keepLines w:val="0"/>
              <w:suppressLineNumbers w:val="0"/>
              <w:spacing w:before="0" w:beforeAutospacing="0" w:after="0" w:afterAutospacing="0"/>
              <w:ind w:left="0" w:right="0"/>
              <w:rPr>
                <w:rFonts w:hint="default" w:ascii="Arial"/>
                <w:sz w:val="21"/>
              </w:rPr>
            </w:pPr>
          </w:p>
        </w:tc>
        <w:tc>
          <w:tcPr>
            <w:tcW w:w="624" w:type="dxa"/>
            <w:vAlign w:val="top"/>
          </w:tcPr>
          <w:p>
            <w:pPr>
              <w:keepNext w:val="0"/>
              <w:keepLines w:val="0"/>
              <w:suppressLineNumbers w:val="0"/>
              <w:spacing w:before="0" w:beforeAutospacing="0" w:after="0" w:afterAutospacing="0"/>
              <w:ind w:left="0" w:right="0"/>
              <w:rPr>
                <w:rFonts w:hint="default" w:ascii="Arial"/>
                <w:sz w:val="21"/>
              </w:rPr>
            </w:pPr>
          </w:p>
        </w:tc>
        <w:tc>
          <w:tcPr>
            <w:tcW w:w="630" w:type="dxa"/>
            <w:vAlign w:val="top"/>
          </w:tcPr>
          <w:p>
            <w:pPr>
              <w:keepNext w:val="0"/>
              <w:keepLines w:val="0"/>
              <w:suppressLineNumbers w:val="0"/>
              <w:spacing w:before="0" w:beforeAutospacing="0" w:after="0" w:afterAutospacing="0"/>
              <w:ind w:left="0" w:right="0"/>
              <w:rPr>
                <w:rFonts w:hint="default" w:ascii="Arial"/>
                <w:sz w:val="21"/>
              </w:rPr>
            </w:pPr>
          </w:p>
        </w:tc>
      </w:tr>
    </w:tbl>
    <w:p>
      <w:pPr>
        <w:pStyle w:val="8"/>
      </w:pPr>
    </w:p>
    <w:p>
      <w:pPr>
        <w:sectPr>
          <w:footerReference r:id="rId31" w:type="default"/>
          <w:pgSz w:w="11907" w:h="16841"/>
          <w:pgMar w:top="1427" w:right="1785" w:bottom="1216" w:left="1180" w:header="0" w:footer="1055" w:gutter="0"/>
          <w:pgNumType w:fmt="decimal"/>
          <w:cols w:space="720" w:num="1"/>
        </w:sectPr>
      </w:pPr>
    </w:p>
    <w:p>
      <w:pPr>
        <w:spacing w:before="42" w:line="220" w:lineRule="auto"/>
        <w:ind w:left="193"/>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附表八外供电力需求计划表</w:t>
      </w:r>
      <w:r>
        <w:rPr>
          <w:rFonts w:hint="eastAsia" w:ascii="宋体" w:hAnsi="宋体" w:eastAsia="宋体" w:cs="宋体"/>
          <w:spacing w:val="-1"/>
          <w:sz w:val="21"/>
          <w:szCs w:val="21"/>
          <w:lang w:eastAsia="zh-CN"/>
          <w14:textOutline w14:w="3831" w14:cap="flat" w14:cmpd="sng">
            <w14:solidFill>
              <w14:srgbClr w14:val="000000"/>
            </w14:solidFill>
            <w14:prstDash w14:val="solid"/>
            <w14:miter w14:val="0"/>
          </w14:textOutline>
        </w:rPr>
        <w:t>（</w:t>
      </w:r>
      <w:r>
        <w:rPr>
          <w:rFonts w:hint="eastAsia" w:ascii="宋体" w:hAnsi="宋体" w:eastAsia="宋体" w:cs="宋体"/>
          <w:spacing w:val="-1"/>
          <w:sz w:val="21"/>
          <w:szCs w:val="21"/>
          <w:lang w:val="en-US" w:eastAsia="zh-CN"/>
          <w14:textOutline w14:w="3831" w14:cap="flat" w14:cmpd="sng">
            <w14:solidFill>
              <w14:srgbClr w14:val="000000"/>
            </w14:solidFill>
            <w14:prstDash w14:val="solid"/>
            <w14:miter w14:val="0"/>
          </w14:textOutline>
        </w:rPr>
        <w:t>参考）</w:t>
      </w:r>
    </w:p>
    <w:p>
      <w:pPr>
        <w:spacing w:before="33"/>
      </w:pPr>
    </w:p>
    <w:p>
      <w:pPr>
        <w:spacing w:before="32"/>
      </w:pPr>
    </w:p>
    <w:tbl>
      <w:tblPr>
        <w:tblStyle w:val="68"/>
        <w:tblW w:w="879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3"/>
        <w:gridCol w:w="995"/>
        <w:gridCol w:w="1384"/>
        <w:gridCol w:w="1225"/>
        <w:gridCol w:w="2337"/>
        <w:gridCol w:w="18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2038" w:type="dxa"/>
            <w:gridSpan w:val="2"/>
            <w:vAlign w:val="top"/>
          </w:tcPr>
          <w:p>
            <w:pPr>
              <w:pStyle w:val="72"/>
              <w:keepNext w:val="0"/>
              <w:keepLines w:val="0"/>
              <w:suppressLineNumbers w:val="0"/>
              <w:spacing w:before="86" w:beforeAutospacing="0" w:after="0" w:afterAutospacing="0" w:line="222" w:lineRule="auto"/>
              <w:ind w:left="451" w:right="0"/>
              <w:rPr>
                <w:rFonts w:hint="default"/>
              </w:rPr>
            </w:pPr>
            <w:r>
              <w:rPr>
                <w:rFonts w:hint="default"/>
                <w:spacing w:val="-12"/>
              </w:rPr>
              <w:t>用电位置</w:t>
            </w:r>
          </w:p>
        </w:tc>
        <w:tc>
          <w:tcPr>
            <w:tcW w:w="1384" w:type="dxa"/>
            <w:vMerge w:val="restart"/>
            <w:tcBorders>
              <w:bottom w:val="nil"/>
            </w:tcBorders>
            <w:vAlign w:val="top"/>
          </w:tcPr>
          <w:p>
            <w:pPr>
              <w:pStyle w:val="72"/>
              <w:keepNext w:val="0"/>
              <w:keepLines w:val="0"/>
              <w:suppressLineNumbers w:val="0"/>
              <w:spacing w:before="86" w:beforeAutospacing="0" w:after="0" w:afterAutospacing="0" w:line="377" w:lineRule="exact"/>
              <w:ind w:left="7" w:right="0"/>
              <w:rPr>
                <w:rFonts w:hint="default"/>
              </w:rPr>
            </w:pPr>
            <w:r>
              <w:rPr>
                <w:rFonts w:hint="default"/>
                <w:spacing w:val="-1"/>
                <w:position w:val="12"/>
              </w:rPr>
              <w:t>计划用电量</w:t>
            </w:r>
          </w:p>
          <w:p>
            <w:pPr>
              <w:pStyle w:val="72"/>
              <w:keepNext w:val="0"/>
              <w:keepLines w:val="0"/>
              <w:suppressLineNumbers w:val="0"/>
              <w:spacing w:before="0" w:beforeAutospacing="0" w:after="0" w:afterAutospacing="0" w:line="280" w:lineRule="exact"/>
              <w:ind w:left="273" w:right="0"/>
              <w:rPr>
                <w:rFonts w:hint="default"/>
              </w:rPr>
            </w:pPr>
            <w:r>
              <w:rPr>
                <w:rFonts w:hint="default"/>
                <w:spacing w:val="-6"/>
                <w:position w:val="1"/>
              </w:rPr>
              <w:t>（</w:t>
            </w:r>
            <w:r>
              <w:rPr>
                <w:rFonts w:hint="default" w:ascii="Times New Roman" w:hAnsi="Times New Roman" w:eastAsia="Times New Roman" w:cs="Times New Roman"/>
                <w:spacing w:val="-6"/>
                <w:position w:val="1"/>
              </w:rPr>
              <w:t>kW</w:t>
            </w:r>
            <w:r>
              <w:rPr>
                <w:rFonts w:hint="default"/>
                <w:spacing w:val="-6"/>
                <w:position w:val="1"/>
              </w:rPr>
              <w:t>·</w:t>
            </w:r>
            <w:r>
              <w:rPr>
                <w:rFonts w:hint="default" w:ascii="Times New Roman" w:hAnsi="Times New Roman" w:eastAsia="Times New Roman" w:cs="Times New Roman"/>
                <w:spacing w:val="-6"/>
                <w:position w:val="1"/>
              </w:rPr>
              <w:t>h</w:t>
            </w:r>
            <w:r>
              <w:rPr>
                <w:rFonts w:hint="default"/>
                <w:spacing w:val="-6"/>
                <w:position w:val="1"/>
              </w:rPr>
              <w:t>）</w:t>
            </w:r>
          </w:p>
        </w:tc>
        <w:tc>
          <w:tcPr>
            <w:tcW w:w="1225" w:type="dxa"/>
            <w:vMerge w:val="restart"/>
            <w:tcBorders>
              <w:bottom w:val="nil"/>
            </w:tcBorders>
            <w:vAlign w:val="top"/>
          </w:tcPr>
          <w:p>
            <w:pPr>
              <w:keepNext w:val="0"/>
              <w:keepLines w:val="0"/>
              <w:suppressLineNumbers w:val="0"/>
              <w:spacing w:before="0" w:beforeAutospacing="0" w:after="0" w:afterAutospacing="0" w:line="395" w:lineRule="auto"/>
              <w:ind w:left="0" w:right="0"/>
              <w:rPr>
                <w:rFonts w:hint="default" w:ascii="Arial"/>
                <w:sz w:val="21"/>
              </w:rPr>
            </w:pPr>
          </w:p>
          <w:p>
            <w:pPr>
              <w:pStyle w:val="72"/>
              <w:keepNext w:val="0"/>
              <w:keepLines w:val="0"/>
              <w:suppressLineNumbers w:val="0"/>
              <w:spacing w:before="68" w:beforeAutospacing="0" w:after="0" w:afterAutospacing="0" w:line="222" w:lineRule="auto"/>
              <w:ind w:left="308" w:right="0"/>
              <w:rPr>
                <w:rFonts w:hint="default"/>
              </w:rPr>
            </w:pPr>
            <w:r>
              <w:rPr>
                <w:rFonts w:hint="default"/>
                <w:spacing w:val="-5"/>
              </w:rPr>
              <w:t>用途</w:t>
            </w:r>
          </w:p>
        </w:tc>
        <w:tc>
          <w:tcPr>
            <w:tcW w:w="2337" w:type="dxa"/>
            <w:vMerge w:val="restart"/>
            <w:tcBorders>
              <w:bottom w:val="nil"/>
            </w:tcBorders>
            <w:vAlign w:val="top"/>
          </w:tcPr>
          <w:p>
            <w:pPr>
              <w:pStyle w:val="72"/>
              <w:keepNext w:val="0"/>
              <w:keepLines w:val="0"/>
              <w:suppressLineNumbers w:val="0"/>
              <w:spacing w:before="86" w:beforeAutospacing="0" w:after="0" w:afterAutospacing="0" w:line="416" w:lineRule="exact"/>
              <w:ind w:left="622" w:right="0"/>
              <w:rPr>
                <w:rFonts w:hint="default"/>
              </w:rPr>
            </w:pPr>
            <w:r>
              <w:rPr>
                <w:rFonts w:hint="default"/>
                <w:spacing w:val="-12"/>
                <w:position w:val="15"/>
              </w:rPr>
              <w:t>需用时间</w:t>
            </w:r>
          </w:p>
          <w:p>
            <w:pPr>
              <w:pStyle w:val="72"/>
              <w:keepNext w:val="0"/>
              <w:keepLines w:val="0"/>
              <w:suppressLineNumbers w:val="0"/>
              <w:tabs>
                <w:tab w:val="left" w:pos="427"/>
              </w:tabs>
              <w:spacing w:before="0" w:beforeAutospacing="0" w:after="0" w:afterAutospacing="0" w:line="220" w:lineRule="auto"/>
              <w:ind w:left="0" w:right="0"/>
              <w:rPr>
                <w:rFonts w:hint="eastAsia"/>
                <w:spacing w:val="-7"/>
                <w:lang w:val="en-US" w:eastAsia="zh-CN"/>
              </w:rPr>
            </w:pPr>
            <w:r>
              <w:rPr>
                <w:rFonts w:hint="default"/>
                <w:u w:val="single" w:color="auto"/>
              </w:rPr>
              <w:tab/>
            </w:r>
            <w:r>
              <w:rPr>
                <w:rFonts w:hint="default"/>
                <w:spacing w:val="-7"/>
              </w:rPr>
              <w:t>年</w:t>
            </w:r>
            <w:r>
              <w:rPr>
                <w:rFonts w:hint="eastAsia"/>
                <w:spacing w:val="-7"/>
                <w:u w:val="single"/>
                <w:lang w:val="en-US" w:eastAsia="zh-CN"/>
              </w:rPr>
              <w:t xml:space="preserve">   </w:t>
            </w:r>
            <w:r>
              <w:rPr>
                <w:rFonts w:hint="default"/>
                <w:spacing w:val="-7"/>
              </w:rPr>
              <w:t>月至</w:t>
            </w:r>
            <w:r>
              <w:rPr>
                <w:rFonts w:hint="eastAsia"/>
                <w:spacing w:val="-7"/>
                <w:lang w:val="en-US" w:eastAsia="zh-CN"/>
              </w:rPr>
              <w:t xml:space="preserve">   </w:t>
            </w:r>
          </w:p>
          <w:p>
            <w:pPr>
              <w:pStyle w:val="72"/>
              <w:keepNext w:val="0"/>
              <w:keepLines w:val="0"/>
              <w:suppressLineNumbers w:val="0"/>
              <w:tabs>
                <w:tab w:val="left" w:pos="427"/>
              </w:tabs>
              <w:spacing w:before="0" w:beforeAutospacing="0" w:after="0" w:afterAutospacing="0" w:line="220" w:lineRule="auto"/>
              <w:ind w:left="0" w:right="0"/>
              <w:rPr>
                <w:rFonts w:hint="default"/>
              </w:rPr>
            </w:pPr>
            <w:r>
              <w:rPr>
                <w:rFonts w:hint="eastAsia"/>
                <w:spacing w:val="-7"/>
                <w:u w:val="single"/>
                <w:lang w:val="en-US" w:eastAsia="zh-CN"/>
              </w:rPr>
              <w:t xml:space="preserve">    </w:t>
            </w:r>
            <w:r>
              <w:rPr>
                <w:rFonts w:hint="default"/>
                <w:spacing w:val="-4"/>
              </w:rPr>
              <w:t>年</w:t>
            </w:r>
            <w:r>
              <w:rPr>
                <w:rFonts w:hint="eastAsia"/>
                <w:spacing w:val="-4"/>
                <w:u w:val="single"/>
                <w:lang w:val="en-US" w:eastAsia="zh-CN"/>
              </w:rPr>
              <w:t xml:space="preserve">   </w:t>
            </w:r>
            <w:r>
              <w:rPr>
                <w:rFonts w:hint="default"/>
                <w:spacing w:val="-4"/>
              </w:rPr>
              <w:t>月</w:t>
            </w:r>
          </w:p>
        </w:tc>
        <w:tc>
          <w:tcPr>
            <w:tcW w:w="1808" w:type="dxa"/>
            <w:vMerge w:val="restart"/>
            <w:tcBorders>
              <w:bottom w:val="nil"/>
            </w:tcBorders>
            <w:vAlign w:val="top"/>
          </w:tcPr>
          <w:p>
            <w:pPr>
              <w:keepNext w:val="0"/>
              <w:keepLines w:val="0"/>
              <w:suppressLineNumbers w:val="0"/>
              <w:spacing w:before="0" w:beforeAutospacing="0" w:after="0" w:afterAutospacing="0" w:line="395" w:lineRule="auto"/>
              <w:ind w:left="0" w:right="0"/>
              <w:rPr>
                <w:rFonts w:hint="default" w:ascii="Arial"/>
                <w:sz w:val="21"/>
              </w:rPr>
            </w:pPr>
          </w:p>
          <w:p>
            <w:pPr>
              <w:pStyle w:val="72"/>
              <w:keepNext w:val="0"/>
              <w:keepLines w:val="0"/>
              <w:suppressLineNumbers w:val="0"/>
              <w:spacing w:before="68" w:beforeAutospacing="0" w:after="0" w:afterAutospacing="0" w:line="222" w:lineRule="auto"/>
              <w:ind w:left="585" w:right="0"/>
              <w:rPr>
                <w:rFonts w:hint="default"/>
              </w:rPr>
            </w:pPr>
            <w:r>
              <w:rPr>
                <w:rFonts w:hint="default"/>
                <w:spacing w:val="-5"/>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atLeast"/>
        </w:trPr>
        <w:tc>
          <w:tcPr>
            <w:tcW w:w="1043" w:type="dxa"/>
            <w:vAlign w:val="top"/>
          </w:tcPr>
          <w:p>
            <w:pPr>
              <w:pStyle w:val="72"/>
              <w:keepNext w:val="0"/>
              <w:keepLines w:val="0"/>
              <w:suppressLineNumbers w:val="0"/>
              <w:spacing w:before="309" w:beforeAutospacing="0" w:after="0" w:afterAutospacing="0" w:line="221" w:lineRule="auto"/>
              <w:ind w:left="214" w:right="0"/>
              <w:rPr>
                <w:rFonts w:hint="default"/>
              </w:rPr>
            </w:pPr>
            <w:r>
              <w:rPr>
                <w:rFonts w:hint="default"/>
                <w:spacing w:val="-4"/>
              </w:rPr>
              <w:t>桩号</w:t>
            </w:r>
          </w:p>
        </w:tc>
        <w:tc>
          <w:tcPr>
            <w:tcW w:w="995" w:type="dxa"/>
            <w:vAlign w:val="top"/>
          </w:tcPr>
          <w:p>
            <w:pPr>
              <w:pStyle w:val="72"/>
              <w:keepNext w:val="0"/>
              <w:keepLines w:val="0"/>
              <w:suppressLineNumbers w:val="0"/>
              <w:spacing w:before="79" w:beforeAutospacing="0" w:after="0" w:afterAutospacing="0" w:line="274" w:lineRule="auto"/>
              <w:ind w:left="216" w:right="172" w:hanging="28"/>
              <w:rPr>
                <w:rFonts w:hint="default"/>
              </w:rPr>
            </w:pPr>
            <w:r>
              <w:rPr>
                <w:rFonts w:hint="default"/>
                <w:spacing w:val="-3"/>
              </w:rPr>
              <w:t>左或右</w:t>
            </w:r>
            <w:r>
              <w:rPr>
                <w:rFonts w:hint="default"/>
                <w:spacing w:val="-5"/>
              </w:rPr>
              <w:t>（</w:t>
            </w:r>
            <w:r>
              <w:rPr>
                <w:rFonts w:hint="default" w:ascii="Times New Roman" w:hAnsi="Times New Roman" w:eastAsia="Times New Roman" w:cs="Times New Roman"/>
                <w:spacing w:val="-5"/>
              </w:rPr>
              <w:t>m</w:t>
            </w:r>
            <w:r>
              <w:rPr>
                <w:rFonts w:hint="default"/>
                <w:spacing w:val="-5"/>
              </w:rPr>
              <w:t>）</w:t>
            </w:r>
          </w:p>
        </w:tc>
        <w:tc>
          <w:tcPr>
            <w:tcW w:w="1384" w:type="dxa"/>
            <w:vMerge w:val="continue"/>
            <w:tcBorders>
              <w:top w:val="nil"/>
            </w:tcBorders>
            <w:vAlign w:val="top"/>
          </w:tcPr>
          <w:p>
            <w:pPr>
              <w:keepNext w:val="0"/>
              <w:keepLines w:val="0"/>
              <w:suppressLineNumbers w:val="0"/>
              <w:spacing w:before="0" w:beforeAutospacing="0" w:after="0" w:afterAutospacing="0"/>
              <w:ind w:left="0" w:right="0"/>
              <w:rPr>
                <w:rFonts w:hint="default" w:ascii="Arial"/>
                <w:sz w:val="21"/>
              </w:rPr>
            </w:pPr>
          </w:p>
        </w:tc>
        <w:tc>
          <w:tcPr>
            <w:tcW w:w="1225" w:type="dxa"/>
            <w:vMerge w:val="continue"/>
            <w:tcBorders>
              <w:top w:val="nil"/>
            </w:tcBorders>
            <w:vAlign w:val="top"/>
          </w:tcPr>
          <w:p>
            <w:pPr>
              <w:keepNext w:val="0"/>
              <w:keepLines w:val="0"/>
              <w:suppressLineNumbers w:val="0"/>
              <w:spacing w:before="0" w:beforeAutospacing="0" w:after="0" w:afterAutospacing="0"/>
              <w:ind w:left="0" w:right="0"/>
              <w:rPr>
                <w:rFonts w:hint="default" w:ascii="Arial"/>
                <w:sz w:val="21"/>
              </w:rPr>
            </w:pPr>
          </w:p>
        </w:tc>
        <w:tc>
          <w:tcPr>
            <w:tcW w:w="2337" w:type="dxa"/>
            <w:vMerge w:val="continue"/>
            <w:tcBorders>
              <w:top w:val="nil"/>
            </w:tcBorders>
            <w:vAlign w:val="top"/>
          </w:tcPr>
          <w:p>
            <w:pPr>
              <w:keepNext w:val="0"/>
              <w:keepLines w:val="0"/>
              <w:suppressLineNumbers w:val="0"/>
              <w:spacing w:before="0" w:beforeAutospacing="0" w:after="0" w:afterAutospacing="0"/>
              <w:ind w:left="0" w:right="0"/>
              <w:rPr>
                <w:rFonts w:hint="default" w:ascii="Arial"/>
                <w:sz w:val="21"/>
              </w:rPr>
            </w:pPr>
          </w:p>
        </w:tc>
        <w:tc>
          <w:tcPr>
            <w:tcW w:w="1808" w:type="dxa"/>
            <w:vMerge w:val="continue"/>
            <w:tcBorders>
              <w:top w:val="nil"/>
            </w:tcBorders>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043" w:type="dxa"/>
            <w:vAlign w:val="top"/>
          </w:tcPr>
          <w:p>
            <w:pPr>
              <w:keepNext w:val="0"/>
              <w:keepLines w:val="0"/>
              <w:suppressLineNumbers w:val="0"/>
              <w:spacing w:before="0" w:beforeAutospacing="0" w:after="0" w:afterAutospacing="0"/>
              <w:ind w:left="0" w:right="0"/>
              <w:rPr>
                <w:rFonts w:hint="default" w:ascii="Arial"/>
                <w:sz w:val="21"/>
              </w:rPr>
            </w:pPr>
          </w:p>
        </w:tc>
        <w:tc>
          <w:tcPr>
            <w:tcW w:w="995" w:type="dxa"/>
            <w:vAlign w:val="top"/>
          </w:tcPr>
          <w:p>
            <w:pPr>
              <w:keepNext w:val="0"/>
              <w:keepLines w:val="0"/>
              <w:suppressLineNumbers w:val="0"/>
              <w:spacing w:before="0" w:beforeAutospacing="0" w:after="0" w:afterAutospacing="0"/>
              <w:ind w:left="0" w:right="0"/>
              <w:rPr>
                <w:rFonts w:hint="default" w:ascii="Arial"/>
                <w:sz w:val="21"/>
              </w:rPr>
            </w:pPr>
          </w:p>
        </w:tc>
        <w:tc>
          <w:tcPr>
            <w:tcW w:w="1384" w:type="dxa"/>
            <w:vAlign w:val="top"/>
          </w:tcPr>
          <w:p>
            <w:pPr>
              <w:keepNext w:val="0"/>
              <w:keepLines w:val="0"/>
              <w:suppressLineNumbers w:val="0"/>
              <w:spacing w:before="0" w:beforeAutospacing="0" w:after="0" w:afterAutospacing="0"/>
              <w:ind w:left="0" w:right="0"/>
              <w:rPr>
                <w:rFonts w:hint="default" w:ascii="Arial"/>
                <w:sz w:val="21"/>
              </w:rPr>
            </w:pPr>
          </w:p>
        </w:tc>
        <w:tc>
          <w:tcPr>
            <w:tcW w:w="1225" w:type="dxa"/>
            <w:vAlign w:val="top"/>
          </w:tcPr>
          <w:p>
            <w:pPr>
              <w:keepNext w:val="0"/>
              <w:keepLines w:val="0"/>
              <w:suppressLineNumbers w:val="0"/>
              <w:spacing w:before="0" w:beforeAutospacing="0" w:after="0" w:afterAutospacing="0"/>
              <w:ind w:left="0" w:right="0"/>
              <w:rPr>
                <w:rFonts w:hint="default" w:ascii="Arial"/>
                <w:sz w:val="21"/>
              </w:rPr>
            </w:pPr>
          </w:p>
        </w:tc>
        <w:tc>
          <w:tcPr>
            <w:tcW w:w="2337" w:type="dxa"/>
            <w:vAlign w:val="top"/>
          </w:tcPr>
          <w:p>
            <w:pPr>
              <w:keepNext w:val="0"/>
              <w:keepLines w:val="0"/>
              <w:suppressLineNumbers w:val="0"/>
              <w:spacing w:before="0" w:beforeAutospacing="0" w:after="0" w:afterAutospacing="0"/>
              <w:ind w:left="0" w:right="0"/>
              <w:rPr>
                <w:rFonts w:hint="default" w:ascii="Arial"/>
                <w:sz w:val="21"/>
              </w:rPr>
            </w:pPr>
          </w:p>
        </w:tc>
        <w:tc>
          <w:tcPr>
            <w:tcW w:w="1808"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043" w:type="dxa"/>
            <w:vAlign w:val="top"/>
          </w:tcPr>
          <w:p>
            <w:pPr>
              <w:keepNext w:val="0"/>
              <w:keepLines w:val="0"/>
              <w:suppressLineNumbers w:val="0"/>
              <w:spacing w:before="0" w:beforeAutospacing="0" w:after="0" w:afterAutospacing="0"/>
              <w:ind w:left="0" w:right="0"/>
              <w:rPr>
                <w:rFonts w:hint="default" w:ascii="Arial"/>
                <w:sz w:val="21"/>
              </w:rPr>
            </w:pPr>
          </w:p>
        </w:tc>
        <w:tc>
          <w:tcPr>
            <w:tcW w:w="995" w:type="dxa"/>
            <w:vAlign w:val="top"/>
          </w:tcPr>
          <w:p>
            <w:pPr>
              <w:keepNext w:val="0"/>
              <w:keepLines w:val="0"/>
              <w:suppressLineNumbers w:val="0"/>
              <w:spacing w:before="0" w:beforeAutospacing="0" w:after="0" w:afterAutospacing="0"/>
              <w:ind w:left="0" w:right="0"/>
              <w:rPr>
                <w:rFonts w:hint="default" w:ascii="Arial"/>
                <w:sz w:val="21"/>
              </w:rPr>
            </w:pPr>
          </w:p>
        </w:tc>
        <w:tc>
          <w:tcPr>
            <w:tcW w:w="1384" w:type="dxa"/>
            <w:vAlign w:val="top"/>
          </w:tcPr>
          <w:p>
            <w:pPr>
              <w:keepNext w:val="0"/>
              <w:keepLines w:val="0"/>
              <w:suppressLineNumbers w:val="0"/>
              <w:spacing w:before="0" w:beforeAutospacing="0" w:after="0" w:afterAutospacing="0"/>
              <w:ind w:left="0" w:right="0"/>
              <w:rPr>
                <w:rFonts w:hint="default" w:ascii="Arial"/>
                <w:sz w:val="21"/>
              </w:rPr>
            </w:pPr>
          </w:p>
        </w:tc>
        <w:tc>
          <w:tcPr>
            <w:tcW w:w="1225" w:type="dxa"/>
            <w:vAlign w:val="top"/>
          </w:tcPr>
          <w:p>
            <w:pPr>
              <w:keepNext w:val="0"/>
              <w:keepLines w:val="0"/>
              <w:suppressLineNumbers w:val="0"/>
              <w:spacing w:before="0" w:beforeAutospacing="0" w:after="0" w:afterAutospacing="0"/>
              <w:ind w:left="0" w:right="0"/>
              <w:rPr>
                <w:rFonts w:hint="default" w:ascii="Arial"/>
                <w:sz w:val="21"/>
              </w:rPr>
            </w:pPr>
          </w:p>
        </w:tc>
        <w:tc>
          <w:tcPr>
            <w:tcW w:w="2337" w:type="dxa"/>
            <w:vAlign w:val="top"/>
          </w:tcPr>
          <w:p>
            <w:pPr>
              <w:keepNext w:val="0"/>
              <w:keepLines w:val="0"/>
              <w:suppressLineNumbers w:val="0"/>
              <w:spacing w:before="0" w:beforeAutospacing="0" w:after="0" w:afterAutospacing="0"/>
              <w:ind w:left="0" w:right="0"/>
              <w:rPr>
                <w:rFonts w:hint="default" w:ascii="Arial"/>
                <w:sz w:val="21"/>
              </w:rPr>
            </w:pPr>
          </w:p>
        </w:tc>
        <w:tc>
          <w:tcPr>
            <w:tcW w:w="1808"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043" w:type="dxa"/>
            <w:vAlign w:val="top"/>
          </w:tcPr>
          <w:p>
            <w:pPr>
              <w:keepNext w:val="0"/>
              <w:keepLines w:val="0"/>
              <w:suppressLineNumbers w:val="0"/>
              <w:spacing w:before="0" w:beforeAutospacing="0" w:after="0" w:afterAutospacing="0"/>
              <w:ind w:left="0" w:right="0"/>
              <w:rPr>
                <w:rFonts w:hint="default" w:ascii="Arial"/>
                <w:sz w:val="21"/>
              </w:rPr>
            </w:pPr>
          </w:p>
        </w:tc>
        <w:tc>
          <w:tcPr>
            <w:tcW w:w="995" w:type="dxa"/>
            <w:vAlign w:val="top"/>
          </w:tcPr>
          <w:p>
            <w:pPr>
              <w:keepNext w:val="0"/>
              <w:keepLines w:val="0"/>
              <w:suppressLineNumbers w:val="0"/>
              <w:spacing w:before="0" w:beforeAutospacing="0" w:after="0" w:afterAutospacing="0"/>
              <w:ind w:left="0" w:right="0"/>
              <w:rPr>
                <w:rFonts w:hint="default" w:ascii="Arial"/>
                <w:sz w:val="21"/>
              </w:rPr>
            </w:pPr>
          </w:p>
        </w:tc>
        <w:tc>
          <w:tcPr>
            <w:tcW w:w="1384" w:type="dxa"/>
            <w:vAlign w:val="top"/>
          </w:tcPr>
          <w:p>
            <w:pPr>
              <w:keepNext w:val="0"/>
              <w:keepLines w:val="0"/>
              <w:suppressLineNumbers w:val="0"/>
              <w:spacing w:before="0" w:beforeAutospacing="0" w:after="0" w:afterAutospacing="0"/>
              <w:ind w:left="0" w:right="0"/>
              <w:rPr>
                <w:rFonts w:hint="default" w:ascii="Arial"/>
                <w:sz w:val="21"/>
              </w:rPr>
            </w:pPr>
          </w:p>
        </w:tc>
        <w:tc>
          <w:tcPr>
            <w:tcW w:w="1225" w:type="dxa"/>
            <w:vAlign w:val="top"/>
          </w:tcPr>
          <w:p>
            <w:pPr>
              <w:keepNext w:val="0"/>
              <w:keepLines w:val="0"/>
              <w:suppressLineNumbers w:val="0"/>
              <w:spacing w:before="0" w:beforeAutospacing="0" w:after="0" w:afterAutospacing="0"/>
              <w:ind w:left="0" w:right="0"/>
              <w:rPr>
                <w:rFonts w:hint="default" w:ascii="Arial"/>
                <w:sz w:val="21"/>
              </w:rPr>
            </w:pPr>
          </w:p>
        </w:tc>
        <w:tc>
          <w:tcPr>
            <w:tcW w:w="2337" w:type="dxa"/>
            <w:vAlign w:val="top"/>
          </w:tcPr>
          <w:p>
            <w:pPr>
              <w:keepNext w:val="0"/>
              <w:keepLines w:val="0"/>
              <w:suppressLineNumbers w:val="0"/>
              <w:spacing w:before="0" w:beforeAutospacing="0" w:after="0" w:afterAutospacing="0"/>
              <w:ind w:left="0" w:right="0"/>
              <w:rPr>
                <w:rFonts w:hint="default" w:ascii="Arial"/>
                <w:sz w:val="21"/>
              </w:rPr>
            </w:pPr>
          </w:p>
        </w:tc>
        <w:tc>
          <w:tcPr>
            <w:tcW w:w="1808"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043" w:type="dxa"/>
            <w:vAlign w:val="top"/>
          </w:tcPr>
          <w:p>
            <w:pPr>
              <w:keepNext w:val="0"/>
              <w:keepLines w:val="0"/>
              <w:suppressLineNumbers w:val="0"/>
              <w:spacing w:before="0" w:beforeAutospacing="0" w:after="0" w:afterAutospacing="0"/>
              <w:ind w:left="0" w:right="0"/>
              <w:rPr>
                <w:rFonts w:hint="default" w:ascii="Arial"/>
                <w:sz w:val="21"/>
              </w:rPr>
            </w:pPr>
          </w:p>
        </w:tc>
        <w:tc>
          <w:tcPr>
            <w:tcW w:w="995" w:type="dxa"/>
            <w:vAlign w:val="top"/>
          </w:tcPr>
          <w:p>
            <w:pPr>
              <w:keepNext w:val="0"/>
              <w:keepLines w:val="0"/>
              <w:suppressLineNumbers w:val="0"/>
              <w:spacing w:before="0" w:beforeAutospacing="0" w:after="0" w:afterAutospacing="0"/>
              <w:ind w:left="0" w:right="0"/>
              <w:rPr>
                <w:rFonts w:hint="default" w:ascii="Arial"/>
                <w:sz w:val="21"/>
              </w:rPr>
            </w:pPr>
          </w:p>
        </w:tc>
        <w:tc>
          <w:tcPr>
            <w:tcW w:w="1384" w:type="dxa"/>
            <w:vAlign w:val="top"/>
          </w:tcPr>
          <w:p>
            <w:pPr>
              <w:keepNext w:val="0"/>
              <w:keepLines w:val="0"/>
              <w:suppressLineNumbers w:val="0"/>
              <w:spacing w:before="0" w:beforeAutospacing="0" w:after="0" w:afterAutospacing="0"/>
              <w:ind w:left="0" w:right="0"/>
              <w:rPr>
                <w:rFonts w:hint="default" w:ascii="Arial"/>
                <w:sz w:val="21"/>
              </w:rPr>
            </w:pPr>
          </w:p>
        </w:tc>
        <w:tc>
          <w:tcPr>
            <w:tcW w:w="1225" w:type="dxa"/>
            <w:vAlign w:val="top"/>
          </w:tcPr>
          <w:p>
            <w:pPr>
              <w:keepNext w:val="0"/>
              <w:keepLines w:val="0"/>
              <w:suppressLineNumbers w:val="0"/>
              <w:spacing w:before="0" w:beforeAutospacing="0" w:after="0" w:afterAutospacing="0"/>
              <w:ind w:left="0" w:right="0"/>
              <w:rPr>
                <w:rFonts w:hint="default" w:ascii="Arial"/>
                <w:sz w:val="21"/>
              </w:rPr>
            </w:pPr>
          </w:p>
        </w:tc>
        <w:tc>
          <w:tcPr>
            <w:tcW w:w="2337" w:type="dxa"/>
            <w:vAlign w:val="top"/>
          </w:tcPr>
          <w:p>
            <w:pPr>
              <w:keepNext w:val="0"/>
              <w:keepLines w:val="0"/>
              <w:suppressLineNumbers w:val="0"/>
              <w:spacing w:before="0" w:beforeAutospacing="0" w:after="0" w:afterAutospacing="0"/>
              <w:ind w:left="0" w:right="0"/>
              <w:rPr>
                <w:rFonts w:hint="default" w:ascii="Arial"/>
                <w:sz w:val="21"/>
              </w:rPr>
            </w:pPr>
          </w:p>
        </w:tc>
        <w:tc>
          <w:tcPr>
            <w:tcW w:w="1808"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043" w:type="dxa"/>
            <w:vAlign w:val="top"/>
          </w:tcPr>
          <w:p>
            <w:pPr>
              <w:keepNext w:val="0"/>
              <w:keepLines w:val="0"/>
              <w:suppressLineNumbers w:val="0"/>
              <w:spacing w:before="0" w:beforeAutospacing="0" w:after="0" w:afterAutospacing="0"/>
              <w:ind w:left="0" w:right="0"/>
              <w:rPr>
                <w:rFonts w:hint="default" w:ascii="Arial"/>
                <w:sz w:val="21"/>
              </w:rPr>
            </w:pPr>
          </w:p>
        </w:tc>
        <w:tc>
          <w:tcPr>
            <w:tcW w:w="995" w:type="dxa"/>
            <w:vAlign w:val="top"/>
          </w:tcPr>
          <w:p>
            <w:pPr>
              <w:keepNext w:val="0"/>
              <w:keepLines w:val="0"/>
              <w:suppressLineNumbers w:val="0"/>
              <w:spacing w:before="0" w:beforeAutospacing="0" w:after="0" w:afterAutospacing="0"/>
              <w:ind w:left="0" w:right="0"/>
              <w:rPr>
                <w:rFonts w:hint="default" w:ascii="Arial"/>
                <w:sz w:val="21"/>
              </w:rPr>
            </w:pPr>
          </w:p>
        </w:tc>
        <w:tc>
          <w:tcPr>
            <w:tcW w:w="1384" w:type="dxa"/>
            <w:vAlign w:val="top"/>
          </w:tcPr>
          <w:p>
            <w:pPr>
              <w:keepNext w:val="0"/>
              <w:keepLines w:val="0"/>
              <w:suppressLineNumbers w:val="0"/>
              <w:spacing w:before="0" w:beforeAutospacing="0" w:after="0" w:afterAutospacing="0"/>
              <w:ind w:left="0" w:right="0"/>
              <w:rPr>
                <w:rFonts w:hint="default" w:ascii="Arial"/>
                <w:sz w:val="21"/>
              </w:rPr>
            </w:pPr>
          </w:p>
        </w:tc>
        <w:tc>
          <w:tcPr>
            <w:tcW w:w="1225" w:type="dxa"/>
            <w:vAlign w:val="top"/>
          </w:tcPr>
          <w:p>
            <w:pPr>
              <w:keepNext w:val="0"/>
              <w:keepLines w:val="0"/>
              <w:suppressLineNumbers w:val="0"/>
              <w:spacing w:before="0" w:beforeAutospacing="0" w:after="0" w:afterAutospacing="0"/>
              <w:ind w:left="0" w:right="0"/>
              <w:rPr>
                <w:rFonts w:hint="default" w:ascii="Arial"/>
                <w:sz w:val="21"/>
              </w:rPr>
            </w:pPr>
          </w:p>
        </w:tc>
        <w:tc>
          <w:tcPr>
            <w:tcW w:w="2337" w:type="dxa"/>
            <w:vAlign w:val="top"/>
          </w:tcPr>
          <w:p>
            <w:pPr>
              <w:keepNext w:val="0"/>
              <w:keepLines w:val="0"/>
              <w:suppressLineNumbers w:val="0"/>
              <w:spacing w:before="0" w:beforeAutospacing="0" w:after="0" w:afterAutospacing="0"/>
              <w:ind w:left="0" w:right="0"/>
              <w:rPr>
                <w:rFonts w:hint="default" w:ascii="Arial"/>
                <w:sz w:val="21"/>
              </w:rPr>
            </w:pPr>
          </w:p>
        </w:tc>
        <w:tc>
          <w:tcPr>
            <w:tcW w:w="1808"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043" w:type="dxa"/>
            <w:vAlign w:val="top"/>
          </w:tcPr>
          <w:p>
            <w:pPr>
              <w:keepNext w:val="0"/>
              <w:keepLines w:val="0"/>
              <w:suppressLineNumbers w:val="0"/>
              <w:spacing w:before="0" w:beforeAutospacing="0" w:after="0" w:afterAutospacing="0"/>
              <w:ind w:left="0" w:right="0"/>
              <w:rPr>
                <w:rFonts w:hint="default" w:ascii="Arial"/>
                <w:sz w:val="21"/>
              </w:rPr>
            </w:pPr>
          </w:p>
        </w:tc>
        <w:tc>
          <w:tcPr>
            <w:tcW w:w="995" w:type="dxa"/>
            <w:vAlign w:val="top"/>
          </w:tcPr>
          <w:p>
            <w:pPr>
              <w:keepNext w:val="0"/>
              <w:keepLines w:val="0"/>
              <w:suppressLineNumbers w:val="0"/>
              <w:spacing w:before="0" w:beforeAutospacing="0" w:after="0" w:afterAutospacing="0"/>
              <w:ind w:left="0" w:right="0"/>
              <w:rPr>
                <w:rFonts w:hint="default" w:ascii="Arial"/>
                <w:sz w:val="21"/>
              </w:rPr>
            </w:pPr>
          </w:p>
        </w:tc>
        <w:tc>
          <w:tcPr>
            <w:tcW w:w="1384" w:type="dxa"/>
            <w:vAlign w:val="top"/>
          </w:tcPr>
          <w:p>
            <w:pPr>
              <w:keepNext w:val="0"/>
              <w:keepLines w:val="0"/>
              <w:suppressLineNumbers w:val="0"/>
              <w:spacing w:before="0" w:beforeAutospacing="0" w:after="0" w:afterAutospacing="0"/>
              <w:ind w:left="0" w:right="0"/>
              <w:rPr>
                <w:rFonts w:hint="default" w:ascii="Arial"/>
                <w:sz w:val="21"/>
              </w:rPr>
            </w:pPr>
          </w:p>
        </w:tc>
        <w:tc>
          <w:tcPr>
            <w:tcW w:w="1225" w:type="dxa"/>
            <w:vAlign w:val="top"/>
          </w:tcPr>
          <w:p>
            <w:pPr>
              <w:keepNext w:val="0"/>
              <w:keepLines w:val="0"/>
              <w:suppressLineNumbers w:val="0"/>
              <w:spacing w:before="0" w:beforeAutospacing="0" w:after="0" w:afterAutospacing="0"/>
              <w:ind w:left="0" w:right="0"/>
              <w:rPr>
                <w:rFonts w:hint="default" w:ascii="Arial"/>
                <w:sz w:val="21"/>
              </w:rPr>
            </w:pPr>
          </w:p>
        </w:tc>
        <w:tc>
          <w:tcPr>
            <w:tcW w:w="2337" w:type="dxa"/>
            <w:vAlign w:val="top"/>
          </w:tcPr>
          <w:p>
            <w:pPr>
              <w:keepNext w:val="0"/>
              <w:keepLines w:val="0"/>
              <w:suppressLineNumbers w:val="0"/>
              <w:spacing w:before="0" w:beforeAutospacing="0" w:after="0" w:afterAutospacing="0"/>
              <w:ind w:left="0" w:right="0"/>
              <w:rPr>
                <w:rFonts w:hint="default" w:ascii="Arial"/>
                <w:sz w:val="21"/>
              </w:rPr>
            </w:pPr>
          </w:p>
        </w:tc>
        <w:tc>
          <w:tcPr>
            <w:tcW w:w="1808"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1043" w:type="dxa"/>
            <w:vAlign w:val="top"/>
          </w:tcPr>
          <w:p>
            <w:pPr>
              <w:keepNext w:val="0"/>
              <w:keepLines w:val="0"/>
              <w:suppressLineNumbers w:val="0"/>
              <w:spacing w:before="0" w:beforeAutospacing="0" w:after="0" w:afterAutospacing="0"/>
              <w:ind w:left="0" w:right="0"/>
              <w:rPr>
                <w:rFonts w:hint="default" w:ascii="Arial"/>
                <w:sz w:val="21"/>
              </w:rPr>
            </w:pPr>
          </w:p>
        </w:tc>
        <w:tc>
          <w:tcPr>
            <w:tcW w:w="995" w:type="dxa"/>
            <w:vAlign w:val="top"/>
          </w:tcPr>
          <w:p>
            <w:pPr>
              <w:keepNext w:val="0"/>
              <w:keepLines w:val="0"/>
              <w:suppressLineNumbers w:val="0"/>
              <w:spacing w:before="0" w:beforeAutospacing="0" w:after="0" w:afterAutospacing="0"/>
              <w:ind w:left="0" w:right="0"/>
              <w:rPr>
                <w:rFonts w:hint="default" w:ascii="Arial"/>
                <w:sz w:val="21"/>
              </w:rPr>
            </w:pPr>
          </w:p>
        </w:tc>
        <w:tc>
          <w:tcPr>
            <w:tcW w:w="1384" w:type="dxa"/>
            <w:vAlign w:val="top"/>
          </w:tcPr>
          <w:p>
            <w:pPr>
              <w:keepNext w:val="0"/>
              <w:keepLines w:val="0"/>
              <w:suppressLineNumbers w:val="0"/>
              <w:spacing w:before="0" w:beforeAutospacing="0" w:after="0" w:afterAutospacing="0"/>
              <w:ind w:left="0" w:right="0"/>
              <w:rPr>
                <w:rFonts w:hint="default" w:ascii="Arial"/>
                <w:sz w:val="21"/>
              </w:rPr>
            </w:pPr>
          </w:p>
        </w:tc>
        <w:tc>
          <w:tcPr>
            <w:tcW w:w="1225" w:type="dxa"/>
            <w:vAlign w:val="top"/>
          </w:tcPr>
          <w:p>
            <w:pPr>
              <w:keepNext w:val="0"/>
              <w:keepLines w:val="0"/>
              <w:suppressLineNumbers w:val="0"/>
              <w:spacing w:before="0" w:beforeAutospacing="0" w:after="0" w:afterAutospacing="0"/>
              <w:ind w:left="0" w:right="0"/>
              <w:rPr>
                <w:rFonts w:hint="default" w:ascii="Arial"/>
                <w:sz w:val="21"/>
              </w:rPr>
            </w:pPr>
          </w:p>
        </w:tc>
        <w:tc>
          <w:tcPr>
            <w:tcW w:w="2337" w:type="dxa"/>
            <w:vAlign w:val="top"/>
          </w:tcPr>
          <w:p>
            <w:pPr>
              <w:keepNext w:val="0"/>
              <w:keepLines w:val="0"/>
              <w:suppressLineNumbers w:val="0"/>
              <w:spacing w:before="0" w:beforeAutospacing="0" w:after="0" w:afterAutospacing="0"/>
              <w:ind w:left="0" w:right="0"/>
              <w:rPr>
                <w:rFonts w:hint="default" w:ascii="Arial"/>
                <w:sz w:val="21"/>
              </w:rPr>
            </w:pPr>
          </w:p>
        </w:tc>
        <w:tc>
          <w:tcPr>
            <w:tcW w:w="1808"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043" w:type="dxa"/>
            <w:vAlign w:val="top"/>
          </w:tcPr>
          <w:p>
            <w:pPr>
              <w:keepNext w:val="0"/>
              <w:keepLines w:val="0"/>
              <w:suppressLineNumbers w:val="0"/>
              <w:spacing w:before="0" w:beforeAutospacing="0" w:after="0" w:afterAutospacing="0"/>
              <w:ind w:left="0" w:right="0"/>
              <w:rPr>
                <w:rFonts w:hint="default" w:ascii="Arial"/>
                <w:sz w:val="21"/>
              </w:rPr>
            </w:pPr>
          </w:p>
        </w:tc>
        <w:tc>
          <w:tcPr>
            <w:tcW w:w="995" w:type="dxa"/>
            <w:vAlign w:val="top"/>
          </w:tcPr>
          <w:p>
            <w:pPr>
              <w:keepNext w:val="0"/>
              <w:keepLines w:val="0"/>
              <w:suppressLineNumbers w:val="0"/>
              <w:spacing w:before="0" w:beforeAutospacing="0" w:after="0" w:afterAutospacing="0"/>
              <w:ind w:left="0" w:right="0"/>
              <w:rPr>
                <w:rFonts w:hint="default" w:ascii="Arial"/>
                <w:sz w:val="21"/>
              </w:rPr>
            </w:pPr>
          </w:p>
        </w:tc>
        <w:tc>
          <w:tcPr>
            <w:tcW w:w="1384" w:type="dxa"/>
            <w:vAlign w:val="top"/>
          </w:tcPr>
          <w:p>
            <w:pPr>
              <w:keepNext w:val="0"/>
              <w:keepLines w:val="0"/>
              <w:suppressLineNumbers w:val="0"/>
              <w:spacing w:before="0" w:beforeAutospacing="0" w:after="0" w:afterAutospacing="0"/>
              <w:ind w:left="0" w:right="0"/>
              <w:rPr>
                <w:rFonts w:hint="default" w:ascii="Arial"/>
                <w:sz w:val="21"/>
              </w:rPr>
            </w:pPr>
          </w:p>
        </w:tc>
        <w:tc>
          <w:tcPr>
            <w:tcW w:w="1225" w:type="dxa"/>
            <w:vAlign w:val="top"/>
          </w:tcPr>
          <w:p>
            <w:pPr>
              <w:keepNext w:val="0"/>
              <w:keepLines w:val="0"/>
              <w:suppressLineNumbers w:val="0"/>
              <w:spacing w:before="0" w:beforeAutospacing="0" w:after="0" w:afterAutospacing="0"/>
              <w:ind w:left="0" w:right="0"/>
              <w:rPr>
                <w:rFonts w:hint="default" w:ascii="Arial"/>
                <w:sz w:val="21"/>
              </w:rPr>
            </w:pPr>
          </w:p>
        </w:tc>
        <w:tc>
          <w:tcPr>
            <w:tcW w:w="2337" w:type="dxa"/>
            <w:vAlign w:val="top"/>
          </w:tcPr>
          <w:p>
            <w:pPr>
              <w:keepNext w:val="0"/>
              <w:keepLines w:val="0"/>
              <w:suppressLineNumbers w:val="0"/>
              <w:spacing w:before="0" w:beforeAutospacing="0" w:after="0" w:afterAutospacing="0"/>
              <w:ind w:left="0" w:right="0"/>
              <w:rPr>
                <w:rFonts w:hint="default" w:ascii="Arial"/>
                <w:sz w:val="21"/>
              </w:rPr>
            </w:pPr>
          </w:p>
        </w:tc>
        <w:tc>
          <w:tcPr>
            <w:tcW w:w="1808"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043" w:type="dxa"/>
            <w:vAlign w:val="top"/>
          </w:tcPr>
          <w:p>
            <w:pPr>
              <w:keepNext w:val="0"/>
              <w:keepLines w:val="0"/>
              <w:suppressLineNumbers w:val="0"/>
              <w:spacing w:before="0" w:beforeAutospacing="0" w:after="0" w:afterAutospacing="0"/>
              <w:ind w:left="0" w:right="0"/>
              <w:rPr>
                <w:rFonts w:hint="default" w:ascii="Arial"/>
                <w:sz w:val="21"/>
              </w:rPr>
            </w:pPr>
          </w:p>
        </w:tc>
        <w:tc>
          <w:tcPr>
            <w:tcW w:w="995" w:type="dxa"/>
            <w:vAlign w:val="top"/>
          </w:tcPr>
          <w:p>
            <w:pPr>
              <w:keepNext w:val="0"/>
              <w:keepLines w:val="0"/>
              <w:suppressLineNumbers w:val="0"/>
              <w:spacing w:before="0" w:beforeAutospacing="0" w:after="0" w:afterAutospacing="0"/>
              <w:ind w:left="0" w:right="0"/>
              <w:rPr>
                <w:rFonts w:hint="default" w:ascii="Arial"/>
                <w:sz w:val="21"/>
              </w:rPr>
            </w:pPr>
          </w:p>
        </w:tc>
        <w:tc>
          <w:tcPr>
            <w:tcW w:w="1384" w:type="dxa"/>
            <w:vAlign w:val="top"/>
          </w:tcPr>
          <w:p>
            <w:pPr>
              <w:keepNext w:val="0"/>
              <w:keepLines w:val="0"/>
              <w:suppressLineNumbers w:val="0"/>
              <w:spacing w:before="0" w:beforeAutospacing="0" w:after="0" w:afterAutospacing="0"/>
              <w:ind w:left="0" w:right="0"/>
              <w:rPr>
                <w:rFonts w:hint="default" w:ascii="Arial"/>
                <w:sz w:val="21"/>
              </w:rPr>
            </w:pPr>
          </w:p>
        </w:tc>
        <w:tc>
          <w:tcPr>
            <w:tcW w:w="1225" w:type="dxa"/>
            <w:vAlign w:val="top"/>
          </w:tcPr>
          <w:p>
            <w:pPr>
              <w:keepNext w:val="0"/>
              <w:keepLines w:val="0"/>
              <w:suppressLineNumbers w:val="0"/>
              <w:spacing w:before="0" w:beforeAutospacing="0" w:after="0" w:afterAutospacing="0"/>
              <w:ind w:left="0" w:right="0"/>
              <w:rPr>
                <w:rFonts w:hint="default" w:ascii="Arial"/>
                <w:sz w:val="21"/>
              </w:rPr>
            </w:pPr>
          </w:p>
        </w:tc>
        <w:tc>
          <w:tcPr>
            <w:tcW w:w="2337" w:type="dxa"/>
            <w:vAlign w:val="top"/>
          </w:tcPr>
          <w:p>
            <w:pPr>
              <w:keepNext w:val="0"/>
              <w:keepLines w:val="0"/>
              <w:suppressLineNumbers w:val="0"/>
              <w:spacing w:before="0" w:beforeAutospacing="0" w:after="0" w:afterAutospacing="0"/>
              <w:ind w:left="0" w:right="0"/>
              <w:rPr>
                <w:rFonts w:hint="default" w:ascii="Arial"/>
                <w:sz w:val="21"/>
              </w:rPr>
            </w:pPr>
          </w:p>
        </w:tc>
        <w:tc>
          <w:tcPr>
            <w:tcW w:w="1808"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043" w:type="dxa"/>
            <w:vAlign w:val="top"/>
          </w:tcPr>
          <w:p>
            <w:pPr>
              <w:keepNext w:val="0"/>
              <w:keepLines w:val="0"/>
              <w:suppressLineNumbers w:val="0"/>
              <w:spacing w:before="0" w:beforeAutospacing="0" w:after="0" w:afterAutospacing="0"/>
              <w:ind w:left="0" w:right="0"/>
              <w:rPr>
                <w:rFonts w:hint="default" w:ascii="Arial"/>
                <w:sz w:val="21"/>
              </w:rPr>
            </w:pPr>
          </w:p>
        </w:tc>
        <w:tc>
          <w:tcPr>
            <w:tcW w:w="995" w:type="dxa"/>
            <w:vAlign w:val="top"/>
          </w:tcPr>
          <w:p>
            <w:pPr>
              <w:keepNext w:val="0"/>
              <w:keepLines w:val="0"/>
              <w:suppressLineNumbers w:val="0"/>
              <w:spacing w:before="0" w:beforeAutospacing="0" w:after="0" w:afterAutospacing="0"/>
              <w:ind w:left="0" w:right="0"/>
              <w:rPr>
                <w:rFonts w:hint="default" w:ascii="Arial"/>
                <w:sz w:val="21"/>
              </w:rPr>
            </w:pPr>
          </w:p>
        </w:tc>
        <w:tc>
          <w:tcPr>
            <w:tcW w:w="1384" w:type="dxa"/>
            <w:vAlign w:val="top"/>
          </w:tcPr>
          <w:p>
            <w:pPr>
              <w:keepNext w:val="0"/>
              <w:keepLines w:val="0"/>
              <w:suppressLineNumbers w:val="0"/>
              <w:spacing w:before="0" w:beforeAutospacing="0" w:after="0" w:afterAutospacing="0"/>
              <w:ind w:left="0" w:right="0"/>
              <w:rPr>
                <w:rFonts w:hint="default" w:ascii="Arial"/>
                <w:sz w:val="21"/>
              </w:rPr>
            </w:pPr>
          </w:p>
        </w:tc>
        <w:tc>
          <w:tcPr>
            <w:tcW w:w="1225" w:type="dxa"/>
            <w:vAlign w:val="top"/>
          </w:tcPr>
          <w:p>
            <w:pPr>
              <w:keepNext w:val="0"/>
              <w:keepLines w:val="0"/>
              <w:suppressLineNumbers w:val="0"/>
              <w:spacing w:before="0" w:beforeAutospacing="0" w:after="0" w:afterAutospacing="0"/>
              <w:ind w:left="0" w:right="0"/>
              <w:rPr>
                <w:rFonts w:hint="default" w:ascii="Arial"/>
                <w:sz w:val="21"/>
              </w:rPr>
            </w:pPr>
          </w:p>
        </w:tc>
        <w:tc>
          <w:tcPr>
            <w:tcW w:w="2337" w:type="dxa"/>
            <w:vAlign w:val="top"/>
          </w:tcPr>
          <w:p>
            <w:pPr>
              <w:keepNext w:val="0"/>
              <w:keepLines w:val="0"/>
              <w:suppressLineNumbers w:val="0"/>
              <w:spacing w:before="0" w:beforeAutospacing="0" w:after="0" w:afterAutospacing="0"/>
              <w:ind w:left="0" w:right="0"/>
              <w:rPr>
                <w:rFonts w:hint="default" w:ascii="Arial"/>
                <w:sz w:val="21"/>
              </w:rPr>
            </w:pPr>
          </w:p>
        </w:tc>
        <w:tc>
          <w:tcPr>
            <w:tcW w:w="1808"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043" w:type="dxa"/>
            <w:vAlign w:val="top"/>
          </w:tcPr>
          <w:p>
            <w:pPr>
              <w:keepNext w:val="0"/>
              <w:keepLines w:val="0"/>
              <w:suppressLineNumbers w:val="0"/>
              <w:spacing w:before="0" w:beforeAutospacing="0" w:after="0" w:afterAutospacing="0"/>
              <w:ind w:left="0" w:right="0"/>
              <w:rPr>
                <w:rFonts w:hint="default" w:ascii="Arial"/>
                <w:sz w:val="21"/>
              </w:rPr>
            </w:pPr>
          </w:p>
        </w:tc>
        <w:tc>
          <w:tcPr>
            <w:tcW w:w="995" w:type="dxa"/>
            <w:vAlign w:val="top"/>
          </w:tcPr>
          <w:p>
            <w:pPr>
              <w:keepNext w:val="0"/>
              <w:keepLines w:val="0"/>
              <w:suppressLineNumbers w:val="0"/>
              <w:spacing w:before="0" w:beforeAutospacing="0" w:after="0" w:afterAutospacing="0"/>
              <w:ind w:left="0" w:right="0"/>
              <w:rPr>
                <w:rFonts w:hint="default" w:ascii="Arial"/>
                <w:sz w:val="21"/>
              </w:rPr>
            </w:pPr>
          </w:p>
        </w:tc>
        <w:tc>
          <w:tcPr>
            <w:tcW w:w="1384" w:type="dxa"/>
            <w:vAlign w:val="top"/>
          </w:tcPr>
          <w:p>
            <w:pPr>
              <w:keepNext w:val="0"/>
              <w:keepLines w:val="0"/>
              <w:suppressLineNumbers w:val="0"/>
              <w:spacing w:before="0" w:beforeAutospacing="0" w:after="0" w:afterAutospacing="0"/>
              <w:ind w:left="0" w:right="0"/>
              <w:rPr>
                <w:rFonts w:hint="default" w:ascii="Arial"/>
                <w:sz w:val="21"/>
              </w:rPr>
            </w:pPr>
          </w:p>
        </w:tc>
        <w:tc>
          <w:tcPr>
            <w:tcW w:w="1225" w:type="dxa"/>
            <w:vAlign w:val="top"/>
          </w:tcPr>
          <w:p>
            <w:pPr>
              <w:keepNext w:val="0"/>
              <w:keepLines w:val="0"/>
              <w:suppressLineNumbers w:val="0"/>
              <w:spacing w:before="0" w:beforeAutospacing="0" w:after="0" w:afterAutospacing="0"/>
              <w:ind w:left="0" w:right="0"/>
              <w:rPr>
                <w:rFonts w:hint="default" w:ascii="Arial"/>
                <w:sz w:val="21"/>
              </w:rPr>
            </w:pPr>
          </w:p>
        </w:tc>
        <w:tc>
          <w:tcPr>
            <w:tcW w:w="2337" w:type="dxa"/>
            <w:vAlign w:val="top"/>
          </w:tcPr>
          <w:p>
            <w:pPr>
              <w:keepNext w:val="0"/>
              <w:keepLines w:val="0"/>
              <w:suppressLineNumbers w:val="0"/>
              <w:spacing w:before="0" w:beforeAutospacing="0" w:after="0" w:afterAutospacing="0"/>
              <w:ind w:left="0" w:right="0"/>
              <w:rPr>
                <w:rFonts w:hint="default" w:ascii="Arial"/>
                <w:sz w:val="21"/>
              </w:rPr>
            </w:pPr>
          </w:p>
        </w:tc>
        <w:tc>
          <w:tcPr>
            <w:tcW w:w="1808"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043" w:type="dxa"/>
            <w:vAlign w:val="top"/>
          </w:tcPr>
          <w:p>
            <w:pPr>
              <w:keepNext w:val="0"/>
              <w:keepLines w:val="0"/>
              <w:suppressLineNumbers w:val="0"/>
              <w:spacing w:before="0" w:beforeAutospacing="0" w:after="0" w:afterAutospacing="0"/>
              <w:ind w:left="0" w:right="0"/>
              <w:rPr>
                <w:rFonts w:hint="default" w:ascii="Arial"/>
                <w:sz w:val="21"/>
              </w:rPr>
            </w:pPr>
          </w:p>
        </w:tc>
        <w:tc>
          <w:tcPr>
            <w:tcW w:w="995" w:type="dxa"/>
            <w:vAlign w:val="top"/>
          </w:tcPr>
          <w:p>
            <w:pPr>
              <w:keepNext w:val="0"/>
              <w:keepLines w:val="0"/>
              <w:suppressLineNumbers w:val="0"/>
              <w:spacing w:before="0" w:beforeAutospacing="0" w:after="0" w:afterAutospacing="0"/>
              <w:ind w:left="0" w:right="0"/>
              <w:rPr>
                <w:rFonts w:hint="default" w:ascii="Arial"/>
                <w:sz w:val="21"/>
              </w:rPr>
            </w:pPr>
          </w:p>
        </w:tc>
        <w:tc>
          <w:tcPr>
            <w:tcW w:w="1384" w:type="dxa"/>
            <w:vAlign w:val="top"/>
          </w:tcPr>
          <w:p>
            <w:pPr>
              <w:keepNext w:val="0"/>
              <w:keepLines w:val="0"/>
              <w:suppressLineNumbers w:val="0"/>
              <w:spacing w:before="0" w:beforeAutospacing="0" w:after="0" w:afterAutospacing="0"/>
              <w:ind w:left="0" w:right="0"/>
              <w:rPr>
                <w:rFonts w:hint="default" w:ascii="Arial"/>
                <w:sz w:val="21"/>
              </w:rPr>
            </w:pPr>
          </w:p>
        </w:tc>
        <w:tc>
          <w:tcPr>
            <w:tcW w:w="1225" w:type="dxa"/>
            <w:vAlign w:val="top"/>
          </w:tcPr>
          <w:p>
            <w:pPr>
              <w:keepNext w:val="0"/>
              <w:keepLines w:val="0"/>
              <w:suppressLineNumbers w:val="0"/>
              <w:spacing w:before="0" w:beforeAutospacing="0" w:after="0" w:afterAutospacing="0"/>
              <w:ind w:left="0" w:right="0"/>
              <w:rPr>
                <w:rFonts w:hint="default" w:ascii="Arial"/>
                <w:sz w:val="21"/>
              </w:rPr>
            </w:pPr>
          </w:p>
        </w:tc>
        <w:tc>
          <w:tcPr>
            <w:tcW w:w="2337" w:type="dxa"/>
            <w:vAlign w:val="top"/>
          </w:tcPr>
          <w:p>
            <w:pPr>
              <w:keepNext w:val="0"/>
              <w:keepLines w:val="0"/>
              <w:suppressLineNumbers w:val="0"/>
              <w:spacing w:before="0" w:beforeAutospacing="0" w:after="0" w:afterAutospacing="0"/>
              <w:ind w:left="0" w:right="0"/>
              <w:rPr>
                <w:rFonts w:hint="default" w:ascii="Arial"/>
                <w:sz w:val="21"/>
              </w:rPr>
            </w:pPr>
          </w:p>
        </w:tc>
        <w:tc>
          <w:tcPr>
            <w:tcW w:w="1808"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043" w:type="dxa"/>
            <w:vAlign w:val="top"/>
          </w:tcPr>
          <w:p>
            <w:pPr>
              <w:keepNext w:val="0"/>
              <w:keepLines w:val="0"/>
              <w:suppressLineNumbers w:val="0"/>
              <w:spacing w:before="0" w:beforeAutospacing="0" w:after="0" w:afterAutospacing="0"/>
              <w:ind w:left="0" w:right="0"/>
              <w:rPr>
                <w:rFonts w:hint="default" w:ascii="Arial"/>
                <w:sz w:val="21"/>
              </w:rPr>
            </w:pPr>
          </w:p>
        </w:tc>
        <w:tc>
          <w:tcPr>
            <w:tcW w:w="995" w:type="dxa"/>
            <w:vAlign w:val="top"/>
          </w:tcPr>
          <w:p>
            <w:pPr>
              <w:keepNext w:val="0"/>
              <w:keepLines w:val="0"/>
              <w:suppressLineNumbers w:val="0"/>
              <w:spacing w:before="0" w:beforeAutospacing="0" w:after="0" w:afterAutospacing="0"/>
              <w:ind w:left="0" w:right="0"/>
              <w:rPr>
                <w:rFonts w:hint="default" w:ascii="Arial"/>
                <w:sz w:val="21"/>
              </w:rPr>
            </w:pPr>
          </w:p>
        </w:tc>
        <w:tc>
          <w:tcPr>
            <w:tcW w:w="1384" w:type="dxa"/>
            <w:vAlign w:val="top"/>
          </w:tcPr>
          <w:p>
            <w:pPr>
              <w:keepNext w:val="0"/>
              <w:keepLines w:val="0"/>
              <w:suppressLineNumbers w:val="0"/>
              <w:spacing w:before="0" w:beforeAutospacing="0" w:after="0" w:afterAutospacing="0"/>
              <w:ind w:left="0" w:right="0"/>
              <w:rPr>
                <w:rFonts w:hint="default" w:ascii="Arial"/>
                <w:sz w:val="21"/>
              </w:rPr>
            </w:pPr>
          </w:p>
        </w:tc>
        <w:tc>
          <w:tcPr>
            <w:tcW w:w="1225" w:type="dxa"/>
            <w:vAlign w:val="top"/>
          </w:tcPr>
          <w:p>
            <w:pPr>
              <w:keepNext w:val="0"/>
              <w:keepLines w:val="0"/>
              <w:suppressLineNumbers w:val="0"/>
              <w:spacing w:before="0" w:beforeAutospacing="0" w:after="0" w:afterAutospacing="0"/>
              <w:ind w:left="0" w:right="0"/>
              <w:rPr>
                <w:rFonts w:hint="default" w:ascii="Arial"/>
                <w:sz w:val="21"/>
              </w:rPr>
            </w:pPr>
          </w:p>
        </w:tc>
        <w:tc>
          <w:tcPr>
            <w:tcW w:w="2337" w:type="dxa"/>
            <w:vAlign w:val="top"/>
          </w:tcPr>
          <w:p>
            <w:pPr>
              <w:keepNext w:val="0"/>
              <w:keepLines w:val="0"/>
              <w:suppressLineNumbers w:val="0"/>
              <w:spacing w:before="0" w:beforeAutospacing="0" w:after="0" w:afterAutospacing="0"/>
              <w:ind w:left="0" w:right="0"/>
              <w:rPr>
                <w:rFonts w:hint="default" w:ascii="Arial"/>
                <w:sz w:val="21"/>
              </w:rPr>
            </w:pPr>
          </w:p>
        </w:tc>
        <w:tc>
          <w:tcPr>
            <w:tcW w:w="1808"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043" w:type="dxa"/>
            <w:vAlign w:val="top"/>
          </w:tcPr>
          <w:p>
            <w:pPr>
              <w:keepNext w:val="0"/>
              <w:keepLines w:val="0"/>
              <w:suppressLineNumbers w:val="0"/>
              <w:spacing w:before="0" w:beforeAutospacing="0" w:after="0" w:afterAutospacing="0"/>
              <w:ind w:left="0" w:right="0"/>
              <w:rPr>
                <w:rFonts w:hint="default" w:ascii="Arial"/>
                <w:sz w:val="21"/>
              </w:rPr>
            </w:pPr>
          </w:p>
        </w:tc>
        <w:tc>
          <w:tcPr>
            <w:tcW w:w="995" w:type="dxa"/>
            <w:vAlign w:val="top"/>
          </w:tcPr>
          <w:p>
            <w:pPr>
              <w:keepNext w:val="0"/>
              <w:keepLines w:val="0"/>
              <w:suppressLineNumbers w:val="0"/>
              <w:spacing w:before="0" w:beforeAutospacing="0" w:after="0" w:afterAutospacing="0"/>
              <w:ind w:left="0" w:right="0"/>
              <w:rPr>
                <w:rFonts w:hint="default" w:ascii="Arial"/>
                <w:sz w:val="21"/>
              </w:rPr>
            </w:pPr>
          </w:p>
        </w:tc>
        <w:tc>
          <w:tcPr>
            <w:tcW w:w="1384" w:type="dxa"/>
            <w:vAlign w:val="top"/>
          </w:tcPr>
          <w:p>
            <w:pPr>
              <w:keepNext w:val="0"/>
              <w:keepLines w:val="0"/>
              <w:suppressLineNumbers w:val="0"/>
              <w:spacing w:before="0" w:beforeAutospacing="0" w:after="0" w:afterAutospacing="0"/>
              <w:ind w:left="0" w:right="0"/>
              <w:rPr>
                <w:rFonts w:hint="default" w:ascii="Arial"/>
                <w:sz w:val="21"/>
              </w:rPr>
            </w:pPr>
          </w:p>
        </w:tc>
        <w:tc>
          <w:tcPr>
            <w:tcW w:w="1225" w:type="dxa"/>
            <w:vAlign w:val="top"/>
          </w:tcPr>
          <w:p>
            <w:pPr>
              <w:keepNext w:val="0"/>
              <w:keepLines w:val="0"/>
              <w:suppressLineNumbers w:val="0"/>
              <w:spacing w:before="0" w:beforeAutospacing="0" w:after="0" w:afterAutospacing="0"/>
              <w:ind w:left="0" w:right="0"/>
              <w:rPr>
                <w:rFonts w:hint="default" w:ascii="Arial"/>
                <w:sz w:val="21"/>
              </w:rPr>
            </w:pPr>
          </w:p>
        </w:tc>
        <w:tc>
          <w:tcPr>
            <w:tcW w:w="2337" w:type="dxa"/>
            <w:vAlign w:val="top"/>
          </w:tcPr>
          <w:p>
            <w:pPr>
              <w:keepNext w:val="0"/>
              <w:keepLines w:val="0"/>
              <w:suppressLineNumbers w:val="0"/>
              <w:spacing w:before="0" w:beforeAutospacing="0" w:after="0" w:afterAutospacing="0"/>
              <w:ind w:left="0" w:right="0"/>
              <w:rPr>
                <w:rFonts w:hint="default" w:ascii="Arial"/>
                <w:sz w:val="21"/>
              </w:rPr>
            </w:pPr>
          </w:p>
        </w:tc>
        <w:tc>
          <w:tcPr>
            <w:tcW w:w="1808"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043" w:type="dxa"/>
            <w:vAlign w:val="top"/>
          </w:tcPr>
          <w:p>
            <w:pPr>
              <w:keepNext w:val="0"/>
              <w:keepLines w:val="0"/>
              <w:suppressLineNumbers w:val="0"/>
              <w:spacing w:before="0" w:beforeAutospacing="0" w:after="0" w:afterAutospacing="0"/>
              <w:ind w:left="0" w:right="0"/>
              <w:rPr>
                <w:rFonts w:hint="default" w:ascii="Arial"/>
                <w:sz w:val="21"/>
              </w:rPr>
            </w:pPr>
          </w:p>
        </w:tc>
        <w:tc>
          <w:tcPr>
            <w:tcW w:w="995" w:type="dxa"/>
            <w:vAlign w:val="top"/>
          </w:tcPr>
          <w:p>
            <w:pPr>
              <w:keepNext w:val="0"/>
              <w:keepLines w:val="0"/>
              <w:suppressLineNumbers w:val="0"/>
              <w:spacing w:before="0" w:beforeAutospacing="0" w:after="0" w:afterAutospacing="0"/>
              <w:ind w:left="0" w:right="0"/>
              <w:rPr>
                <w:rFonts w:hint="default" w:ascii="Arial"/>
                <w:sz w:val="21"/>
              </w:rPr>
            </w:pPr>
          </w:p>
        </w:tc>
        <w:tc>
          <w:tcPr>
            <w:tcW w:w="1384" w:type="dxa"/>
            <w:vAlign w:val="top"/>
          </w:tcPr>
          <w:p>
            <w:pPr>
              <w:keepNext w:val="0"/>
              <w:keepLines w:val="0"/>
              <w:suppressLineNumbers w:val="0"/>
              <w:spacing w:before="0" w:beforeAutospacing="0" w:after="0" w:afterAutospacing="0"/>
              <w:ind w:left="0" w:right="0"/>
              <w:rPr>
                <w:rFonts w:hint="default" w:ascii="Arial"/>
                <w:sz w:val="21"/>
              </w:rPr>
            </w:pPr>
          </w:p>
        </w:tc>
        <w:tc>
          <w:tcPr>
            <w:tcW w:w="1225" w:type="dxa"/>
            <w:vAlign w:val="top"/>
          </w:tcPr>
          <w:p>
            <w:pPr>
              <w:keepNext w:val="0"/>
              <w:keepLines w:val="0"/>
              <w:suppressLineNumbers w:val="0"/>
              <w:spacing w:before="0" w:beforeAutospacing="0" w:after="0" w:afterAutospacing="0"/>
              <w:ind w:left="0" w:right="0"/>
              <w:rPr>
                <w:rFonts w:hint="default" w:ascii="Arial"/>
                <w:sz w:val="21"/>
              </w:rPr>
            </w:pPr>
          </w:p>
        </w:tc>
        <w:tc>
          <w:tcPr>
            <w:tcW w:w="2337" w:type="dxa"/>
            <w:vAlign w:val="top"/>
          </w:tcPr>
          <w:p>
            <w:pPr>
              <w:keepNext w:val="0"/>
              <w:keepLines w:val="0"/>
              <w:suppressLineNumbers w:val="0"/>
              <w:spacing w:before="0" w:beforeAutospacing="0" w:after="0" w:afterAutospacing="0"/>
              <w:ind w:left="0" w:right="0"/>
              <w:rPr>
                <w:rFonts w:hint="default" w:ascii="Arial"/>
                <w:sz w:val="21"/>
              </w:rPr>
            </w:pPr>
          </w:p>
        </w:tc>
        <w:tc>
          <w:tcPr>
            <w:tcW w:w="1808"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043" w:type="dxa"/>
            <w:vAlign w:val="top"/>
          </w:tcPr>
          <w:p>
            <w:pPr>
              <w:keepNext w:val="0"/>
              <w:keepLines w:val="0"/>
              <w:suppressLineNumbers w:val="0"/>
              <w:spacing w:before="0" w:beforeAutospacing="0" w:after="0" w:afterAutospacing="0"/>
              <w:ind w:left="0" w:right="0"/>
              <w:rPr>
                <w:rFonts w:hint="default" w:ascii="Arial"/>
                <w:sz w:val="21"/>
              </w:rPr>
            </w:pPr>
          </w:p>
        </w:tc>
        <w:tc>
          <w:tcPr>
            <w:tcW w:w="995" w:type="dxa"/>
            <w:vAlign w:val="top"/>
          </w:tcPr>
          <w:p>
            <w:pPr>
              <w:keepNext w:val="0"/>
              <w:keepLines w:val="0"/>
              <w:suppressLineNumbers w:val="0"/>
              <w:spacing w:before="0" w:beforeAutospacing="0" w:after="0" w:afterAutospacing="0"/>
              <w:ind w:left="0" w:right="0"/>
              <w:rPr>
                <w:rFonts w:hint="default" w:ascii="Arial"/>
                <w:sz w:val="21"/>
              </w:rPr>
            </w:pPr>
          </w:p>
        </w:tc>
        <w:tc>
          <w:tcPr>
            <w:tcW w:w="1384" w:type="dxa"/>
            <w:vAlign w:val="top"/>
          </w:tcPr>
          <w:p>
            <w:pPr>
              <w:keepNext w:val="0"/>
              <w:keepLines w:val="0"/>
              <w:suppressLineNumbers w:val="0"/>
              <w:spacing w:before="0" w:beforeAutospacing="0" w:after="0" w:afterAutospacing="0"/>
              <w:ind w:left="0" w:right="0"/>
              <w:rPr>
                <w:rFonts w:hint="default" w:ascii="Arial"/>
                <w:sz w:val="21"/>
              </w:rPr>
            </w:pPr>
          </w:p>
        </w:tc>
        <w:tc>
          <w:tcPr>
            <w:tcW w:w="1225" w:type="dxa"/>
            <w:vAlign w:val="top"/>
          </w:tcPr>
          <w:p>
            <w:pPr>
              <w:keepNext w:val="0"/>
              <w:keepLines w:val="0"/>
              <w:suppressLineNumbers w:val="0"/>
              <w:spacing w:before="0" w:beforeAutospacing="0" w:after="0" w:afterAutospacing="0"/>
              <w:ind w:left="0" w:right="0"/>
              <w:rPr>
                <w:rFonts w:hint="default" w:ascii="Arial"/>
                <w:sz w:val="21"/>
              </w:rPr>
            </w:pPr>
          </w:p>
        </w:tc>
        <w:tc>
          <w:tcPr>
            <w:tcW w:w="2337" w:type="dxa"/>
            <w:vAlign w:val="top"/>
          </w:tcPr>
          <w:p>
            <w:pPr>
              <w:keepNext w:val="0"/>
              <w:keepLines w:val="0"/>
              <w:suppressLineNumbers w:val="0"/>
              <w:spacing w:before="0" w:beforeAutospacing="0" w:after="0" w:afterAutospacing="0"/>
              <w:ind w:left="0" w:right="0"/>
              <w:rPr>
                <w:rFonts w:hint="default" w:ascii="Arial"/>
                <w:sz w:val="21"/>
              </w:rPr>
            </w:pPr>
          </w:p>
        </w:tc>
        <w:tc>
          <w:tcPr>
            <w:tcW w:w="1808"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043" w:type="dxa"/>
            <w:vAlign w:val="top"/>
          </w:tcPr>
          <w:p>
            <w:pPr>
              <w:keepNext w:val="0"/>
              <w:keepLines w:val="0"/>
              <w:suppressLineNumbers w:val="0"/>
              <w:spacing w:before="0" w:beforeAutospacing="0" w:after="0" w:afterAutospacing="0"/>
              <w:ind w:left="0" w:right="0"/>
              <w:rPr>
                <w:rFonts w:hint="default" w:ascii="Arial"/>
                <w:sz w:val="21"/>
              </w:rPr>
            </w:pPr>
          </w:p>
        </w:tc>
        <w:tc>
          <w:tcPr>
            <w:tcW w:w="995" w:type="dxa"/>
            <w:vAlign w:val="top"/>
          </w:tcPr>
          <w:p>
            <w:pPr>
              <w:keepNext w:val="0"/>
              <w:keepLines w:val="0"/>
              <w:suppressLineNumbers w:val="0"/>
              <w:spacing w:before="0" w:beforeAutospacing="0" w:after="0" w:afterAutospacing="0"/>
              <w:ind w:left="0" w:right="0"/>
              <w:rPr>
                <w:rFonts w:hint="default" w:ascii="Arial"/>
                <w:sz w:val="21"/>
              </w:rPr>
            </w:pPr>
          </w:p>
        </w:tc>
        <w:tc>
          <w:tcPr>
            <w:tcW w:w="1384" w:type="dxa"/>
            <w:vAlign w:val="top"/>
          </w:tcPr>
          <w:p>
            <w:pPr>
              <w:keepNext w:val="0"/>
              <w:keepLines w:val="0"/>
              <w:suppressLineNumbers w:val="0"/>
              <w:spacing w:before="0" w:beforeAutospacing="0" w:after="0" w:afterAutospacing="0"/>
              <w:ind w:left="0" w:right="0"/>
              <w:rPr>
                <w:rFonts w:hint="default" w:ascii="Arial"/>
                <w:sz w:val="21"/>
              </w:rPr>
            </w:pPr>
          </w:p>
        </w:tc>
        <w:tc>
          <w:tcPr>
            <w:tcW w:w="1225" w:type="dxa"/>
            <w:vAlign w:val="top"/>
          </w:tcPr>
          <w:p>
            <w:pPr>
              <w:keepNext w:val="0"/>
              <w:keepLines w:val="0"/>
              <w:suppressLineNumbers w:val="0"/>
              <w:spacing w:before="0" w:beforeAutospacing="0" w:after="0" w:afterAutospacing="0"/>
              <w:ind w:left="0" w:right="0"/>
              <w:rPr>
                <w:rFonts w:hint="default" w:ascii="Arial"/>
                <w:sz w:val="21"/>
              </w:rPr>
            </w:pPr>
          </w:p>
        </w:tc>
        <w:tc>
          <w:tcPr>
            <w:tcW w:w="2337" w:type="dxa"/>
            <w:vAlign w:val="top"/>
          </w:tcPr>
          <w:p>
            <w:pPr>
              <w:keepNext w:val="0"/>
              <w:keepLines w:val="0"/>
              <w:suppressLineNumbers w:val="0"/>
              <w:spacing w:before="0" w:beforeAutospacing="0" w:after="0" w:afterAutospacing="0"/>
              <w:ind w:left="0" w:right="0"/>
              <w:rPr>
                <w:rFonts w:hint="default" w:ascii="Arial"/>
                <w:sz w:val="21"/>
              </w:rPr>
            </w:pPr>
          </w:p>
        </w:tc>
        <w:tc>
          <w:tcPr>
            <w:tcW w:w="1808"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043" w:type="dxa"/>
            <w:vAlign w:val="top"/>
          </w:tcPr>
          <w:p>
            <w:pPr>
              <w:keepNext w:val="0"/>
              <w:keepLines w:val="0"/>
              <w:suppressLineNumbers w:val="0"/>
              <w:spacing w:before="0" w:beforeAutospacing="0" w:after="0" w:afterAutospacing="0"/>
              <w:ind w:left="0" w:right="0"/>
              <w:rPr>
                <w:rFonts w:hint="default" w:ascii="Arial"/>
                <w:sz w:val="21"/>
              </w:rPr>
            </w:pPr>
          </w:p>
        </w:tc>
        <w:tc>
          <w:tcPr>
            <w:tcW w:w="995" w:type="dxa"/>
            <w:vAlign w:val="top"/>
          </w:tcPr>
          <w:p>
            <w:pPr>
              <w:keepNext w:val="0"/>
              <w:keepLines w:val="0"/>
              <w:suppressLineNumbers w:val="0"/>
              <w:spacing w:before="0" w:beforeAutospacing="0" w:after="0" w:afterAutospacing="0"/>
              <w:ind w:left="0" w:right="0"/>
              <w:rPr>
                <w:rFonts w:hint="default" w:ascii="Arial"/>
                <w:sz w:val="21"/>
              </w:rPr>
            </w:pPr>
          </w:p>
        </w:tc>
        <w:tc>
          <w:tcPr>
            <w:tcW w:w="1384" w:type="dxa"/>
            <w:vAlign w:val="top"/>
          </w:tcPr>
          <w:p>
            <w:pPr>
              <w:keepNext w:val="0"/>
              <w:keepLines w:val="0"/>
              <w:suppressLineNumbers w:val="0"/>
              <w:spacing w:before="0" w:beforeAutospacing="0" w:after="0" w:afterAutospacing="0"/>
              <w:ind w:left="0" w:right="0"/>
              <w:rPr>
                <w:rFonts w:hint="default" w:ascii="Arial"/>
                <w:sz w:val="21"/>
              </w:rPr>
            </w:pPr>
          </w:p>
        </w:tc>
        <w:tc>
          <w:tcPr>
            <w:tcW w:w="1225" w:type="dxa"/>
            <w:vAlign w:val="top"/>
          </w:tcPr>
          <w:p>
            <w:pPr>
              <w:keepNext w:val="0"/>
              <w:keepLines w:val="0"/>
              <w:suppressLineNumbers w:val="0"/>
              <w:spacing w:before="0" w:beforeAutospacing="0" w:after="0" w:afterAutospacing="0"/>
              <w:ind w:left="0" w:right="0"/>
              <w:rPr>
                <w:rFonts w:hint="default" w:ascii="Arial"/>
                <w:sz w:val="21"/>
              </w:rPr>
            </w:pPr>
          </w:p>
        </w:tc>
        <w:tc>
          <w:tcPr>
            <w:tcW w:w="2337" w:type="dxa"/>
            <w:vAlign w:val="top"/>
          </w:tcPr>
          <w:p>
            <w:pPr>
              <w:keepNext w:val="0"/>
              <w:keepLines w:val="0"/>
              <w:suppressLineNumbers w:val="0"/>
              <w:spacing w:before="0" w:beforeAutospacing="0" w:after="0" w:afterAutospacing="0"/>
              <w:ind w:left="0" w:right="0"/>
              <w:rPr>
                <w:rFonts w:hint="default" w:ascii="Arial"/>
                <w:sz w:val="21"/>
              </w:rPr>
            </w:pPr>
          </w:p>
        </w:tc>
        <w:tc>
          <w:tcPr>
            <w:tcW w:w="1808"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043" w:type="dxa"/>
            <w:vAlign w:val="top"/>
          </w:tcPr>
          <w:p>
            <w:pPr>
              <w:keepNext w:val="0"/>
              <w:keepLines w:val="0"/>
              <w:suppressLineNumbers w:val="0"/>
              <w:spacing w:before="0" w:beforeAutospacing="0" w:after="0" w:afterAutospacing="0"/>
              <w:ind w:left="0" w:right="0"/>
              <w:rPr>
                <w:rFonts w:hint="default" w:ascii="Arial"/>
                <w:sz w:val="21"/>
              </w:rPr>
            </w:pPr>
          </w:p>
        </w:tc>
        <w:tc>
          <w:tcPr>
            <w:tcW w:w="995" w:type="dxa"/>
            <w:vAlign w:val="top"/>
          </w:tcPr>
          <w:p>
            <w:pPr>
              <w:keepNext w:val="0"/>
              <w:keepLines w:val="0"/>
              <w:suppressLineNumbers w:val="0"/>
              <w:spacing w:before="0" w:beforeAutospacing="0" w:after="0" w:afterAutospacing="0"/>
              <w:ind w:left="0" w:right="0"/>
              <w:rPr>
                <w:rFonts w:hint="default" w:ascii="Arial"/>
                <w:sz w:val="21"/>
              </w:rPr>
            </w:pPr>
          </w:p>
        </w:tc>
        <w:tc>
          <w:tcPr>
            <w:tcW w:w="1384" w:type="dxa"/>
            <w:vAlign w:val="top"/>
          </w:tcPr>
          <w:p>
            <w:pPr>
              <w:keepNext w:val="0"/>
              <w:keepLines w:val="0"/>
              <w:suppressLineNumbers w:val="0"/>
              <w:spacing w:before="0" w:beforeAutospacing="0" w:after="0" w:afterAutospacing="0"/>
              <w:ind w:left="0" w:right="0"/>
              <w:rPr>
                <w:rFonts w:hint="default" w:ascii="Arial"/>
                <w:sz w:val="21"/>
              </w:rPr>
            </w:pPr>
          </w:p>
        </w:tc>
        <w:tc>
          <w:tcPr>
            <w:tcW w:w="1225" w:type="dxa"/>
            <w:vAlign w:val="top"/>
          </w:tcPr>
          <w:p>
            <w:pPr>
              <w:keepNext w:val="0"/>
              <w:keepLines w:val="0"/>
              <w:suppressLineNumbers w:val="0"/>
              <w:spacing w:before="0" w:beforeAutospacing="0" w:after="0" w:afterAutospacing="0"/>
              <w:ind w:left="0" w:right="0"/>
              <w:rPr>
                <w:rFonts w:hint="default" w:ascii="Arial"/>
                <w:sz w:val="21"/>
              </w:rPr>
            </w:pPr>
          </w:p>
        </w:tc>
        <w:tc>
          <w:tcPr>
            <w:tcW w:w="2337" w:type="dxa"/>
            <w:vAlign w:val="top"/>
          </w:tcPr>
          <w:p>
            <w:pPr>
              <w:keepNext w:val="0"/>
              <w:keepLines w:val="0"/>
              <w:suppressLineNumbers w:val="0"/>
              <w:spacing w:before="0" w:beforeAutospacing="0" w:after="0" w:afterAutospacing="0"/>
              <w:ind w:left="0" w:right="0"/>
              <w:rPr>
                <w:rFonts w:hint="default" w:ascii="Arial"/>
                <w:sz w:val="21"/>
              </w:rPr>
            </w:pPr>
          </w:p>
        </w:tc>
        <w:tc>
          <w:tcPr>
            <w:tcW w:w="1808"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043" w:type="dxa"/>
            <w:vAlign w:val="top"/>
          </w:tcPr>
          <w:p>
            <w:pPr>
              <w:keepNext w:val="0"/>
              <w:keepLines w:val="0"/>
              <w:suppressLineNumbers w:val="0"/>
              <w:spacing w:before="0" w:beforeAutospacing="0" w:after="0" w:afterAutospacing="0"/>
              <w:ind w:left="0" w:right="0"/>
              <w:rPr>
                <w:rFonts w:hint="default" w:ascii="Arial"/>
                <w:sz w:val="21"/>
              </w:rPr>
            </w:pPr>
          </w:p>
        </w:tc>
        <w:tc>
          <w:tcPr>
            <w:tcW w:w="995" w:type="dxa"/>
            <w:vAlign w:val="top"/>
          </w:tcPr>
          <w:p>
            <w:pPr>
              <w:keepNext w:val="0"/>
              <w:keepLines w:val="0"/>
              <w:suppressLineNumbers w:val="0"/>
              <w:spacing w:before="0" w:beforeAutospacing="0" w:after="0" w:afterAutospacing="0"/>
              <w:ind w:left="0" w:right="0"/>
              <w:rPr>
                <w:rFonts w:hint="default" w:ascii="Arial"/>
                <w:sz w:val="21"/>
              </w:rPr>
            </w:pPr>
          </w:p>
        </w:tc>
        <w:tc>
          <w:tcPr>
            <w:tcW w:w="1384" w:type="dxa"/>
            <w:vAlign w:val="top"/>
          </w:tcPr>
          <w:p>
            <w:pPr>
              <w:keepNext w:val="0"/>
              <w:keepLines w:val="0"/>
              <w:suppressLineNumbers w:val="0"/>
              <w:spacing w:before="0" w:beforeAutospacing="0" w:after="0" w:afterAutospacing="0"/>
              <w:ind w:left="0" w:right="0"/>
              <w:rPr>
                <w:rFonts w:hint="default" w:ascii="Arial"/>
                <w:sz w:val="21"/>
              </w:rPr>
            </w:pPr>
          </w:p>
        </w:tc>
        <w:tc>
          <w:tcPr>
            <w:tcW w:w="1225" w:type="dxa"/>
            <w:vAlign w:val="top"/>
          </w:tcPr>
          <w:p>
            <w:pPr>
              <w:keepNext w:val="0"/>
              <w:keepLines w:val="0"/>
              <w:suppressLineNumbers w:val="0"/>
              <w:spacing w:before="0" w:beforeAutospacing="0" w:after="0" w:afterAutospacing="0"/>
              <w:ind w:left="0" w:right="0"/>
              <w:rPr>
                <w:rFonts w:hint="default" w:ascii="Arial"/>
                <w:sz w:val="21"/>
              </w:rPr>
            </w:pPr>
          </w:p>
        </w:tc>
        <w:tc>
          <w:tcPr>
            <w:tcW w:w="2337" w:type="dxa"/>
            <w:vAlign w:val="top"/>
          </w:tcPr>
          <w:p>
            <w:pPr>
              <w:keepNext w:val="0"/>
              <w:keepLines w:val="0"/>
              <w:suppressLineNumbers w:val="0"/>
              <w:spacing w:before="0" w:beforeAutospacing="0" w:after="0" w:afterAutospacing="0"/>
              <w:ind w:left="0" w:right="0"/>
              <w:rPr>
                <w:rFonts w:hint="default" w:ascii="Arial"/>
                <w:sz w:val="21"/>
              </w:rPr>
            </w:pPr>
          </w:p>
        </w:tc>
        <w:tc>
          <w:tcPr>
            <w:tcW w:w="1808"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043" w:type="dxa"/>
            <w:vAlign w:val="top"/>
          </w:tcPr>
          <w:p>
            <w:pPr>
              <w:keepNext w:val="0"/>
              <w:keepLines w:val="0"/>
              <w:suppressLineNumbers w:val="0"/>
              <w:spacing w:before="0" w:beforeAutospacing="0" w:after="0" w:afterAutospacing="0"/>
              <w:ind w:left="0" w:right="0"/>
              <w:rPr>
                <w:rFonts w:hint="default" w:ascii="Arial"/>
                <w:sz w:val="21"/>
              </w:rPr>
            </w:pPr>
          </w:p>
        </w:tc>
        <w:tc>
          <w:tcPr>
            <w:tcW w:w="995" w:type="dxa"/>
            <w:vAlign w:val="top"/>
          </w:tcPr>
          <w:p>
            <w:pPr>
              <w:keepNext w:val="0"/>
              <w:keepLines w:val="0"/>
              <w:suppressLineNumbers w:val="0"/>
              <w:spacing w:before="0" w:beforeAutospacing="0" w:after="0" w:afterAutospacing="0"/>
              <w:ind w:left="0" w:right="0"/>
              <w:rPr>
                <w:rFonts w:hint="default" w:ascii="Arial"/>
                <w:sz w:val="21"/>
              </w:rPr>
            </w:pPr>
          </w:p>
        </w:tc>
        <w:tc>
          <w:tcPr>
            <w:tcW w:w="1384" w:type="dxa"/>
            <w:vAlign w:val="top"/>
          </w:tcPr>
          <w:p>
            <w:pPr>
              <w:keepNext w:val="0"/>
              <w:keepLines w:val="0"/>
              <w:suppressLineNumbers w:val="0"/>
              <w:spacing w:before="0" w:beforeAutospacing="0" w:after="0" w:afterAutospacing="0"/>
              <w:ind w:left="0" w:right="0"/>
              <w:rPr>
                <w:rFonts w:hint="default" w:ascii="Arial"/>
                <w:sz w:val="21"/>
              </w:rPr>
            </w:pPr>
          </w:p>
        </w:tc>
        <w:tc>
          <w:tcPr>
            <w:tcW w:w="1225" w:type="dxa"/>
            <w:vAlign w:val="top"/>
          </w:tcPr>
          <w:p>
            <w:pPr>
              <w:keepNext w:val="0"/>
              <w:keepLines w:val="0"/>
              <w:suppressLineNumbers w:val="0"/>
              <w:spacing w:before="0" w:beforeAutospacing="0" w:after="0" w:afterAutospacing="0"/>
              <w:ind w:left="0" w:right="0"/>
              <w:rPr>
                <w:rFonts w:hint="default" w:ascii="Arial"/>
                <w:sz w:val="21"/>
              </w:rPr>
            </w:pPr>
          </w:p>
        </w:tc>
        <w:tc>
          <w:tcPr>
            <w:tcW w:w="2337" w:type="dxa"/>
            <w:vAlign w:val="top"/>
          </w:tcPr>
          <w:p>
            <w:pPr>
              <w:keepNext w:val="0"/>
              <w:keepLines w:val="0"/>
              <w:suppressLineNumbers w:val="0"/>
              <w:spacing w:before="0" w:beforeAutospacing="0" w:after="0" w:afterAutospacing="0"/>
              <w:ind w:left="0" w:right="0"/>
              <w:rPr>
                <w:rFonts w:hint="default" w:ascii="Arial"/>
                <w:sz w:val="21"/>
              </w:rPr>
            </w:pPr>
          </w:p>
        </w:tc>
        <w:tc>
          <w:tcPr>
            <w:tcW w:w="1808"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043" w:type="dxa"/>
            <w:vAlign w:val="top"/>
          </w:tcPr>
          <w:p>
            <w:pPr>
              <w:keepNext w:val="0"/>
              <w:keepLines w:val="0"/>
              <w:suppressLineNumbers w:val="0"/>
              <w:spacing w:before="0" w:beforeAutospacing="0" w:after="0" w:afterAutospacing="0"/>
              <w:ind w:left="0" w:right="0"/>
              <w:rPr>
                <w:rFonts w:hint="default" w:ascii="Arial"/>
                <w:sz w:val="21"/>
              </w:rPr>
            </w:pPr>
          </w:p>
        </w:tc>
        <w:tc>
          <w:tcPr>
            <w:tcW w:w="995" w:type="dxa"/>
            <w:vAlign w:val="top"/>
          </w:tcPr>
          <w:p>
            <w:pPr>
              <w:keepNext w:val="0"/>
              <w:keepLines w:val="0"/>
              <w:suppressLineNumbers w:val="0"/>
              <w:spacing w:before="0" w:beforeAutospacing="0" w:after="0" w:afterAutospacing="0"/>
              <w:ind w:left="0" w:right="0"/>
              <w:rPr>
                <w:rFonts w:hint="default" w:ascii="Arial"/>
                <w:sz w:val="21"/>
              </w:rPr>
            </w:pPr>
          </w:p>
        </w:tc>
        <w:tc>
          <w:tcPr>
            <w:tcW w:w="1384" w:type="dxa"/>
            <w:vAlign w:val="top"/>
          </w:tcPr>
          <w:p>
            <w:pPr>
              <w:keepNext w:val="0"/>
              <w:keepLines w:val="0"/>
              <w:suppressLineNumbers w:val="0"/>
              <w:spacing w:before="0" w:beforeAutospacing="0" w:after="0" w:afterAutospacing="0"/>
              <w:ind w:left="0" w:right="0"/>
              <w:rPr>
                <w:rFonts w:hint="default" w:ascii="Arial"/>
                <w:sz w:val="21"/>
              </w:rPr>
            </w:pPr>
          </w:p>
        </w:tc>
        <w:tc>
          <w:tcPr>
            <w:tcW w:w="1225" w:type="dxa"/>
            <w:vAlign w:val="top"/>
          </w:tcPr>
          <w:p>
            <w:pPr>
              <w:keepNext w:val="0"/>
              <w:keepLines w:val="0"/>
              <w:suppressLineNumbers w:val="0"/>
              <w:spacing w:before="0" w:beforeAutospacing="0" w:after="0" w:afterAutospacing="0"/>
              <w:ind w:left="0" w:right="0"/>
              <w:rPr>
                <w:rFonts w:hint="default" w:ascii="Arial"/>
                <w:sz w:val="21"/>
              </w:rPr>
            </w:pPr>
          </w:p>
        </w:tc>
        <w:tc>
          <w:tcPr>
            <w:tcW w:w="2337" w:type="dxa"/>
            <w:vAlign w:val="top"/>
          </w:tcPr>
          <w:p>
            <w:pPr>
              <w:keepNext w:val="0"/>
              <w:keepLines w:val="0"/>
              <w:suppressLineNumbers w:val="0"/>
              <w:spacing w:before="0" w:beforeAutospacing="0" w:after="0" w:afterAutospacing="0"/>
              <w:ind w:left="0" w:right="0"/>
              <w:rPr>
                <w:rFonts w:hint="default" w:ascii="Arial"/>
                <w:sz w:val="21"/>
              </w:rPr>
            </w:pPr>
          </w:p>
        </w:tc>
        <w:tc>
          <w:tcPr>
            <w:tcW w:w="1808"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043" w:type="dxa"/>
            <w:vAlign w:val="top"/>
          </w:tcPr>
          <w:p>
            <w:pPr>
              <w:keepNext w:val="0"/>
              <w:keepLines w:val="0"/>
              <w:suppressLineNumbers w:val="0"/>
              <w:spacing w:before="0" w:beforeAutospacing="0" w:after="0" w:afterAutospacing="0"/>
              <w:ind w:left="0" w:right="0"/>
              <w:rPr>
                <w:rFonts w:hint="default" w:ascii="Arial"/>
                <w:sz w:val="21"/>
              </w:rPr>
            </w:pPr>
          </w:p>
        </w:tc>
        <w:tc>
          <w:tcPr>
            <w:tcW w:w="995" w:type="dxa"/>
            <w:vAlign w:val="top"/>
          </w:tcPr>
          <w:p>
            <w:pPr>
              <w:keepNext w:val="0"/>
              <w:keepLines w:val="0"/>
              <w:suppressLineNumbers w:val="0"/>
              <w:spacing w:before="0" w:beforeAutospacing="0" w:after="0" w:afterAutospacing="0"/>
              <w:ind w:left="0" w:right="0"/>
              <w:rPr>
                <w:rFonts w:hint="default" w:ascii="Arial"/>
                <w:sz w:val="21"/>
              </w:rPr>
            </w:pPr>
          </w:p>
        </w:tc>
        <w:tc>
          <w:tcPr>
            <w:tcW w:w="1384" w:type="dxa"/>
            <w:vAlign w:val="top"/>
          </w:tcPr>
          <w:p>
            <w:pPr>
              <w:keepNext w:val="0"/>
              <w:keepLines w:val="0"/>
              <w:suppressLineNumbers w:val="0"/>
              <w:spacing w:before="0" w:beforeAutospacing="0" w:after="0" w:afterAutospacing="0"/>
              <w:ind w:left="0" w:right="0"/>
              <w:rPr>
                <w:rFonts w:hint="default" w:ascii="Arial"/>
                <w:sz w:val="21"/>
              </w:rPr>
            </w:pPr>
          </w:p>
        </w:tc>
        <w:tc>
          <w:tcPr>
            <w:tcW w:w="1225" w:type="dxa"/>
            <w:vAlign w:val="top"/>
          </w:tcPr>
          <w:p>
            <w:pPr>
              <w:keepNext w:val="0"/>
              <w:keepLines w:val="0"/>
              <w:suppressLineNumbers w:val="0"/>
              <w:spacing w:before="0" w:beforeAutospacing="0" w:after="0" w:afterAutospacing="0"/>
              <w:ind w:left="0" w:right="0"/>
              <w:rPr>
                <w:rFonts w:hint="default" w:ascii="Arial"/>
                <w:sz w:val="21"/>
              </w:rPr>
            </w:pPr>
          </w:p>
        </w:tc>
        <w:tc>
          <w:tcPr>
            <w:tcW w:w="2337" w:type="dxa"/>
            <w:vAlign w:val="top"/>
          </w:tcPr>
          <w:p>
            <w:pPr>
              <w:keepNext w:val="0"/>
              <w:keepLines w:val="0"/>
              <w:suppressLineNumbers w:val="0"/>
              <w:spacing w:before="0" w:beforeAutospacing="0" w:after="0" w:afterAutospacing="0"/>
              <w:ind w:left="0" w:right="0"/>
              <w:rPr>
                <w:rFonts w:hint="default" w:ascii="Arial"/>
                <w:sz w:val="21"/>
              </w:rPr>
            </w:pPr>
          </w:p>
        </w:tc>
        <w:tc>
          <w:tcPr>
            <w:tcW w:w="1808"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1043" w:type="dxa"/>
            <w:vAlign w:val="top"/>
          </w:tcPr>
          <w:p>
            <w:pPr>
              <w:keepNext w:val="0"/>
              <w:keepLines w:val="0"/>
              <w:suppressLineNumbers w:val="0"/>
              <w:spacing w:before="0" w:beforeAutospacing="0" w:after="0" w:afterAutospacing="0"/>
              <w:ind w:left="0" w:right="0"/>
              <w:rPr>
                <w:rFonts w:hint="default" w:ascii="Arial"/>
                <w:sz w:val="21"/>
              </w:rPr>
            </w:pPr>
          </w:p>
        </w:tc>
        <w:tc>
          <w:tcPr>
            <w:tcW w:w="995" w:type="dxa"/>
            <w:vAlign w:val="top"/>
          </w:tcPr>
          <w:p>
            <w:pPr>
              <w:keepNext w:val="0"/>
              <w:keepLines w:val="0"/>
              <w:suppressLineNumbers w:val="0"/>
              <w:spacing w:before="0" w:beforeAutospacing="0" w:after="0" w:afterAutospacing="0"/>
              <w:ind w:left="0" w:right="0"/>
              <w:rPr>
                <w:rFonts w:hint="default" w:ascii="Arial"/>
                <w:sz w:val="21"/>
              </w:rPr>
            </w:pPr>
          </w:p>
        </w:tc>
        <w:tc>
          <w:tcPr>
            <w:tcW w:w="1384" w:type="dxa"/>
            <w:vAlign w:val="top"/>
          </w:tcPr>
          <w:p>
            <w:pPr>
              <w:keepNext w:val="0"/>
              <w:keepLines w:val="0"/>
              <w:suppressLineNumbers w:val="0"/>
              <w:spacing w:before="0" w:beforeAutospacing="0" w:after="0" w:afterAutospacing="0"/>
              <w:ind w:left="0" w:right="0"/>
              <w:rPr>
                <w:rFonts w:hint="default" w:ascii="Arial"/>
                <w:sz w:val="21"/>
              </w:rPr>
            </w:pPr>
          </w:p>
        </w:tc>
        <w:tc>
          <w:tcPr>
            <w:tcW w:w="1225" w:type="dxa"/>
            <w:vAlign w:val="top"/>
          </w:tcPr>
          <w:p>
            <w:pPr>
              <w:keepNext w:val="0"/>
              <w:keepLines w:val="0"/>
              <w:suppressLineNumbers w:val="0"/>
              <w:spacing w:before="0" w:beforeAutospacing="0" w:after="0" w:afterAutospacing="0"/>
              <w:ind w:left="0" w:right="0"/>
              <w:rPr>
                <w:rFonts w:hint="default" w:ascii="Arial"/>
                <w:sz w:val="21"/>
              </w:rPr>
            </w:pPr>
          </w:p>
        </w:tc>
        <w:tc>
          <w:tcPr>
            <w:tcW w:w="2337" w:type="dxa"/>
            <w:vAlign w:val="top"/>
          </w:tcPr>
          <w:p>
            <w:pPr>
              <w:keepNext w:val="0"/>
              <w:keepLines w:val="0"/>
              <w:suppressLineNumbers w:val="0"/>
              <w:spacing w:before="0" w:beforeAutospacing="0" w:after="0" w:afterAutospacing="0"/>
              <w:ind w:left="0" w:right="0"/>
              <w:rPr>
                <w:rFonts w:hint="default" w:ascii="Arial"/>
                <w:sz w:val="21"/>
              </w:rPr>
            </w:pPr>
          </w:p>
        </w:tc>
        <w:tc>
          <w:tcPr>
            <w:tcW w:w="1808"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043" w:type="dxa"/>
            <w:vAlign w:val="top"/>
          </w:tcPr>
          <w:p>
            <w:pPr>
              <w:keepNext w:val="0"/>
              <w:keepLines w:val="0"/>
              <w:suppressLineNumbers w:val="0"/>
              <w:spacing w:before="0" w:beforeAutospacing="0" w:after="0" w:afterAutospacing="0"/>
              <w:ind w:left="0" w:right="0"/>
              <w:rPr>
                <w:rFonts w:hint="default" w:ascii="Arial"/>
                <w:sz w:val="21"/>
              </w:rPr>
            </w:pPr>
          </w:p>
        </w:tc>
        <w:tc>
          <w:tcPr>
            <w:tcW w:w="995" w:type="dxa"/>
            <w:vAlign w:val="top"/>
          </w:tcPr>
          <w:p>
            <w:pPr>
              <w:keepNext w:val="0"/>
              <w:keepLines w:val="0"/>
              <w:suppressLineNumbers w:val="0"/>
              <w:spacing w:before="0" w:beforeAutospacing="0" w:after="0" w:afterAutospacing="0"/>
              <w:ind w:left="0" w:right="0"/>
              <w:rPr>
                <w:rFonts w:hint="default" w:ascii="Arial"/>
                <w:sz w:val="21"/>
              </w:rPr>
            </w:pPr>
          </w:p>
        </w:tc>
        <w:tc>
          <w:tcPr>
            <w:tcW w:w="1384" w:type="dxa"/>
            <w:vAlign w:val="top"/>
          </w:tcPr>
          <w:p>
            <w:pPr>
              <w:keepNext w:val="0"/>
              <w:keepLines w:val="0"/>
              <w:suppressLineNumbers w:val="0"/>
              <w:spacing w:before="0" w:beforeAutospacing="0" w:after="0" w:afterAutospacing="0"/>
              <w:ind w:left="0" w:right="0"/>
              <w:rPr>
                <w:rFonts w:hint="default" w:ascii="Arial"/>
                <w:sz w:val="21"/>
              </w:rPr>
            </w:pPr>
          </w:p>
        </w:tc>
        <w:tc>
          <w:tcPr>
            <w:tcW w:w="1225" w:type="dxa"/>
            <w:vAlign w:val="top"/>
          </w:tcPr>
          <w:p>
            <w:pPr>
              <w:keepNext w:val="0"/>
              <w:keepLines w:val="0"/>
              <w:suppressLineNumbers w:val="0"/>
              <w:spacing w:before="0" w:beforeAutospacing="0" w:after="0" w:afterAutospacing="0"/>
              <w:ind w:left="0" w:right="0"/>
              <w:rPr>
                <w:rFonts w:hint="default" w:ascii="Arial"/>
                <w:sz w:val="21"/>
              </w:rPr>
            </w:pPr>
          </w:p>
        </w:tc>
        <w:tc>
          <w:tcPr>
            <w:tcW w:w="2337" w:type="dxa"/>
            <w:vAlign w:val="top"/>
          </w:tcPr>
          <w:p>
            <w:pPr>
              <w:keepNext w:val="0"/>
              <w:keepLines w:val="0"/>
              <w:suppressLineNumbers w:val="0"/>
              <w:spacing w:before="0" w:beforeAutospacing="0" w:after="0" w:afterAutospacing="0"/>
              <w:ind w:left="0" w:right="0"/>
              <w:rPr>
                <w:rFonts w:hint="default" w:ascii="Arial"/>
                <w:sz w:val="21"/>
              </w:rPr>
            </w:pPr>
          </w:p>
        </w:tc>
        <w:tc>
          <w:tcPr>
            <w:tcW w:w="1808"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043" w:type="dxa"/>
            <w:vAlign w:val="top"/>
          </w:tcPr>
          <w:p>
            <w:pPr>
              <w:keepNext w:val="0"/>
              <w:keepLines w:val="0"/>
              <w:suppressLineNumbers w:val="0"/>
              <w:spacing w:before="0" w:beforeAutospacing="0" w:after="0" w:afterAutospacing="0"/>
              <w:ind w:left="0" w:right="0"/>
              <w:rPr>
                <w:rFonts w:hint="default" w:ascii="Arial"/>
                <w:sz w:val="21"/>
              </w:rPr>
            </w:pPr>
          </w:p>
        </w:tc>
        <w:tc>
          <w:tcPr>
            <w:tcW w:w="995" w:type="dxa"/>
            <w:vAlign w:val="top"/>
          </w:tcPr>
          <w:p>
            <w:pPr>
              <w:keepNext w:val="0"/>
              <w:keepLines w:val="0"/>
              <w:suppressLineNumbers w:val="0"/>
              <w:spacing w:before="0" w:beforeAutospacing="0" w:after="0" w:afterAutospacing="0"/>
              <w:ind w:left="0" w:right="0"/>
              <w:rPr>
                <w:rFonts w:hint="default" w:ascii="Arial"/>
                <w:sz w:val="21"/>
              </w:rPr>
            </w:pPr>
          </w:p>
        </w:tc>
        <w:tc>
          <w:tcPr>
            <w:tcW w:w="1384" w:type="dxa"/>
            <w:vAlign w:val="top"/>
          </w:tcPr>
          <w:p>
            <w:pPr>
              <w:keepNext w:val="0"/>
              <w:keepLines w:val="0"/>
              <w:suppressLineNumbers w:val="0"/>
              <w:spacing w:before="0" w:beforeAutospacing="0" w:after="0" w:afterAutospacing="0"/>
              <w:ind w:left="0" w:right="0"/>
              <w:rPr>
                <w:rFonts w:hint="default" w:ascii="Arial"/>
                <w:sz w:val="21"/>
              </w:rPr>
            </w:pPr>
          </w:p>
        </w:tc>
        <w:tc>
          <w:tcPr>
            <w:tcW w:w="1225" w:type="dxa"/>
            <w:vAlign w:val="top"/>
          </w:tcPr>
          <w:p>
            <w:pPr>
              <w:keepNext w:val="0"/>
              <w:keepLines w:val="0"/>
              <w:suppressLineNumbers w:val="0"/>
              <w:spacing w:before="0" w:beforeAutospacing="0" w:after="0" w:afterAutospacing="0"/>
              <w:ind w:left="0" w:right="0"/>
              <w:rPr>
                <w:rFonts w:hint="default" w:ascii="Arial"/>
                <w:sz w:val="21"/>
              </w:rPr>
            </w:pPr>
          </w:p>
        </w:tc>
        <w:tc>
          <w:tcPr>
            <w:tcW w:w="2337" w:type="dxa"/>
            <w:vAlign w:val="top"/>
          </w:tcPr>
          <w:p>
            <w:pPr>
              <w:keepNext w:val="0"/>
              <w:keepLines w:val="0"/>
              <w:suppressLineNumbers w:val="0"/>
              <w:spacing w:before="0" w:beforeAutospacing="0" w:after="0" w:afterAutospacing="0"/>
              <w:ind w:left="0" w:right="0"/>
              <w:rPr>
                <w:rFonts w:hint="default" w:ascii="Arial"/>
                <w:sz w:val="21"/>
              </w:rPr>
            </w:pPr>
          </w:p>
        </w:tc>
        <w:tc>
          <w:tcPr>
            <w:tcW w:w="1808"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043" w:type="dxa"/>
            <w:vAlign w:val="top"/>
          </w:tcPr>
          <w:p>
            <w:pPr>
              <w:keepNext w:val="0"/>
              <w:keepLines w:val="0"/>
              <w:suppressLineNumbers w:val="0"/>
              <w:spacing w:before="0" w:beforeAutospacing="0" w:after="0" w:afterAutospacing="0"/>
              <w:ind w:left="0" w:right="0"/>
              <w:rPr>
                <w:rFonts w:hint="default" w:ascii="Arial"/>
                <w:sz w:val="21"/>
              </w:rPr>
            </w:pPr>
          </w:p>
        </w:tc>
        <w:tc>
          <w:tcPr>
            <w:tcW w:w="995" w:type="dxa"/>
            <w:vAlign w:val="top"/>
          </w:tcPr>
          <w:p>
            <w:pPr>
              <w:keepNext w:val="0"/>
              <w:keepLines w:val="0"/>
              <w:suppressLineNumbers w:val="0"/>
              <w:spacing w:before="0" w:beforeAutospacing="0" w:after="0" w:afterAutospacing="0"/>
              <w:ind w:left="0" w:right="0"/>
              <w:rPr>
                <w:rFonts w:hint="default" w:ascii="Arial"/>
                <w:sz w:val="21"/>
              </w:rPr>
            </w:pPr>
          </w:p>
        </w:tc>
        <w:tc>
          <w:tcPr>
            <w:tcW w:w="1384" w:type="dxa"/>
            <w:vAlign w:val="top"/>
          </w:tcPr>
          <w:p>
            <w:pPr>
              <w:keepNext w:val="0"/>
              <w:keepLines w:val="0"/>
              <w:suppressLineNumbers w:val="0"/>
              <w:spacing w:before="0" w:beforeAutospacing="0" w:after="0" w:afterAutospacing="0"/>
              <w:ind w:left="0" w:right="0"/>
              <w:rPr>
                <w:rFonts w:hint="default" w:ascii="Arial"/>
                <w:sz w:val="21"/>
              </w:rPr>
            </w:pPr>
          </w:p>
        </w:tc>
        <w:tc>
          <w:tcPr>
            <w:tcW w:w="1225" w:type="dxa"/>
            <w:vAlign w:val="top"/>
          </w:tcPr>
          <w:p>
            <w:pPr>
              <w:keepNext w:val="0"/>
              <w:keepLines w:val="0"/>
              <w:suppressLineNumbers w:val="0"/>
              <w:spacing w:before="0" w:beforeAutospacing="0" w:after="0" w:afterAutospacing="0"/>
              <w:ind w:left="0" w:right="0"/>
              <w:rPr>
                <w:rFonts w:hint="default" w:ascii="Arial"/>
                <w:sz w:val="21"/>
              </w:rPr>
            </w:pPr>
          </w:p>
        </w:tc>
        <w:tc>
          <w:tcPr>
            <w:tcW w:w="2337" w:type="dxa"/>
            <w:vAlign w:val="top"/>
          </w:tcPr>
          <w:p>
            <w:pPr>
              <w:keepNext w:val="0"/>
              <w:keepLines w:val="0"/>
              <w:suppressLineNumbers w:val="0"/>
              <w:spacing w:before="0" w:beforeAutospacing="0" w:after="0" w:afterAutospacing="0"/>
              <w:ind w:left="0" w:right="0"/>
              <w:rPr>
                <w:rFonts w:hint="default" w:ascii="Arial"/>
                <w:sz w:val="21"/>
              </w:rPr>
            </w:pPr>
          </w:p>
        </w:tc>
        <w:tc>
          <w:tcPr>
            <w:tcW w:w="1808"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043" w:type="dxa"/>
            <w:vAlign w:val="top"/>
          </w:tcPr>
          <w:p>
            <w:pPr>
              <w:keepNext w:val="0"/>
              <w:keepLines w:val="0"/>
              <w:suppressLineNumbers w:val="0"/>
              <w:spacing w:before="0" w:beforeAutospacing="0" w:after="0" w:afterAutospacing="0"/>
              <w:ind w:left="0" w:right="0"/>
              <w:rPr>
                <w:rFonts w:hint="default" w:ascii="Arial"/>
                <w:sz w:val="21"/>
              </w:rPr>
            </w:pPr>
          </w:p>
        </w:tc>
        <w:tc>
          <w:tcPr>
            <w:tcW w:w="995" w:type="dxa"/>
            <w:vAlign w:val="top"/>
          </w:tcPr>
          <w:p>
            <w:pPr>
              <w:keepNext w:val="0"/>
              <w:keepLines w:val="0"/>
              <w:suppressLineNumbers w:val="0"/>
              <w:spacing w:before="0" w:beforeAutospacing="0" w:after="0" w:afterAutospacing="0"/>
              <w:ind w:left="0" w:right="0"/>
              <w:rPr>
                <w:rFonts w:hint="default" w:ascii="Arial"/>
                <w:sz w:val="21"/>
              </w:rPr>
            </w:pPr>
          </w:p>
        </w:tc>
        <w:tc>
          <w:tcPr>
            <w:tcW w:w="1384" w:type="dxa"/>
            <w:vAlign w:val="top"/>
          </w:tcPr>
          <w:p>
            <w:pPr>
              <w:keepNext w:val="0"/>
              <w:keepLines w:val="0"/>
              <w:suppressLineNumbers w:val="0"/>
              <w:spacing w:before="0" w:beforeAutospacing="0" w:after="0" w:afterAutospacing="0"/>
              <w:ind w:left="0" w:right="0"/>
              <w:rPr>
                <w:rFonts w:hint="default" w:ascii="Arial"/>
                <w:sz w:val="21"/>
              </w:rPr>
            </w:pPr>
          </w:p>
        </w:tc>
        <w:tc>
          <w:tcPr>
            <w:tcW w:w="1225" w:type="dxa"/>
            <w:vAlign w:val="top"/>
          </w:tcPr>
          <w:p>
            <w:pPr>
              <w:keepNext w:val="0"/>
              <w:keepLines w:val="0"/>
              <w:suppressLineNumbers w:val="0"/>
              <w:spacing w:before="0" w:beforeAutospacing="0" w:after="0" w:afterAutospacing="0"/>
              <w:ind w:left="0" w:right="0"/>
              <w:rPr>
                <w:rFonts w:hint="default" w:ascii="Arial"/>
                <w:sz w:val="21"/>
              </w:rPr>
            </w:pPr>
          </w:p>
        </w:tc>
        <w:tc>
          <w:tcPr>
            <w:tcW w:w="2337" w:type="dxa"/>
            <w:vAlign w:val="top"/>
          </w:tcPr>
          <w:p>
            <w:pPr>
              <w:keepNext w:val="0"/>
              <w:keepLines w:val="0"/>
              <w:suppressLineNumbers w:val="0"/>
              <w:spacing w:before="0" w:beforeAutospacing="0" w:after="0" w:afterAutospacing="0"/>
              <w:ind w:left="0" w:right="0"/>
              <w:rPr>
                <w:rFonts w:hint="default" w:ascii="Arial"/>
                <w:sz w:val="21"/>
              </w:rPr>
            </w:pPr>
          </w:p>
        </w:tc>
        <w:tc>
          <w:tcPr>
            <w:tcW w:w="1808" w:type="dxa"/>
            <w:vAlign w:val="top"/>
          </w:tcPr>
          <w:p>
            <w:pPr>
              <w:keepNext w:val="0"/>
              <w:keepLines w:val="0"/>
              <w:suppressLineNumbers w:val="0"/>
              <w:spacing w:before="0" w:beforeAutospacing="0" w:after="0" w:afterAutospacing="0"/>
              <w:ind w:left="0" w:right="0"/>
              <w:rPr>
                <w:rFonts w:hint="default" w:ascii="Arial"/>
                <w:sz w:val="21"/>
              </w:rPr>
            </w:pPr>
          </w:p>
        </w:tc>
      </w:tr>
    </w:tbl>
    <w:p>
      <w:pPr>
        <w:pStyle w:val="8"/>
      </w:pPr>
    </w:p>
    <w:p>
      <w:pPr>
        <w:sectPr>
          <w:footerReference r:id="rId32" w:type="default"/>
          <w:pgSz w:w="11907" w:h="16841"/>
          <w:pgMar w:top="1427" w:right="1785" w:bottom="1216" w:left="1175" w:header="0" w:footer="1055" w:gutter="0"/>
          <w:pgNumType w:fmt="decimal"/>
          <w:cols w:space="720" w:num="1"/>
        </w:sectPr>
      </w:pPr>
    </w:p>
    <w:p>
      <w:pPr>
        <w:spacing w:before="297" w:line="220" w:lineRule="auto"/>
        <w:ind w:left="4282"/>
        <w:outlineLvl w:val="2"/>
        <w:rPr>
          <w:rFonts w:ascii="宋体" w:hAnsi="宋体" w:eastAsia="宋体" w:cs="宋体"/>
          <w:sz w:val="21"/>
          <w:szCs w:val="21"/>
        </w:rPr>
      </w:pPr>
      <w:bookmarkStart w:id="205" w:name="bookmark53"/>
      <w:bookmarkEnd w:id="205"/>
      <w:r>
        <w:rPr>
          <w:rFonts w:hint="eastAsia" w:ascii="宋体" w:hAnsi="宋体" w:eastAsia="宋体" w:cs="宋体"/>
          <w:spacing w:val="-1"/>
          <w:sz w:val="21"/>
          <w:szCs w:val="21"/>
          <w:lang w:val="en-US" w:eastAsia="zh-CN"/>
          <w14:textOutline w14:w="3831" w14:cap="flat" w14:cmpd="sng">
            <w14:solidFill>
              <w14:srgbClr w14:val="000000"/>
            </w14:solidFill>
            <w14:prstDash w14:val="solid"/>
            <w14:miter w14:val="0"/>
          </w14:textOutline>
        </w:rPr>
        <w:t>四</w:t>
      </w:r>
      <w:r>
        <w:rPr>
          <w:rFonts w:ascii="宋体" w:hAnsi="宋体" w:eastAsia="宋体" w:cs="宋体"/>
          <w:spacing w:val="-1"/>
          <w:sz w:val="21"/>
          <w:szCs w:val="21"/>
          <w14:textOutline w14:w="3831" w14:cap="flat" w14:cmpd="sng">
            <w14:solidFill>
              <w14:srgbClr w14:val="000000"/>
            </w14:solidFill>
            <w14:prstDash w14:val="solid"/>
            <w14:miter w14:val="0"/>
          </w14:textOutline>
        </w:rPr>
        <w:t>、项目管理机构</w:t>
      </w:r>
    </w:p>
    <w:p>
      <w:pPr>
        <w:spacing w:before="210"/>
      </w:pPr>
    </w:p>
    <w:tbl>
      <w:tblPr>
        <w:tblStyle w:val="68"/>
        <w:tblW w:w="9644"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9644"/>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7754" w:hRule="atLeast"/>
        </w:trPr>
        <w:tc>
          <w:tcPr>
            <w:tcW w:w="9644" w:type="dxa"/>
            <w:tcBorders>
              <w:bottom w:val="single" w:color="000000" w:sz="4" w:space="0"/>
            </w:tcBorders>
            <w:vAlign w:val="top"/>
          </w:tcPr>
          <w:p>
            <w:pPr>
              <w:pStyle w:val="72"/>
              <w:keepNext w:val="0"/>
              <w:keepLines w:val="0"/>
              <w:suppressLineNumbers w:val="0"/>
              <w:spacing w:before="307" w:beforeAutospacing="0" w:after="0" w:afterAutospacing="0" w:line="220" w:lineRule="auto"/>
              <w:ind w:left="523" w:right="0"/>
              <w:rPr>
                <w:rFonts w:hint="default"/>
              </w:rPr>
            </w:pPr>
            <w:r>
              <w:rPr>
                <w:rFonts w:hint="default"/>
                <w:spacing w:val="-1"/>
              </w:rPr>
              <w:t>拟为承包本工程设立的组织机构以框图方式表示。</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3552" w:hRule="atLeast"/>
        </w:trPr>
        <w:tc>
          <w:tcPr>
            <w:tcW w:w="9644" w:type="dxa"/>
            <w:tcBorders>
              <w:top w:val="single" w:color="000000" w:sz="4" w:space="0"/>
            </w:tcBorders>
            <w:vAlign w:val="top"/>
          </w:tcPr>
          <w:p>
            <w:pPr>
              <w:keepNext w:val="0"/>
              <w:keepLines w:val="0"/>
              <w:suppressLineNumbers w:val="0"/>
              <w:spacing w:before="0" w:beforeAutospacing="0" w:after="0" w:afterAutospacing="0" w:line="248" w:lineRule="auto"/>
              <w:ind w:left="0" w:right="0"/>
              <w:rPr>
                <w:rFonts w:hint="default" w:ascii="Arial"/>
                <w:sz w:val="21"/>
              </w:rPr>
            </w:pPr>
          </w:p>
          <w:p>
            <w:pPr>
              <w:pStyle w:val="72"/>
              <w:keepNext w:val="0"/>
              <w:keepLines w:val="0"/>
              <w:suppressLineNumbers w:val="0"/>
              <w:spacing w:before="68" w:beforeAutospacing="0" w:after="0" w:afterAutospacing="0" w:line="221" w:lineRule="auto"/>
              <w:ind w:left="526" w:right="0"/>
              <w:rPr>
                <w:rFonts w:hint="default"/>
              </w:rPr>
            </w:pPr>
            <w:r>
              <w:rPr>
                <w:rFonts w:hint="default"/>
                <w:spacing w:val="-3"/>
              </w:rPr>
              <w:t>说明</w:t>
            </w:r>
          </w:p>
        </w:tc>
      </w:tr>
    </w:tbl>
    <w:p>
      <w:pPr>
        <w:pStyle w:val="8"/>
      </w:pPr>
    </w:p>
    <w:p>
      <w:pPr>
        <w:sectPr>
          <w:footerReference r:id="rId33" w:type="default"/>
          <w:pgSz w:w="11907" w:h="16841"/>
          <w:pgMar w:top="1431" w:right="1116" w:bottom="1216" w:left="1120" w:header="0" w:footer="1055" w:gutter="0"/>
          <w:pgNumType w:fmt="decimal"/>
          <w:cols w:space="720" w:num="1"/>
        </w:sectPr>
      </w:pPr>
    </w:p>
    <w:p>
      <w:pPr>
        <w:spacing w:before="297" w:line="220" w:lineRule="auto"/>
        <w:ind w:left="3968"/>
        <w:outlineLvl w:val="2"/>
        <w:rPr>
          <w:rFonts w:ascii="宋体" w:hAnsi="宋体" w:eastAsia="宋体" w:cs="宋体"/>
          <w:sz w:val="21"/>
          <w:szCs w:val="21"/>
        </w:rPr>
      </w:pPr>
      <w:bookmarkStart w:id="206" w:name="bookmark54"/>
      <w:bookmarkEnd w:id="206"/>
      <w:r>
        <w:rPr>
          <w:rFonts w:hint="eastAsia" w:ascii="宋体" w:hAnsi="宋体" w:eastAsia="宋体" w:cs="宋体"/>
          <w:spacing w:val="-8"/>
          <w:sz w:val="21"/>
          <w:szCs w:val="21"/>
          <w:lang w:val="en-US" w:eastAsia="zh-CN"/>
          <w14:textOutline w14:w="3831" w14:cap="flat" w14:cmpd="sng">
            <w14:solidFill>
              <w14:srgbClr w14:val="000000"/>
            </w14:solidFill>
            <w14:prstDash w14:val="solid"/>
            <w14:miter w14:val="0"/>
          </w14:textOutline>
        </w:rPr>
        <w:t>五</w:t>
      </w:r>
      <w:r>
        <w:rPr>
          <w:rFonts w:ascii="宋体" w:hAnsi="宋体" w:eastAsia="宋体" w:cs="宋体"/>
          <w:spacing w:val="-8"/>
          <w:sz w:val="21"/>
          <w:szCs w:val="21"/>
          <w14:textOutline w14:w="3831" w14:cap="flat" w14:cmpd="sng">
            <w14:solidFill>
              <w14:srgbClr w14:val="000000"/>
            </w14:solidFill>
            <w14:prstDash w14:val="solid"/>
            <w14:miter w14:val="0"/>
          </w14:textOutline>
        </w:rPr>
        <w:t>、拟分包项目情况表</w:t>
      </w:r>
    </w:p>
    <w:p>
      <w:pPr>
        <w:spacing w:before="210"/>
      </w:pPr>
    </w:p>
    <w:tbl>
      <w:tblPr>
        <w:tblStyle w:val="68"/>
        <w:tblW w:w="8898"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3"/>
        <w:gridCol w:w="2456"/>
        <w:gridCol w:w="2190"/>
        <w:gridCol w:w="22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993" w:type="dxa"/>
            <w:tcBorders>
              <w:left w:val="single" w:color="000000" w:sz="4" w:space="0"/>
            </w:tcBorders>
            <w:vAlign w:val="top"/>
          </w:tcPr>
          <w:p>
            <w:pPr>
              <w:pStyle w:val="72"/>
              <w:keepNext w:val="0"/>
              <w:keepLines w:val="0"/>
              <w:suppressLineNumbers w:val="0"/>
              <w:spacing w:before="144" w:beforeAutospacing="0" w:after="0" w:afterAutospacing="0" w:line="220" w:lineRule="auto"/>
              <w:ind w:left="231" w:right="0"/>
              <w:rPr>
                <w:rFonts w:hint="default"/>
              </w:rPr>
            </w:pPr>
            <w:r>
              <w:rPr>
                <w:rFonts w:hint="default"/>
                <w:spacing w:val="-1"/>
              </w:rPr>
              <w:t>拟分包的工程项目</w:t>
            </w:r>
          </w:p>
        </w:tc>
        <w:tc>
          <w:tcPr>
            <w:tcW w:w="2456" w:type="dxa"/>
            <w:vAlign w:val="top"/>
          </w:tcPr>
          <w:p>
            <w:pPr>
              <w:pStyle w:val="72"/>
              <w:keepNext w:val="0"/>
              <w:keepLines w:val="0"/>
              <w:suppressLineNumbers w:val="0"/>
              <w:spacing w:before="144" w:beforeAutospacing="0" w:after="0" w:afterAutospacing="0" w:line="221" w:lineRule="auto"/>
              <w:ind w:left="602" w:right="0"/>
              <w:rPr>
                <w:rFonts w:hint="default"/>
              </w:rPr>
            </w:pPr>
            <w:r>
              <w:rPr>
                <w:rFonts w:hint="default"/>
                <w:spacing w:val="-2"/>
              </w:rPr>
              <w:t>主要工程内容</w:t>
            </w:r>
          </w:p>
        </w:tc>
        <w:tc>
          <w:tcPr>
            <w:tcW w:w="2190" w:type="dxa"/>
            <w:vAlign w:val="top"/>
          </w:tcPr>
          <w:p>
            <w:pPr>
              <w:pStyle w:val="72"/>
              <w:keepNext w:val="0"/>
              <w:keepLines w:val="0"/>
              <w:suppressLineNumbers w:val="0"/>
              <w:spacing w:before="144" w:beforeAutospacing="0" w:after="0" w:afterAutospacing="0" w:line="219" w:lineRule="auto"/>
              <w:ind w:left="313" w:right="0"/>
              <w:rPr>
                <w:rFonts w:hint="default"/>
              </w:rPr>
            </w:pPr>
            <w:r>
              <w:rPr>
                <w:rFonts w:hint="default"/>
                <w:spacing w:val="-1"/>
              </w:rPr>
              <w:t>预计造价（万元）</w:t>
            </w:r>
          </w:p>
        </w:tc>
        <w:tc>
          <w:tcPr>
            <w:tcW w:w="2259" w:type="dxa"/>
            <w:vAlign w:val="top"/>
          </w:tcPr>
          <w:p>
            <w:pPr>
              <w:pStyle w:val="72"/>
              <w:keepNext w:val="0"/>
              <w:keepLines w:val="0"/>
              <w:suppressLineNumbers w:val="0"/>
              <w:spacing w:before="144" w:beforeAutospacing="0" w:after="0" w:afterAutospacing="0" w:line="222" w:lineRule="auto"/>
              <w:ind w:left="1082" w:right="0"/>
              <w:rPr>
                <w:rFonts w:hint="default"/>
              </w:rPr>
            </w:pPr>
            <w:r>
              <w:rPr>
                <w:rFonts w:hint="default"/>
                <w:spacing w:val="-5"/>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993"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2456" w:type="dxa"/>
            <w:vAlign w:val="top"/>
          </w:tcPr>
          <w:p>
            <w:pPr>
              <w:keepNext w:val="0"/>
              <w:keepLines w:val="0"/>
              <w:suppressLineNumbers w:val="0"/>
              <w:spacing w:before="0" w:beforeAutospacing="0" w:after="0" w:afterAutospacing="0"/>
              <w:ind w:left="0" w:right="0"/>
              <w:rPr>
                <w:rFonts w:hint="default" w:ascii="Arial"/>
                <w:sz w:val="21"/>
              </w:rPr>
            </w:pPr>
          </w:p>
        </w:tc>
        <w:tc>
          <w:tcPr>
            <w:tcW w:w="2190" w:type="dxa"/>
            <w:vAlign w:val="top"/>
          </w:tcPr>
          <w:p>
            <w:pPr>
              <w:keepNext w:val="0"/>
              <w:keepLines w:val="0"/>
              <w:suppressLineNumbers w:val="0"/>
              <w:spacing w:before="0" w:beforeAutospacing="0" w:after="0" w:afterAutospacing="0"/>
              <w:ind w:left="0" w:right="0"/>
              <w:rPr>
                <w:rFonts w:hint="default" w:ascii="Arial"/>
                <w:sz w:val="21"/>
              </w:rPr>
            </w:pPr>
          </w:p>
        </w:tc>
        <w:tc>
          <w:tcPr>
            <w:tcW w:w="2259" w:type="dxa"/>
            <w:vMerge w:val="restart"/>
            <w:tcBorders>
              <w:bottom w:val="nil"/>
            </w:tcBorders>
            <w:vAlign w:val="top"/>
          </w:tcPr>
          <w:p>
            <w:pPr>
              <w:keepNext w:val="0"/>
              <w:keepLines w:val="0"/>
              <w:suppressLineNumbers w:val="0"/>
              <w:spacing w:before="0" w:beforeAutospacing="0" w:after="0" w:afterAutospacing="0" w:line="248" w:lineRule="auto"/>
              <w:ind w:left="0" w:right="0"/>
              <w:rPr>
                <w:rFonts w:hint="default" w:ascii="Arial"/>
                <w:sz w:val="21"/>
              </w:rPr>
            </w:pPr>
          </w:p>
          <w:p>
            <w:pPr>
              <w:keepNext w:val="0"/>
              <w:keepLines w:val="0"/>
              <w:suppressLineNumbers w:val="0"/>
              <w:spacing w:before="0" w:beforeAutospacing="0" w:after="0" w:afterAutospacing="0" w:line="248" w:lineRule="auto"/>
              <w:ind w:left="0" w:right="0"/>
              <w:rPr>
                <w:rFonts w:hint="default" w:ascii="Arial"/>
                <w:sz w:val="21"/>
              </w:rPr>
            </w:pPr>
          </w:p>
          <w:p>
            <w:pPr>
              <w:keepNext w:val="0"/>
              <w:keepLines w:val="0"/>
              <w:suppressLineNumbers w:val="0"/>
              <w:spacing w:before="0" w:beforeAutospacing="0" w:after="0" w:afterAutospacing="0" w:line="248" w:lineRule="auto"/>
              <w:ind w:left="0" w:right="0"/>
              <w:rPr>
                <w:rFonts w:hint="default" w:ascii="Arial"/>
                <w:sz w:val="21"/>
              </w:rPr>
            </w:pPr>
          </w:p>
          <w:p>
            <w:pPr>
              <w:keepNext w:val="0"/>
              <w:keepLines w:val="0"/>
              <w:suppressLineNumbers w:val="0"/>
              <w:spacing w:before="0" w:beforeAutospacing="0" w:after="0" w:afterAutospacing="0" w:line="248" w:lineRule="auto"/>
              <w:ind w:left="0" w:right="0"/>
              <w:rPr>
                <w:rFonts w:hint="default" w:ascii="Arial"/>
                <w:sz w:val="21"/>
              </w:rPr>
            </w:pPr>
          </w:p>
          <w:p>
            <w:pPr>
              <w:keepNext w:val="0"/>
              <w:keepLines w:val="0"/>
              <w:suppressLineNumbers w:val="0"/>
              <w:spacing w:before="0" w:beforeAutospacing="0" w:after="0" w:afterAutospacing="0" w:line="248" w:lineRule="auto"/>
              <w:ind w:left="0" w:right="0"/>
              <w:rPr>
                <w:rFonts w:hint="default" w:ascii="Arial"/>
                <w:sz w:val="21"/>
              </w:rPr>
            </w:pPr>
          </w:p>
          <w:p>
            <w:pPr>
              <w:keepNext w:val="0"/>
              <w:keepLines w:val="0"/>
              <w:suppressLineNumbers w:val="0"/>
              <w:spacing w:before="0" w:beforeAutospacing="0" w:after="0" w:afterAutospacing="0" w:line="248" w:lineRule="auto"/>
              <w:ind w:left="0" w:right="0"/>
              <w:rPr>
                <w:rFonts w:hint="default" w:ascii="Arial"/>
                <w:sz w:val="21"/>
              </w:rPr>
            </w:pPr>
          </w:p>
          <w:p>
            <w:pPr>
              <w:keepNext w:val="0"/>
              <w:keepLines w:val="0"/>
              <w:suppressLineNumbers w:val="0"/>
              <w:spacing w:before="0" w:beforeAutospacing="0" w:after="0" w:afterAutospacing="0" w:line="248" w:lineRule="auto"/>
              <w:ind w:left="0" w:right="0"/>
              <w:rPr>
                <w:rFonts w:hint="default" w:ascii="Arial"/>
                <w:sz w:val="21"/>
              </w:rPr>
            </w:pPr>
          </w:p>
          <w:p>
            <w:pPr>
              <w:keepNext w:val="0"/>
              <w:keepLines w:val="0"/>
              <w:suppressLineNumbers w:val="0"/>
              <w:spacing w:before="0" w:beforeAutospacing="0" w:after="0" w:afterAutospacing="0" w:line="248" w:lineRule="auto"/>
              <w:ind w:left="0" w:right="0"/>
              <w:rPr>
                <w:rFonts w:hint="default" w:ascii="Arial"/>
                <w:sz w:val="21"/>
              </w:rPr>
            </w:pPr>
          </w:p>
          <w:p>
            <w:pPr>
              <w:keepNext w:val="0"/>
              <w:keepLines w:val="0"/>
              <w:suppressLineNumbers w:val="0"/>
              <w:spacing w:before="0" w:beforeAutospacing="0" w:after="0" w:afterAutospacing="0" w:line="248" w:lineRule="auto"/>
              <w:ind w:left="0" w:right="0"/>
              <w:rPr>
                <w:rFonts w:hint="default" w:ascii="Arial"/>
                <w:sz w:val="21"/>
              </w:rPr>
            </w:pPr>
          </w:p>
          <w:p>
            <w:pPr>
              <w:keepNext w:val="0"/>
              <w:keepLines w:val="0"/>
              <w:suppressLineNumbers w:val="0"/>
              <w:spacing w:before="0" w:beforeAutospacing="0" w:after="0" w:afterAutospacing="0" w:line="248" w:lineRule="auto"/>
              <w:ind w:left="0" w:right="0"/>
              <w:rPr>
                <w:rFonts w:hint="default" w:ascii="Arial"/>
                <w:sz w:val="21"/>
              </w:rPr>
            </w:pPr>
          </w:p>
          <w:p>
            <w:pPr>
              <w:keepNext w:val="0"/>
              <w:keepLines w:val="0"/>
              <w:suppressLineNumbers w:val="0"/>
              <w:spacing w:before="0" w:beforeAutospacing="0" w:after="0" w:afterAutospacing="0" w:line="248" w:lineRule="auto"/>
              <w:ind w:left="0" w:right="0"/>
              <w:rPr>
                <w:rFonts w:hint="default" w:ascii="Arial"/>
                <w:sz w:val="21"/>
              </w:rPr>
            </w:pPr>
          </w:p>
          <w:p>
            <w:pPr>
              <w:keepNext w:val="0"/>
              <w:keepLines w:val="0"/>
              <w:suppressLineNumbers w:val="0"/>
              <w:spacing w:before="0" w:beforeAutospacing="0" w:after="0" w:afterAutospacing="0" w:line="248" w:lineRule="auto"/>
              <w:ind w:left="0" w:right="0"/>
              <w:rPr>
                <w:rFonts w:hint="default" w:ascii="Arial"/>
                <w:sz w:val="21"/>
              </w:rPr>
            </w:pPr>
          </w:p>
          <w:p>
            <w:pPr>
              <w:keepNext w:val="0"/>
              <w:keepLines w:val="0"/>
              <w:suppressLineNumbers w:val="0"/>
              <w:spacing w:before="0" w:beforeAutospacing="0" w:after="0" w:afterAutospacing="0" w:line="248" w:lineRule="auto"/>
              <w:ind w:left="0" w:right="0"/>
              <w:rPr>
                <w:rFonts w:hint="default" w:ascii="Arial"/>
                <w:sz w:val="21"/>
              </w:rPr>
            </w:pPr>
          </w:p>
          <w:p>
            <w:pPr>
              <w:keepNext w:val="0"/>
              <w:keepLines w:val="0"/>
              <w:suppressLineNumbers w:val="0"/>
              <w:spacing w:before="0" w:beforeAutospacing="0" w:after="0" w:afterAutospacing="0" w:line="249" w:lineRule="auto"/>
              <w:ind w:left="0" w:right="0"/>
              <w:rPr>
                <w:rFonts w:hint="default" w:ascii="Arial"/>
                <w:sz w:val="21"/>
              </w:rPr>
            </w:pPr>
          </w:p>
          <w:p>
            <w:pPr>
              <w:keepNext w:val="0"/>
              <w:keepLines w:val="0"/>
              <w:suppressLineNumbers w:val="0"/>
              <w:spacing w:before="0" w:beforeAutospacing="0" w:after="0" w:afterAutospacing="0" w:line="249" w:lineRule="auto"/>
              <w:ind w:left="0" w:right="0"/>
              <w:rPr>
                <w:rFonts w:hint="default" w:ascii="Arial"/>
                <w:sz w:val="21"/>
              </w:rPr>
            </w:pPr>
          </w:p>
          <w:p>
            <w:pPr>
              <w:keepNext w:val="0"/>
              <w:keepLines w:val="0"/>
              <w:suppressLineNumbers w:val="0"/>
              <w:spacing w:before="0" w:beforeAutospacing="0" w:after="0" w:afterAutospacing="0" w:line="249" w:lineRule="auto"/>
              <w:ind w:left="0" w:right="0"/>
              <w:rPr>
                <w:rFonts w:hint="default" w:ascii="Arial"/>
                <w:sz w:val="21"/>
              </w:rPr>
            </w:pPr>
          </w:p>
          <w:p>
            <w:pPr>
              <w:keepNext w:val="0"/>
              <w:keepLines w:val="0"/>
              <w:suppressLineNumbers w:val="0"/>
              <w:spacing w:before="0" w:beforeAutospacing="0" w:after="0" w:afterAutospacing="0" w:line="249" w:lineRule="auto"/>
              <w:ind w:left="0" w:right="0"/>
              <w:rPr>
                <w:rFonts w:hint="default" w:ascii="Arial"/>
                <w:sz w:val="21"/>
              </w:rPr>
            </w:pPr>
          </w:p>
          <w:p>
            <w:pPr>
              <w:pStyle w:val="72"/>
              <w:keepNext w:val="0"/>
              <w:keepLines w:val="0"/>
              <w:suppressLineNumbers w:val="0"/>
              <w:spacing w:before="69" w:beforeAutospacing="0" w:after="0" w:afterAutospacing="0" w:line="383" w:lineRule="auto"/>
              <w:ind w:left="0" w:right="100"/>
              <w:rPr>
                <w:rFonts w:hint="default"/>
              </w:rPr>
            </w:pPr>
            <w:r>
              <w:rPr>
                <w:rFonts w:hint="default"/>
                <w:spacing w:val="2"/>
              </w:rPr>
              <w:t>注：若无分包计</w:t>
            </w:r>
            <w:r>
              <w:rPr>
                <w:rFonts w:hint="default"/>
                <w:spacing w:val="-7"/>
              </w:rPr>
              <w:t>划，则投标人应在本表</w:t>
            </w:r>
          </w:p>
          <w:p>
            <w:pPr>
              <w:pStyle w:val="72"/>
              <w:keepNext w:val="0"/>
              <w:keepLines w:val="0"/>
              <w:suppressLineNumbers w:val="0"/>
              <w:spacing w:before="0" w:beforeAutospacing="0" w:after="0" w:afterAutospacing="0" w:line="221" w:lineRule="auto"/>
              <w:ind w:left="116" w:right="0"/>
              <w:rPr>
                <w:rFonts w:hint="default"/>
              </w:rPr>
            </w:pPr>
            <w:r>
              <w:rPr>
                <w:rFonts w:hint="default"/>
                <w:spacing w:val="-2"/>
              </w:rPr>
              <w:t>填写“无”。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1993"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2456" w:type="dxa"/>
            <w:vAlign w:val="top"/>
          </w:tcPr>
          <w:p>
            <w:pPr>
              <w:keepNext w:val="0"/>
              <w:keepLines w:val="0"/>
              <w:suppressLineNumbers w:val="0"/>
              <w:spacing w:before="0" w:beforeAutospacing="0" w:after="0" w:afterAutospacing="0"/>
              <w:ind w:left="0" w:right="0"/>
              <w:rPr>
                <w:rFonts w:hint="default" w:ascii="Arial"/>
                <w:sz w:val="21"/>
              </w:rPr>
            </w:pPr>
          </w:p>
        </w:tc>
        <w:tc>
          <w:tcPr>
            <w:tcW w:w="2190" w:type="dxa"/>
            <w:vAlign w:val="top"/>
          </w:tcPr>
          <w:p>
            <w:pPr>
              <w:keepNext w:val="0"/>
              <w:keepLines w:val="0"/>
              <w:suppressLineNumbers w:val="0"/>
              <w:spacing w:before="0" w:beforeAutospacing="0" w:after="0" w:afterAutospacing="0"/>
              <w:ind w:left="0" w:right="0"/>
              <w:rPr>
                <w:rFonts w:hint="default" w:ascii="Arial"/>
                <w:sz w:val="21"/>
              </w:rPr>
            </w:pPr>
          </w:p>
        </w:tc>
        <w:tc>
          <w:tcPr>
            <w:tcW w:w="2259" w:type="dxa"/>
            <w:vMerge w:val="continue"/>
            <w:tcBorders>
              <w:top w:val="nil"/>
              <w:bottom w:val="nil"/>
            </w:tcBorders>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993"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2456" w:type="dxa"/>
            <w:vAlign w:val="top"/>
          </w:tcPr>
          <w:p>
            <w:pPr>
              <w:keepNext w:val="0"/>
              <w:keepLines w:val="0"/>
              <w:suppressLineNumbers w:val="0"/>
              <w:spacing w:before="0" w:beforeAutospacing="0" w:after="0" w:afterAutospacing="0"/>
              <w:ind w:left="0" w:right="0"/>
              <w:rPr>
                <w:rFonts w:hint="default" w:ascii="Arial"/>
                <w:sz w:val="21"/>
              </w:rPr>
            </w:pPr>
          </w:p>
        </w:tc>
        <w:tc>
          <w:tcPr>
            <w:tcW w:w="2190" w:type="dxa"/>
            <w:vAlign w:val="top"/>
          </w:tcPr>
          <w:p>
            <w:pPr>
              <w:keepNext w:val="0"/>
              <w:keepLines w:val="0"/>
              <w:suppressLineNumbers w:val="0"/>
              <w:spacing w:before="0" w:beforeAutospacing="0" w:after="0" w:afterAutospacing="0"/>
              <w:ind w:left="0" w:right="0"/>
              <w:rPr>
                <w:rFonts w:hint="default" w:ascii="Arial"/>
                <w:sz w:val="21"/>
              </w:rPr>
            </w:pPr>
          </w:p>
        </w:tc>
        <w:tc>
          <w:tcPr>
            <w:tcW w:w="2259" w:type="dxa"/>
            <w:vMerge w:val="continue"/>
            <w:tcBorders>
              <w:top w:val="nil"/>
              <w:bottom w:val="nil"/>
            </w:tcBorders>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993"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2456" w:type="dxa"/>
            <w:vAlign w:val="top"/>
          </w:tcPr>
          <w:p>
            <w:pPr>
              <w:keepNext w:val="0"/>
              <w:keepLines w:val="0"/>
              <w:suppressLineNumbers w:val="0"/>
              <w:spacing w:before="0" w:beforeAutospacing="0" w:after="0" w:afterAutospacing="0"/>
              <w:ind w:left="0" w:right="0"/>
              <w:rPr>
                <w:rFonts w:hint="default" w:ascii="Arial"/>
                <w:sz w:val="21"/>
              </w:rPr>
            </w:pPr>
          </w:p>
        </w:tc>
        <w:tc>
          <w:tcPr>
            <w:tcW w:w="2190" w:type="dxa"/>
            <w:vAlign w:val="top"/>
          </w:tcPr>
          <w:p>
            <w:pPr>
              <w:keepNext w:val="0"/>
              <w:keepLines w:val="0"/>
              <w:suppressLineNumbers w:val="0"/>
              <w:spacing w:before="0" w:beforeAutospacing="0" w:after="0" w:afterAutospacing="0"/>
              <w:ind w:left="0" w:right="0"/>
              <w:rPr>
                <w:rFonts w:hint="default" w:ascii="Arial"/>
                <w:sz w:val="21"/>
              </w:rPr>
            </w:pPr>
          </w:p>
        </w:tc>
        <w:tc>
          <w:tcPr>
            <w:tcW w:w="2259" w:type="dxa"/>
            <w:vMerge w:val="continue"/>
            <w:tcBorders>
              <w:top w:val="nil"/>
              <w:bottom w:val="nil"/>
            </w:tcBorders>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993"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2456" w:type="dxa"/>
            <w:vAlign w:val="top"/>
          </w:tcPr>
          <w:p>
            <w:pPr>
              <w:keepNext w:val="0"/>
              <w:keepLines w:val="0"/>
              <w:suppressLineNumbers w:val="0"/>
              <w:spacing w:before="0" w:beforeAutospacing="0" w:after="0" w:afterAutospacing="0"/>
              <w:ind w:left="0" w:right="0"/>
              <w:rPr>
                <w:rFonts w:hint="default" w:ascii="Arial"/>
                <w:sz w:val="21"/>
              </w:rPr>
            </w:pPr>
          </w:p>
        </w:tc>
        <w:tc>
          <w:tcPr>
            <w:tcW w:w="2190" w:type="dxa"/>
            <w:vAlign w:val="top"/>
          </w:tcPr>
          <w:p>
            <w:pPr>
              <w:keepNext w:val="0"/>
              <w:keepLines w:val="0"/>
              <w:suppressLineNumbers w:val="0"/>
              <w:spacing w:before="0" w:beforeAutospacing="0" w:after="0" w:afterAutospacing="0"/>
              <w:ind w:left="0" w:right="0"/>
              <w:rPr>
                <w:rFonts w:hint="default" w:ascii="Arial"/>
                <w:sz w:val="21"/>
              </w:rPr>
            </w:pPr>
          </w:p>
        </w:tc>
        <w:tc>
          <w:tcPr>
            <w:tcW w:w="2259" w:type="dxa"/>
            <w:vMerge w:val="continue"/>
            <w:tcBorders>
              <w:top w:val="nil"/>
              <w:bottom w:val="nil"/>
            </w:tcBorders>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993"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2456" w:type="dxa"/>
            <w:vAlign w:val="top"/>
          </w:tcPr>
          <w:p>
            <w:pPr>
              <w:keepNext w:val="0"/>
              <w:keepLines w:val="0"/>
              <w:suppressLineNumbers w:val="0"/>
              <w:spacing w:before="0" w:beforeAutospacing="0" w:after="0" w:afterAutospacing="0"/>
              <w:ind w:left="0" w:right="0"/>
              <w:rPr>
                <w:rFonts w:hint="default" w:ascii="Arial"/>
                <w:sz w:val="21"/>
              </w:rPr>
            </w:pPr>
          </w:p>
        </w:tc>
        <w:tc>
          <w:tcPr>
            <w:tcW w:w="2190" w:type="dxa"/>
            <w:vAlign w:val="top"/>
          </w:tcPr>
          <w:p>
            <w:pPr>
              <w:keepNext w:val="0"/>
              <w:keepLines w:val="0"/>
              <w:suppressLineNumbers w:val="0"/>
              <w:spacing w:before="0" w:beforeAutospacing="0" w:after="0" w:afterAutospacing="0"/>
              <w:ind w:left="0" w:right="0"/>
              <w:rPr>
                <w:rFonts w:hint="default" w:ascii="Arial"/>
                <w:sz w:val="21"/>
              </w:rPr>
            </w:pPr>
          </w:p>
        </w:tc>
        <w:tc>
          <w:tcPr>
            <w:tcW w:w="2259" w:type="dxa"/>
            <w:vMerge w:val="continue"/>
            <w:tcBorders>
              <w:top w:val="nil"/>
              <w:bottom w:val="nil"/>
            </w:tcBorders>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993"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2456" w:type="dxa"/>
            <w:vAlign w:val="top"/>
          </w:tcPr>
          <w:p>
            <w:pPr>
              <w:keepNext w:val="0"/>
              <w:keepLines w:val="0"/>
              <w:suppressLineNumbers w:val="0"/>
              <w:spacing w:before="0" w:beforeAutospacing="0" w:after="0" w:afterAutospacing="0"/>
              <w:ind w:left="0" w:right="0"/>
              <w:rPr>
                <w:rFonts w:hint="default" w:ascii="Arial"/>
                <w:sz w:val="21"/>
              </w:rPr>
            </w:pPr>
          </w:p>
        </w:tc>
        <w:tc>
          <w:tcPr>
            <w:tcW w:w="2190" w:type="dxa"/>
            <w:vAlign w:val="top"/>
          </w:tcPr>
          <w:p>
            <w:pPr>
              <w:keepNext w:val="0"/>
              <w:keepLines w:val="0"/>
              <w:suppressLineNumbers w:val="0"/>
              <w:spacing w:before="0" w:beforeAutospacing="0" w:after="0" w:afterAutospacing="0"/>
              <w:ind w:left="0" w:right="0"/>
              <w:rPr>
                <w:rFonts w:hint="default" w:ascii="Arial"/>
                <w:sz w:val="21"/>
              </w:rPr>
            </w:pPr>
          </w:p>
        </w:tc>
        <w:tc>
          <w:tcPr>
            <w:tcW w:w="2259" w:type="dxa"/>
            <w:vMerge w:val="continue"/>
            <w:tcBorders>
              <w:top w:val="nil"/>
              <w:bottom w:val="nil"/>
            </w:tcBorders>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993"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2456" w:type="dxa"/>
            <w:vAlign w:val="top"/>
          </w:tcPr>
          <w:p>
            <w:pPr>
              <w:keepNext w:val="0"/>
              <w:keepLines w:val="0"/>
              <w:suppressLineNumbers w:val="0"/>
              <w:spacing w:before="0" w:beforeAutospacing="0" w:after="0" w:afterAutospacing="0"/>
              <w:ind w:left="0" w:right="0"/>
              <w:rPr>
                <w:rFonts w:hint="default" w:ascii="Arial"/>
                <w:sz w:val="21"/>
              </w:rPr>
            </w:pPr>
          </w:p>
        </w:tc>
        <w:tc>
          <w:tcPr>
            <w:tcW w:w="2190" w:type="dxa"/>
            <w:vAlign w:val="top"/>
          </w:tcPr>
          <w:p>
            <w:pPr>
              <w:keepNext w:val="0"/>
              <w:keepLines w:val="0"/>
              <w:suppressLineNumbers w:val="0"/>
              <w:spacing w:before="0" w:beforeAutospacing="0" w:after="0" w:afterAutospacing="0"/>
              <w:ind w:left="0" w:right="0"/>
              <w:rPr>
                <w:rFonts w:hint="default" w:ascii="Arial"/>
                <w:sz w:val="21"/>
              </w:rPr>
            </w:pPr>
          </w:p>
        </w:tc>
        <w:tc>
          <w:tcPr>
            <w:tcW w:w="2259" w:type="dxa"/>
            <w:vMerge w:val="continue"/>
            <w:tcBorders>
              <w:top w:val="nil"/>
              <w:bottom w:val="nil"/>
            </w:tcBorders>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993"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2456" w:type="dxa"/>
            <w:vAlign w:val="top"/>
          </w:tcPr>
          <w:p>
            <w:pPr>
              <w:keepNext w:val="0"/>
              <w:keepLines w:val="0"/>
              <w:suppressLineNumbers w:val="0"/>
              <w:spacing w:before="0" w:beforeAutospacing="0" w:after="0" w:afterAutospacing="0"/>
              <w:ind w:left="0" w:right="0"/>
              <w:rPr>
                <w:rFonts w:hint="default" w:ascii="Arial"/>
                <w:sz w:val="21"/>
              </w:rPr>
            </w:pPr>
          </w:p>
        </w:tc>
        <w:tc>
          <w:tcPr>
            <w:tcW w:w="2190" w:type="dxa"/>
            <w:vAlign w:val="top"/>
          </w:tcPr>
          <w:p>
            <w:pPr>
              <w:keepNext w:val="0"/>
              <w:keepLines w:val="0"/>
              <w:suppressLineNumbers w:val="0"/>
              <w:spacing w:before="0" w:beforeAutospacing="0" w:after="0" w:afterAutospacing="0"/>
              <w:ind w:left="0" w:right="0"/>
              <w:rPr>
                <w:rFonts w:hint="default" w:ascii="Arial"/>
                <w:sz w:val="21"/>
              </w:rPr>
            </w:pPr>
          </w:p>
        </w:tc>
        <w:tc>
          <w:tcPr>
            <w:tcW w:w="2259" w:type="dxa"/>
            <w:vMerge w:val="continue"/>
            <w:tcBorders>
              <w:top w:val="nil"/>
              <w:bottom w:val="nil"/>
            </w:tcBorders>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993"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2456" w:type="dxa"/>
            <w:vAlign w:val="top"/>
          </w:tcPr>
          <w:p>
            <w:pPr>
              <w:keepNext w:val="0"/>
              <w:keepLines w:val="0"/>
              <w:suppressLineNumbers w:val="0"/>
              <w:spacing w:before="0" w:beforeAutospacing="0" w:after="0" w:afterAutospacing="0"/>
              <w:ind w:left="0" w:right="0"/>
              <w:rPr>
                <w:rFonts w:hint="default" w:ascii="Arial"/>
                <w:sz w:val="21"/>
              </w:rPr>
            </w:pPr>
          </w:p>
        </w:tc>
        <w:tc>
          <w:tcPr>
            <w:tcW w:w="2190" w:type="dxa"/>
            <w:vAlign w:val="top"/>
          </w:tcPr>
          <w:p>
            <w:pPr>
              <w:keepNext w:val="0"/>
              <w:keepLines w:val="0"/>
              <w:suppressLineNumbers w:val="0"/>
              <w:spacing w:before="0" w:beforeAutospacing="0" w:after="0" w:afterAutospacing="0"/>
              <w:ind w:left="0" w:right="0"/>
              <w:rPr>
                <w:rFonts w:hint="default" w:ascii="Arial"/>
                <w:sz w:val="21"/>
              </w:rPr>
            </w:pPr>
          </w:p>
        </w:tc>
        <w:tc>
          <w:tcPr>
            <w:tcW w:w="2259" w:type="dxa"/>
            <w:vMerge w:val="continue"/>
            <w:tcBorders>
              <w:top w:val="nil"/>
              <w:bottom w:val="nil"/>
            </w:tcBorders>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993"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2456" w:type="dxa"/>
            <w:vAlign w:val="top"/>
          </w:tcPr>
          <w:p>
            <w:pPr>
              <w:keepNext w:val="0"/>
              <w:keepLines w:val="0"/>
              <w:suppressLineNumbers w:val="0"/>
              <w:spacing w:before="0" w:beforeAutospacing="0" w:after="0" w:afterAutospacing="0"/>
              <w:ind w:left="0" w:right="0"/>
              <w:rPr>
                <w:rFonts w:hint="default" w:ascii="Arial"/>
                <w:sz w:val="21"/>
              </w:rPr>
            </w:pPr>
          </w:p>
        </w:tc>
        <w:tc>
          <w:tcPr>
            <w:tcW w:w="2190" w:type="dxa"/>
            <w:vAlign w:val="top"/>
          </w:tcPr>
          <w:p>
            <w:pPr>
              <w:keepNext w:val="0"/>
              <w:keepLines w:val="0"/>
              <w:suppressLineNumbers w:val="0"/>
              <w:spacing w:before="0" w:beforeAutospacing="0" w:after="0" w:afterAutospacing="0"/>
              <w:ind w:left="0" w:right="0"/>
              <w:rPr>
                <w:rFonts w:hint="default" w:ascii="Arial"/>
                <w:sz w:val="21"/>
              </w:rPr>
            </w:pPr>
          </w:p>
        </w:tc>
        <w:tc>
          <w:tcPr>
            <w:tcW w:w="2259" w:type="dxa"/>
            <w:vMerge w:val="continue"/>
            <w:tcBorders>
              <w:top w:val="nil"/>
              <w:bottom w:val="nil"/>
            </w:tcBorders>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993"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2456" w:type="dxa"/>
            <w:vAlign w:val="top"/>
          </w:tcPr>
          <w:p>
            <w:pPr>
              <w:keepNext w:val="0"/>
              <w:keepLines w:val="0"/>
              <w:suppressLineNumbers w:val="0"/>
              <w:spacing w:before="0" w:beforeAutospacing="0" w:after="0" w:afterAutospacing="0"/>
              <w:ind w:left="0" w:right="0"/>
              <w:rPr>
                <w:rFonts w:hint="default" w:ascii="Arial"/>
                <w:sz w:val="21"/>
              </w:rPr>
            </w:pPr>
          </w:p>
        </w:tc>
        <w:tc>
          <w:tcPr>
            <w:tcW w:w="2190" w:type="dxa"/>
            <w:vAlign w:val="top"/>
          </w:tcPr>
          <w:p>
            <w:pPr>
              <w:keepNext w:val="0"/>
              <w:keepLines w:val="0"/>
              <w:suppressLineNumbers w:val="0"/>
              <w:spacing w:before="0" w:beforeAutospacing="0" w:after="0" w:afterAutospacing="0"/>
              <w:ind w:left="0" w:right="0"/>
              <w:rPr>
                <w:rFonts w:hint="default" w:ascii="Arial"/>
                <w:sz w:val="21"/>
              </w:rPr>
            </w:pPr>
          </w:p>
        </w:tc>
        <w:tc>
          <w:tcPr>
            <w:tcW w:w="2259" w:type="dxa"/>
            <w:vMerge w:val="continue"/>
            <w:tcBorders>
              <w:top w:val="nil"/>
              <w:bottom w:val="nil"/>
            </w:tcBorders>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993"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2456" w:type="dxa"/>
            <w:vAlign w:val="top"/>
          </w:tcPr>
          <w:p>
            <w:pPr>
              <w:keepNext w:val="0"/>
              <w:keepLines w:val="0"/>
              <w:suppressLineNumbers w:val="0"/>
              <w:spacing w:before="0" w:beforeAutospacing="0" w:after="0" w:afterAutospacing="0"/>
              <w:ind w:left="0" w:right="0"/>
              <w:rPr>
                <w:rFonts w:hint="default" w:ascii="Arial"/>
                <w:sz w:val="21"/>
              </w:rPr>
            </w:pPr>
          </w:p>
        </w:tc>
        <w:tc>
          <w:tcPr>
            <w:tcW w:w="2190" w:type="dxa"/>
            <w:vAlign w:val="top"/>
          </w:tcPr>
          <w:p>
            <w:pPr>
              <w:keepNext w:val="0"/>
              <w:keepLines w:val="0"/>
              <w:suppressLineNumbers w:val="0"/>
              <w:spacing w:before="0" w:beforeAutospacing="0" w:after="0" w:afterAutospacing="0"/>
              <w:ind w:left="0" w:right="0"/>
              <w:rPr>
                <w:rFonts w:hint="default" w:ascii="Arial"/>
                <w:sz w:val="21"/>
              </w:rPr>
            </w:pPr>
          </w:p>
        </w:tc>
        <w:tc>
          <w:tcPr>
            <w:tcW w:w="2259" w:type="dxa"/>
            <w:vMerge w:val="continue"/>
            <w:tcBorders>
              <w:top w:val="nil"/>
              <w:bottom w:val="nil"/>
            </w:tcBorders>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993"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2456" w:type="dxa"/>
            <w:vAlign w:val="top"/>
          </w:tcPr>
          <w:p>
            <w:pPr>
              <w:keepNext w:val="0"/>
              <w:keepLines w:val="0"/>
              <w:suppressLineNumbers w:val="0"/>
              <w:spacing w:before="0" w:beforeAutospacing="0" w:after="0" w:afterAutospacing="0"/>
              <w:ind w:left="0" w:right="0"/>
              <w:rPr>
                <w:rFonts w:hint="default" w:ascii="Arial"/>
                <w:sz w:val="21"/>
              </w:rPr>
            </w:pPr>
          </w:p>
        </w:tc>
        <w:tc>
          <w:tcPr>
            <w:tcW w:w="2190" w:type="dxa"/>
            <w:vAlign w:val="top"/>
          </w:tcPr>
          <w:p>
            <w:pPr>
              <w:keepNext w:val="0"/>
              <w:keepLines w:val="0"/>
              <w:suppressLineNumbers w:val="0"/>
              <w:spacing w:before="0" w:beforeAutospacing="0" w:after="0" w:afterAutospacing="0"/>
              <w:ind w:left="0" w:right="0"/>
              <w:rPr>
                <w:rFonts w:hint="default" w:ascii="Arial"/>
                <w:sz w:val="21"/>
              </w:rPr>
            </w:pPr>
          </w:p>
        </w:tc>
        <w:tc>
          <w:tcPr>
            <w:tcW w:w="2259" w:type="dxa"/>
            <w:vMerge w:val="continue"/>
            <w:tcBorders>
              <w:top w:val="nil"/>
              <w:bottom w:val="nil"/>
            </w:tcBorders>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993"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2456" w:type="dxa"/>
            <w:vAlign w:val="top"/>
          </w:tcPr>
          <w:p>
            <w:pPr>
              <w:keepNext w:val="0"/>
              <w:keepLines w:val="0"/>
              <w:suppressLineNumbers w:val="0"/>
              <w:spacing w:before="0" w:beforeAutospacing="0" w:after="0" w:afterAutospacing="0"/>
              <w:ind w:left="0" w:right="0"/>
              <w:rPr>
                <w:rFonts w:hint="default" w:ascii="Arial"/>
                <w:sz w:val="21"/>
              </w:rPr>
            </w:pPr>
          </w:p>
        </w:tc>
        <w:tc>
          <w:tcPr>
            <w:tcW w:w="2190" w:type="dxa"/>
            <w:vAlign w:val="top"/>
          </w:tcPr>
          <w:p>
            <w:pPr>
              <w:keepNext w:val="0"/>
              <w:keepLines w:val="0"/>
              <w:suppressLineNumbers w:val="0"/>
              <w:spacing w:before="0" w:beforeAutospacing="0" w:after="0" w:afterAutospacing="0"/>
              <w:ind w:left="0" w:right="0"/>
              <w:rPr>
                <w:rFonts w:hint="default" w:ascii="Arial"/>
                <w:sz w:val="21"/>
              </w:rPr>
            </w:pPr>
          </w:p>
        </w:tc>
        <w:tc>
          <w:tcPr>
            <w:tcW w:w="2259" w:type="dxa"/>
            <w:vMerge w:val="continue"/>
            <w:tcBorders>
              <w:top w:val="nil"/>
              <w:bottom w:val="nil"/>
            </w:tcBorders>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993" w:type="dxa"/>
            <w:tcBorders>
              <w:left w:val="single" w:color="000000" w:sz="4" w:space="0"/>
              <w:bottom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2456" w:type="dxa"/>
            <w:tcBorders>
              <w:bottom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2190" w:type="dxa"/>
            <w:tcBorders>
              <w:bottom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2259" w:type="dxa"/>
            <w:vMerge w:val="continue"/>
            <w:tcBorders>
              <w:top w:val="nil"/>
              <w:bottom w:val="nil"/>
            </w:tcBorders>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993" w:type="dxa"/>
            <w:tcBorders>
              <w:top w:val="single" w:color="000000" w:sz="4" w:space="0"/>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2456" w:type="dxa"/>
            <w:tcBorders>
              <w:top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2190" w:type="dxa"/>
            <w:tcBorders>
              <w:top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2259" w:type="dxa"/>
            <w:vMerge w:val="continue"/>
            <w:tcBorders>
              <w:top w:val="nil"/>
              <w:bottom w:val="nil"/>
            </w:tcBorders>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993"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2456" w:type="dxa"/>
            <w:vAlign w:val="top"/>
          </w:tcPr>
          <w:p>
            <w:pPr>
              <w:keepNext w:val="0"/>
              <w:keepLines w:val="0"/>
              <w:suppressLineNumbers w:val="0"/>
              <w:spacing w:before="0" w:beforeAutospacing="0" w:after="0" w:afterAutospacing="0"/>
              <w:ind w:left="0" w:right="0"/>
              <w:rPr>
                <w:rFonts w:hint="default" w:ascii="Arial"/>
                <w:sz w:val="21"/>
              </w:rPr>
            </w:pPr>
          </w:p>
        </w:tc>
        <w:tc>
          <w:tcPr>
            <w:tcW w:w="2190" w:type="dxa"/>
            <w:vAlign w:val="top"/>
          </w:tcPr>
          <w:p>
            <w:pPr>
              <w:keepNext w:val="0"/>
              <w:keepLines w:val="0"/>
              <w:suppressLineNumbers w:val="0"/>
              <w:spacing w:before="0" w:beforeAutospacing="0" w:after="0" w:afterAutospacing="0"/>
              <w:ind w:left="0" w:right="0"/>
              <w:rPr>
                <w:rFonts w:hint="default" w:ascii="Arial"/>
                <w:sz w:val="21"/>
              </w:rPr>
            </w:pPr>
          </w:p>
        </w:tc>
        <w:tc>
          <w:tcPr>
            <w:tcW w:w="2259" w:type="dxa"/>
            <w:vMerge w:val="continue"/>
            <w:tcBorders>
              <w:top w:val="nil"/>
              <w:bottom w:val="nil"/>
            </w:tcBorders>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993"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2456" w:type="dxa"/>
            <w:vAlign w:val="top"/>
          </w:tcPr>
          <w:p>
            <w:pPr>
              <w:keepNext w:val="0"/>
              <w:keepLines w:val="0"/>
              <w:suppressLineNumbers w:val="0"/>
              <w:spacing w:before="0" w:beforeAutospacing="0" w:after="0" w:afterAutospacing="0"/>
              <w:ind w:left="0" w:right="0"/>
              <w:rPr>
                <w:rFonts w:hint="default" w:ascii="Arial"/>
                <w:sz w:val="21"/>
              </w:rPr>
            </w:pPr>
          </w:p>
        </w:tc>
        <w:tc>
          <w:tcPr>
            <w:tcW w:w="2190" w:type="dxa"/>
            <w:vAlign w:val="top"/>
          </w:tcPr>
          <w:p>
            <w:pPr>
              <w:keepNext w:val="0"/>
              <w:keepLines w:val="0"/>
              <w:suppressLineNumbers w:val="0"/>
              <w:spacing w:before="0" w:beforeAutospacing="0" w:after="0" w:afterAutospacing="0"/>
              <w:ind w:left="0" w:right="0"/>
              <w:rPr>
                <w:rFonts w:hint="default" w:ascii="Arial"/>
                <w:sz w:val="21"/>
              </w:rPr>
            </w:pPr>
          </w:p>
        </w:tc>
        <w:tc>
          <w:tcPr>
            <w:tcW w:w="2259" w:type="dxa"/>
            <w:vMerge w:val="continue"/>
            <w:tcBorders>
              <w:top w:val="nil"/>
              <w:bottom w:val="nil"/>
            </w:tcBorders>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4449" w:type="dxa"/>
            <w:gridSpan w:val="2"/>
            <w:tcBorders>
              <w:left w:val="single" w:color="000000" w:sz="4" w:space="0"/>
            </w:tcBorders>
            <w:vAlign w:val="top"/>
          </w:tcPr>
          <w:p>
            <w:pPr>
              <w:pStyle w:val="72"/>
              <w:keepNext w:val="0"/>
              <w:keepLines w:val="0"/>
              <w:suppressLineNumbers w:val="0"/>
              <w:spacing w:before="147" w:beforeAutospacing="0" w:after="0" w:afterAutospacing="0" w:line="219" w:lineRule="auto"/>
              <w:ind w:left="1280" w:right="0"/>
              <w:rPr>
                <w:rFonts w:hint="default"/>
              </w:rPr>
            </w:pPr>
            <w:r>
              <w:rPr>
                <w:rFonts w:hint="default"/>
                <w:spacing w:val="-2"/>
              </w:rPr>
              <w:t>拟分包工程造价合计（万元）</w:t>
            </w:r>
          </w:p>
        </w:tc>
        <w:tc>
          <w:tcPr>
            <w:tcW w:w="2190" w:type="dxa"/>
            <w:vAlign w:val="top"/>
          </w:tcPr>
          <w:p>
            <w:pPr>
              <w:keepNext w:val="0"/>
              <w:keepLines w:val="0"/>
              <w:suppressLineNumbers w:val="0"/>
              <w:spacing w:before="0" w:beforeAutospacing="0" w:after="0" w:afterAutospacing="0"/>
              <w:ind w:left="0" w:right="0"/>
              <w:rPr>
                <w:rFonts w:hint="default" w:ascii="Arial"/>
                <w:sz w:val="21"/>
              </w:rPr>
            </w:pPr>
          </w:p>
        </w:tc>
        <w:tc>
          <w:tcPr>
            <w:tcW w:w="2259" w:type="dxa"/>
            <w:vMerge w:val="continue"/>
            <w:tcBorders>
              <w:top w:val="nil"/>
            </w:tcBorders>
            <w:vAlign w:val="top"/>
          </w:tcPr>
          <w:p>
            <w:pPr>
              <w:keepNext w:val="0"/>
              <w:keepLines w:val="0"/>
              <w:suppressLineNumbers w:val="0"/>
              <w:spacing w:before="0" w:beforeAutospacing="0" w:after="0" w:afterAutospacing="0"/>
              <w:ind w:left="0" w:right="0"/>
              <w:rPr>
                <w:rFonts w:hint="default" w:ascii="Arial"/>
                <w:sz w:val="21"/>
              </w:rPr>
            </w:pPr>
          </w:p>
        </w:tc>
      </w:tr>
    </w:tbl>
    <w:p>
      <w:pPr>
        <w:pStyle w:val="8"/>
      </w:pPr>
    </w:p>
    <w:p>
      <w:pPr>
        <w:sectPr>
          <w:footerReference r:id="rId34" w:type="default"/>
          <w:pgSz w:w="11907" w:h="16841"/>
          <w:pgMar w:top="1431" w:right="1785" w:bottom="1216" w:left="1180" w:header="0" w:footer="1055" w:gutter="0"/>
          <w:pgNumType w:fmt="decimal"/>
          <w:cols w:space="720" w:num="1"/>
        </w:sectPr>
      </w:pPr>
    </w:p>
    <w:p>
      <w:pPr>
        <w:spacing w:before="297" w:line="221" w:lineRule="auto"/>
        <w:ind w:left="4039"/>
        <w:outlineLvl w:val="2"/>
        <w:rPr>
          <w:rFonts w:ascii="宋体" w:hAnsi="宋体" w:eastAsia="宋体" w:cs="宋体"/>
          <w:sz w:val="21"/>
          <w:szCs w:val="21"/>
        </w:rPr>
      </w:pPr>
      <w:bookmarkStart w:id="207" w:name="bookmark55"/>
      <w:bookmarkEnd w:id="207"/>
      <w:r>
        <w:rPr>
          <w:rFonts w:hint="eastAsia" w:ascii="宋体" w:hAnsi="宋体" w:eastAsia="宋体" w:cs="宋体"/>
          <w:sz w:val="21"/>
          <w:szCs w:val="21"/>
          <w:lang w:val="en-US" w:eastAsia="zh-CN"/>
          <w14:textOutline w14:w="3831" w14:cap="flat" w14:cmpd="sng">
            <w14:solidFill>
              <w14:srgbClr w14:val="000000"/>
            </w14:solidFill>
            <w14:prstDash w14:val="solid"/>
            <w14:miter w14:val="0"/>
          </w14:textOutline>
        </w:rPr>
        <w:t>六</w:t>
      </w:r>
      <w:r>
        <w:rPr>
          <w:rFonts w:ascii="宋体" w:hAnsi="宋体" w:eastAsia="宋体" w:cs="宋体"/>
          <w:sz w:val="21"/>
          <w:szCs w:val="21"/>
          <w14:textOutline w14:w="3831" w14:cap="flat" w14:cmpd="sng">
            <w14:solidFill>
              <w14:srgbClr w14:val="000000"/>
            </w14:solidFill>
            <w14:prstDash w14:val="solid"/>
            <w14:miter w14:val="0"/>
          </w14:textOutline>
        </w:rPr>
        <w:t>、资格审查资料</w:t>
      </w:r>
    </w:p>
    <w:p>
      <w:pPr>
        <w:pStyle w:val="8"/>
        <w:spacing w:line="410" w:lineRule="auto"/>
      </w:pPr>
    </w:p>
    <w:p>
      <w:pPr>
        <w:spacing w:before="68" w:line="220" w:lineRule="auto"/>
        <w:ind w:left="3670"/>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（一）投标人基本情况表</w:t>
      </w:r>
    </w:p>
    <w:p>
      <w:pPr>
        <w:spacing w:before="35"/>
      </w:pPr>
    </w:p>
    <w:tbl>
      <w:tblPr>
        <w:tblStyle w:val="68"/>
        <w:tblW w:w="91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88"/>
        <w:gridCol w:w="991"/>
        <w:gridCol w:w="1394"/>
        <w:gridCol w:w="1298"/>
        <w:gridCol w:w="456"/>
        <w:gridCol w:w="804"/>
        <w:gridCol w:w="1025"/>
        <w:gridCol w:w="12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1988" w:type="dxa"/>
            <w:vAlign w:val="top"/>
          </w:tcPr>
          <w:p>
            <w:pPr>
              <w:pStyle w:val="72"/>
              <w:keepNext w:val="0"/>
              <w:keepLines w:val="0"/>
              <w:suppressLineNumbers w:val="0"/>
              <w:spacing w:before="73" w:beforeAutospacing="0" w:after="0" w:afterAutospacing="0" w:line="221" w:lineRule="auto"/>
              <w:ind w:left="476" w:right="0"/>
              <w:rPr>
                <w:rFonts w:hint="default"/>
              </w:rPr>
            </w:pPr>
            <w:r>
              <w:rPr>
                <w:rFonts w:hint="default"/>
                <w:spacing w:val="-2"/>
              </w:rPr>
              <w:t>投标人名称</w:t>
            </w:r>
          </w:p>
        </w:tc>
        <w:tc>
          <w:tcPr>
            <w:tcW w:w="7198" w:type="dxa"/>
            <w:gridSpan w:val="7"/>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1988" w:type="dxa"/>
            <w:vAlign w:val="top"/>
          </w:tcPr>
          <w:p>
            <w:pPr>
              <w:pStyle w:val="72"/>
              <w:keepNext w:val="0"/>
              <w:keepLines w:val="0"/>
              <w:suppressLineNumbers w:val="0"/>
              <w:spacing w:before="68" w:beforeAutospacing="0" w:after="0" w:afterAutospacing="0" w:line="222" w:lineRule="auto"/>
              <w:ind w:left="579" w:right="0"/>
              <w:rPr>
                <w:rFonts w:hint="default"/>
              </w:rPr>
            </w:pPr>
            <w:r>
              <w:rPr>
                <w:rFonts w:hint="default"/>
                <w:spacing w:val="-2"/>
              </w:rPr>
              <w:t>注册地址</w:t>
            </w:r>
          </w:p>
        </w:tc>
        <w:tc>
          <w:tcPr>
            <w:tcW w:w="3683" w:type="dxa"/>
            <w:gridSpan w:val="3"/>
            <w:vAlign w:val="top"/>
          </w:tcPr>
          <w:p>
            <w:pPr>
              <w:keepNext w:val="0"/>
              <w:keepLines w:val="0"/>
              <w:suppressLineNumbers w:val="0"/>
              <w:spacing w:before="0" w:beforeAutospacing="0" w:after="0" w:afterAutospacing="0"/>
              <w:ind w:left="0" w:right="0"/>
              <w:rPr>
                <w:rFonts w:hint="default" w:ascii="Arial"/>
                <w:sz w:val="21"/>
              </w:rPr>
            </w:pPr>
          </w:p>
        </w:tc>
        <w:tc>
          <w:tcPr>
            <w:tcW w:w="1260" w:type="dxa"/>
            <w:gridSpan w:val="2"/>
            <w:vAlign w:val="top"/>
          </w:tcPr>
          <w:p>
            <w:pPr>
              <w:pStyle w:val="72"/>
              <w:keepNext w:val="0"/>
              <w:keepLines w:val="0"/>
              <w:suppressLineNumbers w:val="0"/>
              <w:spacing w:before="67" w:beforeAutospacing="0" w:after="0" w:afterAutospacing="0" w:line="221" w:lineRule="auto"/>
              <w:ind w:left="231" w:right="0"/>
              <w:rPr>
                <w:rFonts w:hint="default"/>
              </w:rPr>
            </w:pPr>
            <w:r>
              <w:rPr>
                <w:rFonts w:hint="default"/>
                <w:spacing w:val="-6"/>
              </w:rPr>
              <w:t>邮政编码</w:t>
            </w:r>
          </w:p>
        </w:tc>
        <w:tc>
          <w:tcPr>
            <w:tcW w:w="2255" w:type="dxa"/>
            <w:gridSpan w:val="2"/>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1988" w:type="dxa"/>
            <w:vMerge w:val="restart"/>
            <w:tcBorders>
              <w:bottom w:val="nil"/>
            </w:tcBorders>
            <w:vAlign w:val="top"/>
          </w:tcPr>
          <w:p>
            <w:pPr>
              <w:keepNext w:val="0"/>
              <w:keepLines w:val="0"/>
              <w:suppressLineNumbers w:val="0"/>
              <w:spacing w:before="0" w:beforeAutospacing="0" w:after="0" w:afterAutospacing="0" w:line="246" w:lineRule="auto"/>
              <w:ind w:left="0" w:right="0"/>
              <w:rPr>
                <w:rFonts w:hint="default" w:ascii="Arial"/>
                <w:sz w:val="21"/>
              </w:rPr>
            </w:pPr>
          </w:p>
          <w:p>
            <w:pPr>
              <w:pStyle w:val="72"/>
              <w:keepNext w:val="0"/>
              <w:keepLines w:val="0"/>
              <w:suppressLineNumbers w:val="0"/>
              <w:spacing w:before="68" w:beforeAutospacing="0" w:after="0" w:afterAutospacing="0" w:line="222" w:lineRule="auto"/>
              <w:ind w:left="580" w:right="0"/>
              <w:rPr>
                <w:rFonts w:hint="default"/>
              </w:rPr>
            </w:pPr>
            <w:r>
              <w:rPr>
                <w:rFonts w:hint="default"/>
                <w:spacing w:val="-2"/>
              </w:rPr>
              <w:t>联系方式</w:t>
            </w:r>
          </w:p>
        </w:tc>
        <w:tc>
          <w:tcPr>
            <w:tcW w:w="991" w:type="dxa"/>
            <w:vAlign w:val="top"/>
          </w:tcPr>
          <w:p>
            <w:pPr>
              <w:pStyle w:val="72"/>
              <w:keepNext w:val="0"/>
              <w:keepLines w:val="0"/>
              <w:suppressLineNumbers w:val="0"/>
              <w:spacing w:before="68" w:beforeAutospacing="0" w:after="0" w:afterAutospacing="0" w:line="223" w:lineRule="auto"/>
              <w:ind w:left="185" w:right="0"/>
              <w:rPr>
                <w:rFonts w:hint="default"/>
              </w:rPr>
            </w:pPr>
            <w:r>
              <w:rPr>
                <w:rFonts w:hint="default"/>
                <w:spacing w:val="-2"/>
              </w:rPr>
              <w:t>联系人</w:t>
            </w:r>
          </w:p>
        </w:tc>
        <w:tc>
          <w:tcPr>
            <w:tcW w:w="2692" w:type="dxa"/>
            <w:gridSpan w:val="2"/>
            <w:vAlign w:val="top"/>
          </w:tcPr>
          <w:p>
            <w:pPr>
              <w:keepNext w:val="0"/>
              <w:keepLines w:val="0"/>
              <w:suppressLineNumbers w:val="0"/>
              <w:spacing w:before="0" w:beforeAutospacing="0" w:after="0" w:afterAutospacing="0"/>
              <w:ind w:left="0" w:right="0"/>
              <w:rPr>
                <w:rFonts w:hint="default" w:ascii="Arial"/>
                <w:sz w:val="21"/>
              </w:rPr>
            </w:pPr>
          </w:p>
        </w:tc>
        <w:tc>
          <w:tcPr>
            <w:tcW w:w="1260" w:type="dxa"/>
            <w:gridSpan w:val="2"/>
            <w:vAlign w:val="top"/>
          </w:tcPr>
          <w:p>
            <w:pPr>
              <w:pStyle w:val="72"/>
              <w:keepNext w:val="0"/>
              <w:keepLines w:val="0"/>
              <w:suppressLineNumbers w:val="0"/>
              <w:spacing w:before="68" w:beforeAutospacing="0" w:after="0" w:afterAutospacing="0" w:line="223" w:lineRule="auto"/>
              <w:ind w:left="240" w:right="0"/>
              <w:rPr>
                <w:rFonts w:hint="default"/>
              </w:rPr>
            </w:pPr>
            <w:r>
              <w:rPr>
                <w:rFonts w:hint="default"/>
                <w:spacing w:val="-16"/>
              </w:rPr>
              <w:t>电话</w:t>
            </w:r>
          </w:p>
        </w:tc>
        <w:tc>
          <w:tcPr>
            <w:tcW w:w="2255" w:type="dxa"/>
            <w:gridSpan w:val="2"/>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1988" w:type="dxa"/>
            <w:vMerge w:val="continue"/>
            <w:tcBorders>
              <w:top w:val="nil"/>
            </w:tcBorders>
            <w:vAlign w:val="top"/>
          </w:tcPr>
          <w:p>
            <w:pPr>
              <w:keepNext w:val="0"/>
              <w:keepLines w:val="0"/>
              <w:suppressLineNumbers w:val="0"/>
              <w:spacing w:before="0" w:beforeAutospacing="0" w:after="0" w:afterAutospacing="0"/>
              <w:ind w:left="0" w:right="0"/>
              <w:rPr>
                <w:rFonts w:hint="default" w:ascii="Arial"/>
                <w:sz w:val="21"/>
              </w:rPr>
            </w:pPr>
          </w:p>
        </w:tc>
        <w:tc>
          <w:tcPr>
            <w:tcW w:w="991" w:type="dxa"/>
            <w:vAlign w:val="top"/>
          </w:tcPr>
          <w:p>
            <w:pPr>
              <w:pStyle w:val="72"/>
              <w:keepNext w:val="0"/>
              <w:keepLines w:val="0"/>
              <w:suppressLineNumbers w:val="0"/>
              <w:spacing w:before="68" w:beforeAutospacing="0" w:after="0" w:afterAutospacing="0" w:line="220" w:lineRule="auto"/>
              <w:ind w:left="183" w:right="0"/>
              <w:rPr>
                <w:rFonts w:hint="default"/>
              </w:rPr>
            </w:pPr>
            <w:r>
              <w:rPr>
                <w:rFonts w:hint="default"/>
                <w:spacing w:val="-3"/>
              </w:rPr>
              <w:t>传真</w:t>
            </w:r>
          </w:p>
        </w:tc>
        <w:tc>
          <w:tcPr>
            <w:tcW w:w="2692" w:type="dxa"/>
            <w:gridSpan w:val="2"/>
            <w:vAlign w:val="top"/>
          </w:tcPr>
          <w:p>
            <w:pPr>
              <w:keepNext w:val="0"/>
              <w:keepLines w:val="0"/>
              <w:suppressLineNumbers w:val="0"/>
              <w:spacing w:before="0" w:beforeAutospacing="0" w:after="0" w:afterAutospacing="0"/>
              <w:ind w:left="0" w:right="0"/>
              <w:rPr>
                <w:rFonts w:hint="default" w:ascii="Arial"/>
                <w:sz w:val="21"/>
              </w:rPr>
            </w:pPr>
          </w:p>
        </w:tc>
        <w:tc>
          <w:tcPr>
            <w:tcW w:w="1260" w:type="dxa"/>
            <w:gridSpan w:val="2"/>
            <w:vAlign w:val="top"/>
          </w:tcPr>
          <w:p>
            <w:pPr>
              <w:pStyle w:val="72"/>
              <w:keepNext w:val="0"/>
              <w:keepLines w:val="0"/>
              <w:suppressLineNumbers w:val="0"/>
              <w:spacing w:before="68" w:beforeAutospacing="0" w:after="0" w:afterAutospacing="0" w:line="221" w:lineRule="auto"/>
              <w:ind w:left="240" w:right="0"/>
              <w:rPr>
                <w:rFonts w:hint="default"/>
              </w:rPr>
            </w:pPr>
            <w:r>
              <w:rPr>
                <w:rFonts w:hint="default"/>
                <w:spacing w:val="-8"/>
              </w:rPr>
              <w:t>电子邮件</w:t>
            </w:r>
          </w:p>
        </w:tc>
        <w:tc>
          <w:tcPr>
            <w:tcW w:w="2255" w:type="dxa"/>
            <w:gridSpan w:val="2"/>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988" w:type="dxa"/>
            <w:vAlign w:val="top"/>
          </w:tcPr>
          <w:p>
            <w:pPr>
              <w:pStyle w:val="72"/>
              <w:keepNext w:val="0"/>
              <w:keepLines w:val="0"/>
              <w:suppressLineNumbers w:val="0"/>
              <w:spacing w:before="68" w:beforeAutospacing="0" w:after="0" w:afterAutospacing="0" w:line="221" w:lineRule="auto"/>
              <w:ind w:left="474" w:right="0"/>
              <w:rPr>
                <w:rFonts w:hint="default"/>
              </w:rPr>
            </w:pPr>
            <w:r>
              <w:rPr>
                <w:rFonts w:hint="default"/>
                <w:spacing w:val="-2"/>
              </w:rPr>
              <w:t>法定代表人</w:t>
            </w:r>
          </w:p>
        </w:tc>
        <w:tc>
          <w:tcPr>
            <w:tcW w:w="991" w:type="dxa"/>
            <w:vAlign w:val="top"/>
          </w:tcPr>
          <w:p>
            <w:pPr>
              <w:pStyle w:val="72"/>
              <w:keepNext w:val="0"/>
              <w:keepLines w:val="0"/>
              <w:suppressLineNumbers w:val="0"/>
              <w:spacing w:before="68" w:beforeAutospacing="0" w:after="0" w:afterAutospacing="0" w:line="221" w:lineRule="auto"/>
              <w:ind w:left="184" w:right="0"/>
              <w:rPr>
                <w:rFonts w:hint="default"/>
              </w:rPr>
            </w:pPr>
            <w:r>
              <w:rPr>
                <w:rFonts w:hint="default"/>
                <w:spacing w:val="-4"/>
              </w:rPr>
              <w:t>姓名</w:t>
            </w:r>
          </w:p>
        </w:tc>
        <w:tc>
          <w:tcPr>
            <w:tcW w:w="1394" w:type="dxa"/>
            <w:vAlign w:val="top"/>
          </w:tcPr>
          <w:p>
            <w:pPr>
              <w:keepNext w:val="0"/>
              <w:keepLines w:val="0"/>
              <w:suppressLineNumbers w:val="0"/>
              <w:spacing w:before="0" w:beforeAutospacing="0" w:after="0" w:afterAutospacing="0"/>
              <w:ind w:left="0" w:right="0"/>
              <w:rPr>
                <w:rFonts w:hint="default" w:ascii="Arial"/>
                <w:sz w:val="21"/>
              </w:rPr>
            </w:pPr>
          </w:p>
        </w:tc>
        <w:tc>
          <w:tcPr>
            <w:tcW w:w="1298" w:type="dxa"/>
            <w:vAlign w:val="top"/>
          </w:tcPr>
          <w:p>
            <w:pPr>
              <w:pStyle w:val="72"/>
              <w:keepNext w:val="0"/>
              <w:keepLines w:val="0"/>
              <w:suppressLineNumbers w:val="0"/>
              <w:spacing w:before="68" w:beforeAutospacing="0" w:after="0" w:afterAutospacing="0" w:line="221" w:lineRule="auto"/>
              <w:ind w:left="234" w:right="0"/>
              <w:rPr>
                <w:rFonts w:hint="default"/>
              </w:rPr>
            </w:pPr>
            <w:r>
              <w:rPr>
                <w:rFonts w:hint="default"/>
                <w:spacing w:val="-2"/>
              </w:rPr>
              <w:t>技术职称</w:t>
            </w:r>
          </w:p>
        </w:tc>
        <w:tc>
          <w:tcPr>
            <w:tcW w:w="1260" w:type="dxa"/>
            <w:gridSpan w:val="2"/>
            <w:vAlign w:val="top"/>
          </w:tcPr>
          <w:p>
            <w:pPr>
              <w:keepNext w:val="0"/>
              <w:keepLines w:val="0"/>
              <w:suppressLineNumbers w:val="0"/>
              <w:spacing w:before="0" w:beforeAutospacing="0" w:after="0" w:afterAutospacing="0"/>
              <w:ind w:left="0" w:right="0"/>
              <w:rPr>
                <w:rFonts w:hint="default" w:ascii="Arial"/>
                <w:sz w:val="21"/>
              </w:rPr>
            </w:pPr>
          </w:p>
        </w:tc>
        <w:tc>
          <w:tcPr>
            <w:tcW w:w="1025" w:type="dxa"/>
            <w:vAlign w:val="top"/>
          </w:tcPr>
          <w:p>
            <w:pPr>
              <w:pStyle w:val="72"/>
              <w:keepNext w:val="0"/>
              <w:keepLines w:val="0"/>
              <w:suppressLineNumbers w:val="0"/>
              <w:spacing w:before="68" w:beforeAutospacing="0" w:after="0" w:afterAutospacing="0" w:line="223" w:lineRule="auto"/>
              <w:ind w:left="228" w:right="0"/>
              <w:rPr>
                <w:rFonts w:hint="default"/>
              </w:rPr>
            </w:pPr>
            <w:r>
              <w:rPr>
                <w:rFonts w:hint="default"/>
                <w:spacing w:val="-16"/>
              </w:rPr>
              <w:t>电话</w:t>
            </w:r>
          </w:p>
        </w:tc>
        <w:tc>
          <w:tcPr>
            <w:tcW w:w="123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1988" w:type="dxa"/>
            <w:vAlign w:val="top"/>
          </w:tcPr>
          <w:p>
            <w:pPr>
              <w:pStyle w:val="72"/>
              <w:keepNext w:val="0"/>
              <w:keepLines w:val="0"/>
              <w:suppressLineNumbers w:val="0"/>
              <w:spacing w:before="68" w:beforeAutospacing="0" w:after="0" w:afterAutospacing="0" w:line="221" w:lineRule="auto"/>
              <w:ind w:left="474" w:right="0"/>
              <w:rPr>
                <w:rFonts w:hint="default"/>
              </w:rPr>
            </w:pPr>
            <w:r>
              <w:rPr>
                <w:rFonts w:hint="default"/>
                <w:spacing w:val="-2"/>
              </w:rPr>
              <w:t>技术负责人</w:t>
            </w:r>
          </w:p>
        </w:tc>
        <w:tc>
          <w:tcPr>
            <w:tcW w:w="991" w:type="dxa"/>
            <w:vAlign w:val="top"/>
          </w:tcPr>
          <w:p>
            <w:pPr>
              <w:pStyle w:val="72"/>
              <w:keepNext w:val="0"/>
              <w:keepLines w:val="0"/>
              <w:suppressLineNumbers w:val="0"/>
              <w:spacing w:before="68" w:beforeAutospacing="0" w:after="0" w:afterAutospacing="0" w:line="221" w:lineRule="auto"/>
              <w:ind w:left="184" w:right="0"/>
              <w:rPr>
                <w:rFonts w:hint="default"/>
              </w:rPr>
            </w:pPr>
            <w:r>
              <w:rPr>
                <w:rFonts w:hint="default"/>
                <w:spacing w:val="-4"/>
              </w:rPr>
              <w:t>姓名</w:t>
            </w:r>
          </w:p>
        </w:tc>
        <w:tc>
          <w:tcPr>
            <w:tcW w:w="1394" w:type="dxa"/>
            <w:vAlign w:val="top"/>
          </w:tcPr>
          <w:p>
            <w:pPr>
              <w:keepNext w:val="0"/>
              <w:keepLines w:val="0"/>
              <w:suppressLineNumbers w:val="0"/>
              <w:spacing w:before="0" w:beforeAutospacing="0" w:after="0" w:afterAutospacing="0"/>
              <w:ind w:left="0" w:right="0"/>
              <w:rPr>
                <w:rFonts w:hint="default" w:ascii="Arial"/>
                <w:sz w:val="21"/>
              </w:rPr>
            </w:pPr>
          </w:p>
        </w:tc>
        <w:tc>
          <w:tcPr>
            <w:tcW w:w="1298" w:type="dxa"/>
            <w:vAlign w:val="top"/>
          </w:tcPr>
          <w:p>
            <w:pPr>
              <w:pStyle w:val="72"/>
              <w:keepNext w:val="0"/>
              <w:keepLines w:val="0"/>
              <w:suppressLineNumbers w:val="0"/>
              <w:spacing w:before="68" w:beforeAutospacing="0" w:after="0" w:afterAutospacing="0" w:line="221" w:lineRule="auto"/>
              <w:ind w:left="234" w:right="0"/>
              <w:rPr>
                <w:rFonts w:hint="default"/>
              </w:rPr>
            </w:pPr>
            <w:r>
              <w:rPr>
                <w:rFonts w:hint="default"/>
                <w:spacing w:val="-2"/>
              </w:rPr>
              <w:t>技术职称</w:t>
            </w:r>
          </w:p>
        </w:tc>
        <w:tc>
          <w:tcPr>
            <w:tcW w:w="1260" w:type="dxa"/>
            <w:gridSpan w:val="2"/>
            <w:vAlign w:val="top"/>
          </w:tcPr>
          <w:p>
            <w:pPr>
              <w:keepNext w:val="0"/>
              <w:keepLines w:val="0"/>
              <w:suppressLineNumbers w:val="0"/>
              <w:spacing w:before="0" w:beforeAutospacing="0" w:after="0" w:afterAutospacing="0"/>
              <w:ind w:left="0" w:right="0"/>
              <w:rPr>
                <w:rFonts w:hint="default" w:ascii="Arial"/>
                <w:sz w:val="21"/>
              </w:rPr>
            </w:pPr>
          </w:p>
        </w:tc>
        <w:tc>
          <w:tcPr>
            <w:tcW w:w="1025" w:type="dxa"/>
            <w:vAlign w:val="top"/>
          </w:tcPr>
          <w:p>
            <w:pPr>
              <w:pStyle w:val="72"/>
              <w:keepNext w:val="0"/>
              <w:keepLines w:val="0"/>
              <w:suppressLineNumbers w:val="0"/>
              <w:spacing w:before="68" w:beforeAutospacing="0" w:after="0" w:afterAutospacing="0" w:line="223" w:lineRule="auto"/>
              <w:ind w:left="228" w:right="0"/>
              <w:rPr>
                <w:rFonts w:hint="default"/>
              </w:rPr>
            </w:pPr>
            <w:r>
              <w:rPr>
                <w:rFonts w:hint="default"/>
                <w:spacing w:val="-16"/>
              </w:rPr>
              <w:t>电话</w:t>
            </w:r>
          </w:p>
        </w:tc>
        <w:tc>
          <w:tcPr>
            <w:tcW w:w="123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1988" w:type="dxa"/>
            <w:vAlign w:val="top"/>
          </w:tcPr>
          <w:p>
            <w:pPr>
              <w:pStyle w:val="72"/>
              <w:keepNext w:val="0"/>
              <w:keepLines w:val="0"/>
              <w:suppressLineNumbers w:val="0"/>
              <w:spacing w:before="68" w:beforeAutospacing="0" w:after="0" w:afterAutospacing="0" w:line="221" w:lineRule="auto"/>
              <w:ind w:left="480" w:right="0"/>
              <w:rPr>
                <w:rFonts w:hint="default"/>
              </w:rPr>
            </w:pPr>
            <w:r>
              <w:rPr>
                <w:rFonts w:hint="default"/>
                <w:spacing w:val="-3"/>
              </w:rPr>
              <w:t>营业执照号</w:t>
            </w:r>
          </w:p>
        </w:tc>
        <w:tc>
          <w:tcPr>
            <w:tcW w:w="3683" w:type="dxa"/>
            <w:gridSpan w:val="3"/>
            <w:vAlign w:val="top"/>
          </w:tcPr>
          <w:p>
            <w:pPr>
              <w:keepNext w:val="0"/>
              <w:keepLines w:val="0"/>
              <w:suppressLineNumbers w:val="0"/>
              <w:spacing w:before="0" w:beforeAutospacing="0" w:after="0" w:afterAutospacing="0"/>
              <w:ind w:left="0" w:right="0"/>
              <w:rPr>
                <w:rFonts w:hint="default" w:ascii="Arial"/>
                <w:sz w:val="21"/>
              </w:rPr>
            </w:pPr>
          </w:p>
        </w:tc>
        <w:tc>
          <w:tcPr>
            <w:tcW w:w="3515" w:type="dxa"/>
            <w:gridSpan w:val="4"/>
            <w:vAlign w:val="top"/>
          </w:tcPr>
          <w:p>
            <w:pPr>
              <w:pStyle w:val="72"/>
              <w:keepNext w:val="0"/>
              <w:keepLines w:val="0"/>
              <w:suppressLineNumbers w:val="0"/>
              <w:spacing w:before="68" w:beforeAutospacing="0" w:after="0" w:afterAutospacing="0" w:line="221" w:lineRule="auto"/>
              <w:ind w:left="1140" w:right="0"/>
              <w:rPr>
                <w:rFonts w:hint="default"/>
              </w:rPr>
            </w:pPr>
            <w:r>
              <w:rPr>
                <w:rFonts w:hint="default"/>
                <w:spacing w:val="-3"/>
              </w:rPr>
              <w:t>员工总人数：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1988" w:type="dxa"/>
            <w:vAlign w:val="top"/>
          </w:tcPr>
          <w:p>
            <w:pPr>
              <w:pStyle w:val="72"/>
              <w:keepNext w:val="0"/>
              <w:keepLines w:val="0"/>
              <w:suppressLineNumbers w:val="0"/>
              <w:spacing w:before="69" w:beforeAutospacing="0" w:after="0" w:afterAutospacing="0" w:line="221" w:lineRule="auto"/>
              <w:ind w:left="373" w:right="0"/>
              <w:rPr>
                <w:rFonts w:hint="default"/>
              </w:rPr>
            </w:pPr>
            <w:r>
              <w:rPr>
                <w:rFonts w:hint="default"/>
                <w:spacing w:val="-2"/>
              </w:rPr>
              <w:t>企业资质等级</w:t>
            </w:r>
          </w:p>
        </w:tc>
        <w:tc>
          <w:tcPr>
            <w:tcW w:w="3683" w:type="dxa"/>
            <w:gridSpan w:val="3"/>
            <w:vAlign w:val="top"/>
          </w:tcPr>
          <w:p>
            <w:pPr>
              <w:keepNext w:val="0"/>
              <w:keepLines w:val="0"/>
              <w:suppressLineNumbers w:val="0"/>
              <w:spacing w:before="0" w:beforeAutospacing="0" w:after="0" w:afterAutospacing="0"/>
              <w:ind w:left="0" w:right="0"/>
              <w:rPr>
                <w:rFonts w:hint="default" w:ascii="Arial"/>
                <w:sz w:val="21"/>
              </w:rPr>
            </w:pPr>
          </w:p>
        </w:tc>
        <w:tc>
          <w:tcPr>
            <w:tcW w:w="456" w:type="dxa"/>
            <w:vMerge w:val="restart"/>
            <w:tcBorders>
              <w:bottom w:val="nil"/>
            </w:tcBorders>
            <w:textDirection w:val="tbRlV"/>
            <w:vAlign w:val="top"/>
          </w:tcPr>
          <w:p>
            <w:pPr>
              <w:pStyle w:val="72"/>
              <w:keepNext w:val="0"/>
              <w:keepLines w:val="0"/>
              <w:suppressLineNumbers w:val="0"/>
              <w:spacing w:before="118" w:beforeAutospacing="0" w:after="0" w:afterAutospacing="0" w:line="209" w:lineRule="auto"/>
              <w:ind w:left="854" w:right="0"/>
              <w:rPr>
                <w:rFonts w:hint="default"/>
              </w:rPr>
            </w:pPr>
            <w:r>
              <w:rPr>
                <w:rFonts w:hint="default"/>
                <w:spacing w:val="1"/>
              </w:rPr>
              <w:t>其中</w:t>
            </w:r>
          </w:p>
        </w:tc>
        <w:tc>
          <w:tcPr>
            <w:tcW w:w="1829" w:type="dxa"/>
            <w:gridSpan w:val="2"/>
            <w:vAlign w:val="top"/>
          </w:tcPr>
          <w:p>
            <w:pPr>
              <w:pStyle w:val="72"/>
              <w:keepNext w:val="0"/>
              <w:keepLines w:val="0"/>
              <w:suppressLineNumbers w:val="0"/>
              <w:spacing w:before="70" w:beforeAutospacing="0" w:after="0" w:afterAutospacing="0" w:line="221" w:lineRule="auto"/>
              <w:ind w:left="504" w:right="0"/>
              <w:rPr>
                <w:rFonts w:hint="default"/>
              </w:rPr>
            </w:pPr>
            <w:r>
              <w:rPr>
                <w:rFonts w:hint="default"/>
                <w:spacing w:val="-3"/>
              </w:rPr>
              <w:t>项目经理</w:t>
            </w:r>
          </w:p>
        </w:tc>
        <w:tc>
          <w:tcPr>
            <w:tcW w:w="123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1988" w:type="dxa"/>
            <w:vAlign w:val="top"/>
          </w:tcPr>
          <w:p>
            <w:pPr>
              <w:pStyle w:val="72"/>
              <w:keepNext w:val="0"/>
              <w:keepLines w:val="0"/>
              <w:suppressLineNumbers w:val="0"/>
              <w:spacing w:before="70" w:beforeAutospacing="0" w:after="0" w:afterAutospacing="0" w:line="220" w:lineRule="auto"/>
              <w:ind w:left="579" w:right="0"/>
              <w:rPr>
                <w:rFonts w:hint="default"/>
              </w:rPr>
            </w:pPr>
            <w:r>
              <w:rPr>
                <w:rFonts w:hint="default"/>
                <w:spacing w:val="-2"/>
              </w:rPr>
              <w:t>注册资本</w:t>
            </w:r>
          </w:p>
        </w:tc>
        <w:tc>
          <w:tcPr>
            <w:tcW w:w="3683" w:type="dxa"/>
            <w:gridSpan w:val="3"/>
            <w:vAlign w:val="top"/>
          </w:tcPr>
          <w:p>
            <w:pPr>
              <w:keepNext w:val="0"/>
              <w:keepLines w:val="0"/>
              <w:suppressLineNumbers w:val="0"/>
              <w:spacing w:before="0" w:beforeAutospacing="0" w:after="0" w:afterAutospacing="0"/>
              <w:ind w:left="0" w:right="0"/>
              <w:rPr>
                <w:rFonts w:hint="default" w:ascii="Arial"/>
                <w:sz w:val="21"/>
              </w:rPr>
            </w:pPr>
          </w:p>
        </w:tc>
        <w:tc>
          <w:tcPr>
            <w:tcW w:w="456" w:type="dxa"/>
            <w:vMerge w:val="continue"/>
            <w:tcBorders>
              <w:top w:val="nil"/>
              <w:bottom w:val="nil"/>
            </w:tcBorders>
            <w:textDirection w:val="tbRlV"/>
            <w:vAlign w:val="top"/>
          </w:tcPr>
          <w:p>
            <w:pPr>
              <w:keepNext w:val="0"/>
              <w:keepLines w:val="0"/>
              <w:suppressLineNumbers w:val="0"/>
              <w:spacing w:before="0" w:beforeAutospacing="0" w:after="0" w:afterAutospacing="0"/>
              <w:ind w:left="0" w:right="0"/>
              <w:rPr>
                <w:rFonts w:hint="default" w:ascii="Arial"/>
                <w:sz w:val="21"/>
              </w:rPr>
            </w:pPr>
          </w:p>
        </w:tc>
        <w:tc>
          <w:tcPr>
            <w:tcW w:w="1829" w:type="dxa"/>
            <w:gridSpan w:val="2"/>
            <w:vAlign w:val="top"/>
          </w:tcPr>
          <w:p>
            <w:pPr>
              <w:pStyle w:val="72"/>
              <w:keepNext w:val="0"/>
              <w:keepLines w:val="0"/>
              <w:suppressLineNumbers w:val="0"/>
              <w:spacing w:before="69" w:beforeAutospacing="0" w:after="0" w:afterAutospacing="0" w:line="221" w:lineRule="auto"/>
              <w:ind w:left="295" w:right="0"/>
              <w:rPr>
                <w:rFonts w:hint="default"/>
              </w:rPr>
            </w:pPr>
            <w:r>
              <w:rPr>
                <w:rFonts w:hint="default"/>
                <w:spacing w:val="-2"/>
              </w:rPr>
              <w:t>高级职称人员</w:t>
            </w:r>
          </w:p>
        </w:tc>
        <w:tc>
          <w:tcPr>
            <w:tcW w:w="123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1988" w:type="dxa"/>
            <w:vAlign w:val="top"/>
          </w:tcPr>
          <w:p>
            <w:pPr>
              <w:pStyle w:val="72"/>
              <w:keepNext w:val="0"/>
              <w:keepLines w:val="0"/>
              <w:suppressLineNumbers w:val="0"/>
              <w:spacing w:before="71" w:beforeAutospacing="0" w:after="0" w:afterAutospacing="0" w:line="221" w:lineRule="auto"/>
              <w:ind w:left="580" w:right="0"/>
              <w:rPr>
                <w:rFonts w:hint="default"/>
              </w:rPr>
            </w:pPr>
            <w:r>
              <w:rPr>
                <w:rFonts w:hint="default"/>
                <w:spacing w:val="-2"/>
              </w:rPr>
              <w:t>成立日期</w:t>
            </w:r>
          </w:p>
        </w:tc>
        <w:tc>
          <w:tcPr>
            <w:tcW w:w="3683" w:type="dxa"/>
            <w:gridSpan w:val="3"/>
            <w:vAlign w:val="top"/>
          </w:tcPr>
          <w:p>
            <w:pPr>
              <w:keepNext w:val="0"/>
              <w:keepLines w:val="0"/>
              <w:suppressLineNumbers w:val="0"/>
              <w:spacing w:before="0" w:beforeAutospacing="0" w:after="0" w:afterAutospacing="0"/>
              <w:ind w:left="0" w:right="0"/>
              <w:rPr>
                <w:rFonts w:hint="default" w:ascii="Arial"/>
                <w:sz w:val="21"/>
              </w:rPr>
            </w:pPr>
          </w:p>
        </w:tc>
        <w:tc>
          <w:tcPr>
            <w:tcW w:w="456" w:type="dxa"/>
            <w:vMerge w:val="continue"/>
            <w:tcBorders>
              <w:top w:val="nil"/>
              <w:bottom w:val="nil"/>
            </w:tcBorders>
            <w:textDirection w:val="tbRlV"/>
            <w:vAlign w:val="top"/>
          </w:tcPr>
          <w:p>
            <w:pPr>
              <w:keepNext w:val="0"/>
              <w:keepLines w:val="0"/>
              <w:suppressLineNumbers w:val="0"/>
              <w:spacing w:before="0" w:beforeAutospacing="0" w:after="0" w:afterAutospacing="0"/>
              <w:ind w:left="0" w:right="0"/>
              <w:rPr>
                <w:rFonts w:hint="default" w:ascii="Arial"/>
                <w:sz w:val="21"/>
              </w:rPr>
            </w:pPr>
          </w:p>
        </w:tc>
        <w:tc>
          <w:tcPr>
            <w:tcW w:w="1829" w:type="dxa"/>
            <w:gridSpan w:val="2"/>
            <w:vAlign w:val="top"/>
          </w:tcPr>
          <w:p>
            <w:pPr>
              <w:pStyle w:val="72"/>
              <w:keepNext w:val="0"/>
              <w:keepLines w:val="0"/>
              <w:suppressLineNumbers w:val="0"/>
              <w:spacing w:before="71" w:beforeAutospacing="0" w:after="0" w:afterAutospacing="0" w:line="221" w:lineRule="auto"/>
              <w:ind w:left="309" w:right="0"/>
              <w:rPr>
                <w:rFonts w:hint="default"/>
              </w:rPr>
            </w:pPr>
            <w:r>
              <w:rPr>
                <w:rFonts w:hint="default"/>
                <w:spacing w:val="-5"/>
              </w:rPr>
              <w:t>中级职称人员</w:t>
            </w:r>
          </w:p>
        </w:tc>
        <w:tc>
          <w:tcPr>
            <w:tcW w:w="123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988" w:type="dxa"/>
            <w:vAlign w:val="top"/>
          </w:tcPr>
          <w:p>
            <w:pPr>
              <w:pStyle w:val="72"/>
              <w:keepNext w:val="0"/>
              <w:keepLines w:val="0"/>
              <w:suppressLineNumbers w:val="0"/>
              <w:spacing w:before="71" w:beforeAutospacing="0" w:after="0" w:afterAutospacing="0" w:line="220" w:lineRule="auto"/>
              <w:ind w:left="159" w:right="0"/>
              <w:rPr>
                <w:rFonts w:hint="default"/>
              </w:rPr>
            </w:pPr>
            <w:r>
              <w:rPr>
                <w:rFonts w:hint="default"/>
                <w:spacing w:val="-1"/>
              </w:rPr>
              <w:t>基本账户开户银行</w:t>
            </w:r>
          </w:p>
        </w:tc>
        <w:tc>
          <w:tcPr>
            <w:tcW w:w="3683" w:type="dxa"/>
            <w:gridSpan w:val="3"/>
            <w:vAlign w:val="top"/>
          </w:tcPr>
          <w:p>
            <w:pPr>
              <w:keepNext w:val="0"/>
              <w:keepLines w:val="0"/>
              <w:suppressLineNumbers w:val="0"/>
              <w:spacing w:before="0" w:beforeAutospacing="0" w:after="0" w:afterAutospacing="0"/>
              <w:ind w:left="0" w:right="0"/>
              <w:rPr>
                <w:rFonts w:hint="default" w:ascii="Arial"/>
                <w:sz w:val="21"/>
              </w:rPr>
            </w:pPr>
          </w:p>
        </w:tc>
        <w:tc>
          <w:tcPr>
            <w:tcW w:w="456" w:type="dxa"/>
            <w:vMerge w:val="continue"/>
            <w:tcBorders>
              <w:top w:val="nil"/>
              <w:bottom w:val="nil"/>
            </w:tcBorders>
            <w:textDirection w:val="tbRlV"/>
            <w:vAlign w:val="top"/>
          </w:tcPr>
          <w:p>
            <w:pPr>
              <w:keepNext w:val="0"/>
              <w:keepLines w:val="0"/>
              <w:suppressLineNumbers w:val="0"/>
              <w:spacing w:before="0" w:beforeAutospacing="0" w:after="0" w:afterAutospacing="0"/>
              <w:ind w:left="0" w:right="0"/>
              <w:rPr>
                <w:rFonts w:hint="default" w:ascii="Arial"/>
                <w:sz w:val="21"/>
              </w:rPr>
            </w:pPr>
          </w:p>
        </w:tc>
        <w:tc>
          <w:tcPr>
            <w:tcW w:w="1829" w:type="dxa"/>
            <w:gridSpan w:val="2"/>
            <w:vAlign w:val="top"/>
          </w:tcPr>
          <w:p>
            <w:pPr>
              <w:pStyle w:val="72"/>
              <w:keepNext w:val="0"/>
              <w:keepLines w:val="0"/>
              <w:suppressLineNumbers w:val="0"/>
              <w:spacing w:before="71" w:beforeAutospacing="0" w:after="0" w:afterAutospacing="0" w:line="222" w:lineRule="auto"/>
              <w:ind w:left="289" w:right="0"/>
              <w:rPr>
                <w:rFonts w:hint="default"/>
              </w:rPr>
            </w:pPr>
            <w:r>
              <w:rPr>
                <w:rFonts w:hint="default"/>
                <w:spacing w:val="-1"/>
              </w:rPr>
              <w:t>初级职称人员</w:t>
            </w:r>
          </w:p>
        </w:tc>
        <w:tc>
          <w:tcPr>
            <w:tcW w:w="123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1988" w:type="dxa"/>
            <w:vAlign w:val="top"/>
          </w:tcPr>
          <w:p>
            <w:pPr>
              <w:pStyle w:val="72"/>
              <w:keepNext w:val="0"/>
              <w:keepLines w:val="0"/>
              <w:suppressLineNumbers w:val="0"/>
              <w:spacing w:before="71" w:beforeAutospacing="0" w:after="0" w:afterAutospacing="0" w:line="220" w:lineRule="auto"/>
              <w:ind w:left="159" w:right="0"/>
              <w:rPr>
                <w:rFonts w:hint="default"/>
              </w:rPr>
            </w:pPr>
            <w:r>
              <w:rPr>
                <w:rFonts w:hint="default"/>
                <w:spacing w:val="-1"/>
              </w:rPr>
              <w:t>基本账户银行账号</w:t>
            </w:r>
          </w:p>
        </w:tc>
        <w:tc>
          <w:tcPr>
            <w:tcW w:w="3683" w:type="dxa"/>
            <w:gridSpan w:val="3"/>
            <w:vAlign w:val="top"/>
          </w:tcPr>
          <w:p>
            <w:pPr>
              <w:keepNext w:val="0"/>
              <w:keepLines w:val="0"/>
              <w:suppressLineNumbers w:val="0"/>
              <w:spacing w:before="0" w:beforeAutospacing="0" w:after="0" w:afterAutospacing="0"/>
              <w:ind w:left="0" w:right="0"/>
              <w:rPr>
                <w:rFonts w:hint="default" w:ascii="Arial"/>
                <w:sz w:val="21"/>
              </w:rPr>
            </w:pPr>
          </w:p>
        </w:tc>
        <w:tc>
          <w:tcPr>
            <w:tcW w:w="456" w:type="dxa"/>
            <w:vMerge w:val="continue"/>
            <w:tcBorders>
              <w:top w:val="nil"/>
            </w:tcBorders>
            <w:textDirection w:val="tbRlV"/>
            <w:vAlign w:val="top"/>
          </w:tcPr>
          <w:p>
            <w:pPr>
              <w:keepNext w:val="0"/>
              <w:keepLines w:val="0"/>
              <w:suppressLineNumbers w:val="0"/>
              <w:spacing w:before="0" w:beforeAutospacing="0" w:after="0" w:afterAutospacing="0"/>
              <w:ind w:left="0" w:right="0"/>
              <w:rPr>
                <w:rFonts w:hint="default" w:ascii="Arial"/>
                <w:sz w:val="21"/>
              </w:rPr>
            </w:pPr>
          </w:p>
        </w:tc>
        <w:tc>
          <w:tcPr>
            <w:tcW w:w="1829" w:type="dxa"/>
            <w:gridSpan w:val="2"/>
            <w:vAlign w:val="top"/>
          </w:tcPr>
          <w:p>
            <w:pPr>
              <w:pStyle w:val="72"/>
              <w:keepNext w:val="0"/>
              <w:keepLines w:val="0"/>
              <w:suppressLineNumbers w:val="0"/>
              <w:spacing w:before="71" w:beforeAutospacing="0" w:after="0" w:afterAutospacing="0" w:line="222" w:lineRule="auto"/>
              <w:ind w:left="710" w:right="0"/>
              <w:rPr>
                <w:rFonts w:hint="default"/>
              </w:rPr>
            </w:pPr>
            <w:r>
              <w:rPr>
                <w:rFonts w:hint="default"/>
                <w:spacing w:val="-2"/>
              </w:rPr>
              <w:t>技工</w:t>
            </w:r>
          </w:p>
        </w:tc>
        <w:tc>
          <w:tcPr>
            <w:tcW w:w="123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1" w:hRule="atLeast"/>
        </w:trPr>
        <w:tc>
          <w:tcPr>
            <w:tcW w:w="1988" w:type="dxa"/>
            <w:vAlign w:val="top"/>
          </w:tcPr>
          <w:p>
            <w:pPr>
              <w:keepNext w:val="0"/>
              <w:keepLines w:val="0"/>
              <w:suppressLineNumbers w:val="0"/>
              <w:spacing w:before="0" w:beforeAutospacing="0" w:after="0" w:afterAutospacing="0" w:line="246" w:lineRule="auto"/>
              <w:ind w:left="0" w:right="0"/>
              <w:rPr>
                <w:rFonts w:hint="default" w:ascii="Arial"/>
                <w:sz w:val="21"/>
              </w:rPr>
            </w:pPr>
          </w:p>
          <w:p>
            <w:pPr>
              <w:keepNext w:val="0"/>
              <w:keepLines w:val="0"/>
              <w:suppressLineNumbers w:val="0"/>
              <w:spacing w:before="0" w:beforeAutospacing="0" w:after="0" w:afterAutospacing="0" w:line="246" w:lineRule="auto"/>
              <w:ind w:left="0" w:right="0"/>
              <w:rPr>
                <w:rFonts w:hint="default" w:ascii="Arial"/>
                <w:sz w:val="21"/>
              </w:rPr>
            </w:pPr>
          </w:p>
          <w:p>
            <w:pPr>
              <w:keepNext w:val="0"/>
              <w:keepLines w:val="0"/>
              <w:suppressLineNumbers w:val="0"/>
              <w:spacing w:before="0" w:beforeAutospacing="0" w:after="0" w:afterAutospacing="0" w:line="246" w:lineRule="auto"/>
              <w:ind w:left="0" w:right="0"/>
              <w:rPr>
                <w:rFonts w:hint="default" w:ascii="Arial"/>
                <w:sz w:val="21"/>
              </w:rPr>
            </w:pPr>
          </w:p>
          <w:p>
            <w:pPr>
              <w:keepNext w:val="0"/>
              <w:keepLines w:val="0"/>
              <w:suppressLineNumbers w:val="0"/>
              <w:spacing w:before="0" w:beforeAutospacing="0" w:after="0" w:afterAutospacing="0" w:line="246" w:lineRule="auto"/>
              <w:ind w:left="0" w:right="0"/>
              <w:rPr>
                <w:rFonts w:hint="default" w:ascii="Arial"/>
                <w:sz w:val="21"/>
              </w:rPr>
            </w:pPr>
          </w:p>
          <w:p>
            <w:pPr>
              <w:pStyle w:val="72"/>
              <w:keepNext w:val="0"/>
              <w:keepLines w:val="0"/>
              <w:suppressLineNumbers w:val="0"/>
              <w:spacing w:before="68" w:beforeAutospacing="0" w:after="0" w:afterAutospacing="0" w:line="221" w:lineRule="auto"/>
              <w:ind w:left="580" w:right="0"/>
              <w:rPr>
                <w:rFonts w:hint="default"/>
              </w:rPr>
            </w:pPr>
            <w:r>
              <w:rPr>
                <w:rFonts w:hint="default"/>
                <w:spacing w:val="-2"/>
              </w:rPr>
              <w:t>经营范围</w:t>
            </w:r>
          </w:p>
        </w:tc>
        <w:tc>
          <w:tcPr>
            <w:tcW w:w="7198" w:type="dxa"/>
            <w:gridSpan w:val="7"/>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988" w:type="dxa"/>
            <w:vAlign w:val="top"/>
          </w:tcPr>
          <w:p>
            <w:pPr>
              <w:pStyle w:val="72"/>
              <w:keepNext w:val="0"/>
              <w:keepLines w:val="0"/>
              <w:suppressLineNumbers w:val="0"/>
              <w:spacing w:before="78" w:beforeAutospacing="0" w:after="0" w:afterAutospacing="0" w:line="222" w:lineRule="auto"/>
              <w:ind w:left="792" w:right="0"/>
              <w:rPr>
                <w:rFonts w:hint="default"/>
              </w:rPr>
            </w:pPr>
            <w:r>
              <w:rPr>
                <w:rFonts w:hint="default"/>
                <w:spacing w:val="-3"/>
              </w:rPr>
              <w:t>备注</w:t>
            </w:r>
          </w:p>
        </w:tc>
        <w:tc>
          <w:tcPr>
            <w:tcW w:w="7198" w:type="dxa"/>
            <w:gridSpan w:val="7"/>
            <w:vAlign w:val="top"/>
          </w:tcPr>
          <w:p>
            <w:pPr>
              <w:keepNext w:val="0"/>
              <w:keepLines w:val="0"/>
              <w:suppressLineNumbers w:val="0"/>
              <w:spacing w:before="0" w:beforeAutospacing="0" w:after="0" w:afterAutospacing="0"/>
              <w:ind w:left="0" w:right="0"/>
              <w:rPr>
                <w:rFonts w:hint="default" w:ascii="Arial"/>
                <w:sz w:val="21"/>
              </w:rPr>
            </w:pPr>
          </w:p>
        </w:tc>
      </w:tr>
    </w:tbl>
    <w:p>
      <w:pPr>
        <w:spacing w:before="120" w:line="220" w:lineRule="auto"/>
        <w:ind w:left="373"/>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注：投标人应根据招标文件第二章“投标人须知”第</w:t>
      </w:r>
      <w:r>
        <w:rPr>
          <w:rFonts w:ascii="Times New Roman" w:hAnsi="Times New Roman" w:eastAsia="Times New Roman" w:cs="Times New Roman"/>
          <w:b/>
          <w:bCs/>
          <w:spacing w:val="-1"/>
          <w:sz w:val="21"/>
          <w:szCs w:val="21"/>
        </w:rPr>
        <w:t>3.5.1</w:t>
      </w:r>
      <w:r>
        <w:rPr>
          <w:rFonts w:ascii="宋体" w:hAnsi="宋体" w:eastAsia="宋体" w:cs="宋体"/>
          <w:spacing w:val="-1"/>
          <w:sz w:val="21"/>
          <w:szCs w:val="21"/>
          <w14:textOutline w14:w="3831" w14:cap="flat" w14:cmpd="sng">
            <w14:solidFill>
              <w14:srgbClr w14:val="000000"/>
            </w14:solidFill>
            <w14:prstDash w14:val="solid"/>
            <w14:miter w14:val="0"/>
          </w14:textOutline>
        </w:rPr>
        <w:t>项的要求在本表后附相关证明材料。</w:t>
      </w:r>
    </w:p>
    <w:p>
      <w:pPr>
        <w:spacing w:line="220" w:lineRule="auto"/>
        <w:rPr>
          <w:rFonts w:ascii="宋体" w:hAnsi="宋体" w:eastAsia="宋体" w:cs="宋体"/>
          <w:sz w:val="21"/>
          <w:szCs w:val="21"/>
        </w:rPr>
        <w:sectPr>
          <w:footerReference r:id="rId35" w:type="default"/>
          <w:pgSz w:w="11907" w:h="16841"/>
          <w:pgMar w:top="1431" w:right="1356" w:bottom="1216" w:left="1358" w:header="0" w:footer="1055" w:gutter="0"/>
          <w:pgNumType w:fmt="decimal"/>
          <w:cols w:space="720" w:num="1"/>
        </w:sectPr>
      </w:pPr>
    </w:p>
    <w:p>
      <w:pPr>
        <w:spacing w:before="41" w:line="221" w:lineRule="auto"/>
        <w:ind w:left="3389"/>
        <w:rPr>
          <w:rFonts w:ascii="宋体" w:hAnsi="宋体" w:eastAsia="宋体" w:cs="宋体"/>
          <w:sz w:val="21"/>
          <w:szCs w:val="21"/>
        </w:rPr>
      </w:pPr>
      <w:r>
        <w:rPr>
          <w:rFonts w:ascii="宋体" w:hAnsi="宋体" w:eastAsia="宋体" w:cs="宋体"/>
          <w:spacing w:val="-2"/>
          <w:sz w:val="21"/>
          <w:szCs w:val="21"/>
          <w14:textOutline w14:w="3831" w14:cap="flat" w14:cmpd="sng">
            <w14:solidFill>
              <w14:srgbClr w14:val="000000"/>
            </w14:solidFill>
            <w14:prstDash w14:val="solid"/>
            <w14:miter w14:val="0"/>
          </w14:textOutline>
        </w:rPr>
        <w:t>（二）投标人企业组织结构框图</w:t>
      </w:r>
    </w:p>
    <w:p>
      <w:pPr>
        <w:spacing w:line="146" w:lineRule="exact"/>
      </w:pPr>
    </w:p>
    <w:tbl>
      <w:tblPr>
        <w:tblStyle w:val="68"/>
        <w:tblW w:w="9120"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9120"/>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8871" w:hRule="atLeast"/>
        </w:trPr>
        <w:tc>
          <w:tcPr>
            <w:tcW w:w="9120" w:type="dxa"/>
            <w:tcBorders>
              <w:bottom w:val="single" w:color="000000" w:sz="4" w:space="0"/>
            </w:tcBorders>
            <w:vAlign w:val="top"/>
          </w:tcPr>
          <w:p>
            <w:pPr>
              <w:pStyle w:val="72"/>
              <w:keepNext w:val="0"/>
              <w:keepLines w:val="0"/>
              <w:suppressLineNumbers w:val="0"/>
              <w:spacing w:before="306" w:beforeAutospacing="0" w:after="0" w:afterAutospacing="0" w:line="221" w:lineRule="auto"/>
              <w:ind w:left="549" w:right="0"/>
              <w:rPr>
                <w:rFonts w:hint="default"/>
              </w:rPr>
            </w:pPr>
            <w:r>
              <w:rPr>
                <w:rFonts w:hint="default"/>
                <w:spacing w:val="-4"/>
              </w:rPr>
              <w:t>以框图方式表示。</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833" w:hRule="atLeast"/>
        </w:trPr>
        <w:tc>
          <w:tcPr>
            <w:tcW w:w="9120" w:type="dxa"/>
            <w:tcBorders>
              <w:top w:val="single" w:color="000000" w:sz="4" w:space="0"/>
            </w:tcBorders>
            <w:vAlign w:val="top"/>
          </w:tcPr>
          <w:p>
            <w:pPr>
              <w:keepNext w:val="0"/>
              <w:keepLines w:val="0"/>
              <w:suppressLineNumbers w:val="0"/>
              <w:spacing w:before="0" w:beforeAutospacing="0" w:after="0" w:afterAutospacing="0" w:line="249" w:lineRule="auto"/>
              <w:ind w:left="0" w:right="0"/>
              <w:rPr>
                <w:rFonts w:hint="default" w:ascii="Arial"/>
                <w:sz w:val="21"/>
              </w:rPr>
            </w:pPr>
          </w:p>
          <w:p>
            <w:pPr>
              <w:pStyle w:val="72"/>
              <w:keepNext w:val="0"/>
              <w:keepLines w:val="0"/>
              <w:suppressLineNumbers w:val="0"/>
              <w:spacing w:before="68" w:beforeAutospacing="0" w:after="0" w:afterAutospacing="0" w:line="221" w:lineRule="auto"/>
              <w:ind w:left="528" w:right="0"/>
              <w:rPr>
                <w:rFonts w:hint="default"/>
              </w:rPr>
            </w:pPr>
            <w:r>
              <w:rPr>
                <w:rFonts w:hint="default"/>
                <w:spacing w:val="-3"/>
              </w:rPr>
              <w:t>说明</w:t>
            </w:r>
          </w:p>
        </w:tc>
      </w:tr>
    </w:tbl>
    <w:p>
      <w:pPr>
        <w:pStyle w:val="8"/>
      </w:pPr>
    </w:p>
    <w:p>
      <w:pPr>
        <w:sectPr>
          <w:footerReference r:id="rId36" w:type="default"/>
          <w:pgSz w:w="11907" w:h="16841"/>
          <w:pgMar w:top="1427" w:right="1377" w:bottom="1216" w:left="1382" w:header="0" w:footer="1055" w:gutter="0"/>
          <w:pgNumType w:fmt="decimal"/>
          <w:cols w:space="720" w:num="1"/>
        </w:sectPr>
      </w:pPr>
    </w:p>
    <w:p>
      <w:pPr>
        <w:spacing w:before="309" w:line="221" w:lineRule="auto"/>
        <w:ind w:left="3931"/>
        <w:rPr>
          <w:rFonts w:hint="eastAsia" w:ascii="宋体" w:hAnsi="宋体" w:eastAsia="宋体" w:cs="宋体"/>
          <w:sz w:val="21"/>
          <w:szCs w:val="21"/>
          <w:lang w:eastAsia="zh-CN"/>
        </w:rPr>
      </w:pPr>
      <w:r>
        <w:rPr>
          <w:rFonts w:ascii="宋体" w:hAnsi="宋体" w:eastAsia="宋体" w:cs="宋体"/>
          <w:spacing w:val="-2"/>
          <w:sz w:val="21"/>
          <w:szCs w:val="21"/>
          <w14:textOutline w14:w="3831" w14:cap="flat" w14:cmpd="sng">
            <w14:solidFill>
              <w14:srgbClr w14:val="000000"/>
            </w14:solidFill>
            <w14:prstDash w14:val="solid"/>
            <w14:miter w14:val="0"/>
          </w14:textOutline>
        </w:rPr>
        <w:t>（三）近年财务状况</w:t>
      </w:r>
      <w:r>
        <w:rPr>
          <w:rFonts w:hint="eastAsia" w:ascii="宋体" w:hAnsi="宋体" w:cs="宋体"/>
          <w:spacing w:val="-2"/>
          <w:sz w:val="21"/>
          <w:szCs w:val="21"/>
          <w:lang w:eastAsia="zh-CN"/>
          <w14:textOutline w14:w="3831" w14:cap="flat" w14:cmpd="sng">
            <w14:solidFill>
              <w14:srgbClr w14:val="000000"/>
            </w14:solidFill>
            <w14:prstDash w14:val="solid"/>
            <w14:miter w14:val="0"/>
          </w14:textOutline>
        </w:rPr>
        <w:t>（</w:t>
      </w:r>
      <w:r>
        <w:rPr>
          <w:rFonts w:hint="eastAsia" w:ascii="宋体" w:hAnsi="宋体" w:cs="宋体"/>
          <w:spacing w:val="-2"/>
          <w:sz w:val="21"/>
          <w:szCs w:val="21"/>
          <w:lang w:val="en-US" w:eastAsia="zh-CN"/>
          <w14:textOutline w14:w="3831" w14:cap="flat" w14:cmpd="sng">
            <w14:solidFill>
              <w14:srgbClr w14:val="000000"/>
            </w14:solidFill>
            <w14:prstDash w14:val="solid"/>
            <w14:miter w14:val="0"/>
          </w14:textOutline>
        </w:rPr>
        <w:t>本项目不适用</w:t>
      </w:r>
      <w:r>
        <w:rPr>
          <w:rFonts w:hint="eastAsia" w:ascii="宋体" w:hAnsi="宋体" w:cs="宋体"/>
          <w:spacing w:val="-2"/>
          <w:sz w:val="21"/>
          <w:szCs w:val="21"/>
          <w:lang w:eastAsia="zh-CN"/>
          <w14:textOutline w14:w="3831" w14:cap="flat" w14:cmpd="sng">
            <w14:solidFill>
              <w14:srgbClr w14:val="000000"/>
            </w14:solidFill>
            <w14:prstDash w14:val="solid"/>
            <w14:miter w14:val="0"/>
          </w14:textOutline>
        </w:rPr>
        <w:t>）</w:t>
      </w:r>
    </w:p>
    <w:p>
      <w:pPr>
        <w:pStyle w:val="8"/>
        <w:spacing w:line="300" w:lineRule="auto"/>
      </w:pPr>
    </w:p>
    <w:p>
      <w:pPr>
        <w:spacing w:before="68" w:line="220" w:lineRule="auto"/>
        <w:rPr>
          <w:rFonts w:ascii="宋体" w:hAnsi="宋体" w:eastAsia="宋体" w:cs="宋体"/>
          <w:sz w:val="21"/>
          <w:szCs w:val="21"/>
        </w:rPr>
      </w:pPr>
      <w:r>
        <w:rPr>
          <w:rFonts w:ascii="宋体" w:hAnsi="宋体" w:eastAsia="宋体" w:cs="宋体"/>
          <w:spacing w:val="-5"/>
          <w:sz w:val="21"/>
          <w:szCs w:val="21"/>
          <w14:textOutline w14:w="3831" w14:cap="flat" w14:cmpd="sng">
            <w14:solidFill>
              <w14:srgbClr w14:val="000000"/>
            </w14:solidFill>
            <w14:prstDash w14:val="solid"/>
            <w14:miter w14:val="0"/>
          </w14:textOutline>
        </w:rPr>
        <w:t>注：投标人应根据招标文件第二章“投标人须知</w:t>
      </w:r>
      <w:r>
        <w:rPr>
          <w:rFonts w:ascii="宋体" w:hAnsi="宋体" w:eastAsia="宋体" w:cs="宋体"/>
          <w:spacing w:val="-6"/>
          <w:sz w:val="21"/>
          <w:szCs w:val="21"/>
          <w14:textOutline w14:w="3831" w14:cap="flat" w14:cmpd="sng">
            <w14:solidFill>
              <w14:srgbClr w14:val="000000"/>
            </w14:solidFill>
            <w14:prstDash w14:val="solid"/>
            <w14:miter w14:val="0"/>
          </w14:textOutline>
        </w:rPr>
        <w:t>”第</w:t>
      </w:r>
      <w:r>
        <w:rPr>
          <w:rFonts w:ascii="Times New Roman" w:hAnsi="Times New Roman" w:eastAsia="Times New Roman" w:cs="Times New Roman"/>
          <w:b/>
          <w:bCs/>
          <w:spacing w:val="-6"/>
          <w:sz w:val="21"/>
          <w:szCs w:val="21"/>
        </w:rPr>
        <w:t>3.5.2</w:t>
      </w:r>
      <w:r>
        <w:rPr>
          <w:rFonts w:ascii="宋体" w:hAnsi="宋体" w:eastAsia="宋体" w:cs="宋体"/>
          <w:spacing w:val="-6"/>
          <w:sz w:val="21"/>
          <w:szCs w:val="21"/>
          <w14:textOutline w14:w="3831" w14:cap="flat" w14:cmpd="sng">
            <w14:solidFill>
              <w14:srgbClr w14:val="000000"/>
            </w14:solidFill>
            <w14:prstDash w14:val="solid"/>
            <w14:miter w14:val="0"/>
          </w14:textOutline>
        </w:rPr>
        <w:t>项的要求后附相关证明材料。</w:t>
      </w:r>
    </w:p>
    <w:p>
      <w:pPr>
        <w:spacing w:line="220" w:lineRule="auto"/>
        <w:rPr>
          <w:rFonts w:ascii="宋体" w:hAnsi="宋体" w:eastAsia="宋体" w:cs="宋体"/>
          <w:sz w:val="21"/>
          <w:szCs w:val="21"/>
        </w:rPr>
        <w:sectPr>
          <w:footerReference r:id="rId37" w:type="default"/>
          <w:pgSz w:w="11907" w:h="16841"/>
          <w:pgMar w:top="1431" w:right="1785" w:bottom="1216" w:left="1088" w:header="0" w:footer="1055" w:gutter="0"/>
          <w:pgNumType w:fmt="decimal"/>
          <w:cols w:space="720" w:num="1"/>
        </w:sectPr>
      </w:pPr>
    </w:p>
    <w:p>
      <w:pPr>
        <w:spacing w:before="68" w:line="221" w:lineRule="auto"/>
        <w:ind w:left="3580"/>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（四）近年完成的类似项目情况表</w:t>
      </w:r>
    </w:p>
    <w:p>
      <w:pPr>
        <w:spacing w:before="15"/>
      </w:pPr>
    </w:p>
    <w:p>
      <w:pPr>
        <w:spacing w:before="15"/>
      </w:pPr>
    </w:p>
    <w:tbl>
      <w:tblPr>
        <w:tblStyle w:val="68"/>
        <w:tblW w:w="8758" w:type="dxa"/>
        <w:tblInd w:w="48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91"/>
        <w:gridCol w:w="64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2291" w:type="dxa"/>
            <w:vAlign w:val="top"/>
          </w:tcPr>
          <w:p>
            <w:pPr>
              <w:pStyle w:val="72"/>
              <w:keepNext w:val="0"/>
              <w:keepLines w:val="0"/>
              <w:suppressLineNumbers w:val="0"/>
              <w:spacing w:before="34" w:beforeAutospacing="0" w:after="0" w:afterAutospacing="0" w:line="222" w:lineRule="auto"/>
              <w:ind w:left="940" w:right="0"/>
              <w:rPr>
                <w:rFonts w:hint="default"/>
              </w:rPr>
            </w:pPr>
            <w:r>
              <w:rPr>
                <w:rFonts w:hint="default"/>
                <w:spacing w:val="-2"/>
              </w:rPr>
              <w:t>序号</w:t>
            </w:r>
          </w:p>
        </w:tc>
        <w:tc>
          <w:tcPr>
            <w:tcW w:w="6467"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2291" w:type="dxa"/>
            <w:vAlign w:val="top"/>
          </w:tcPr>
          <w:p>
            <w:pPr>
              <w:pStyle w:val="72"/>
              <w:keepNext w:val="0"/>
              <w:keepLines w:val="0"/>
              <w:suppressLineNumbers w:val="0"/>
              <w:spacing w:before="30" w:beforeAutospacing="0" w:after="0" w:afterAutospacing="0" w:line="221" w:lineRule="auto"/>
              <w:ind w:left="733" w:right="0"/>
              <w:rPr>
                <w:rFonts w:hint="default"/>
              </w:rPr>
            </w:pPr>
            <w:r>
              <w:rPr>
                <w:rFonts w:hint="default"/>
                <w:spacing w:val="-3"/>
              </w:rPr>
              <w:t>项目名称</w:t>
            </w:r>
          </w:p>
        </w:tc>
        <w:tc>
          <w:tcPr>
            <w:tcW w:w="6467"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291" w:type="dxa"/>
            <w:vAlign w:val="top"/>
          </w:tcPr>
          <w:p>
            <w:pPr>
              <w:pStyle w:val="72"/>
              <w:keepNext w:val="0"/>
              <w:keepLines w:val="0"/>
              <w:suppressLineNumbers w:val="0"/>
              <w:spacing w:before="30" w:beforeAutospacing="0" w:after="0" w:afterAutospacing="0" w:line="221" w:lineRule="auto"/>
              <w:ind w:left="628" w:right="0"/>
              <w:rPr>
                <w:rFonts w:hint="default"/>
              </w:rPr>
            </w:pPr>
            <w:r>
              <w:rPr>
                <w:rFonts w:hint="default"/>
                <w:spacing w:val="-2"/>
              </w:rPr>
              <w:t>项目所在地</w:t>
            </w:r>
          </w:p>
        </w:tc>
        <w:tc>
          <w:tcPr>
            <w:tcW w:w="6467"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2291" w:type="dxa"/>
            <w:vAlign w:val="top"/>
          </w:tcPr>
          <w:p>
            <w:pPr>
              <w:pStyle w:val="72"/>
              <w:keepNext w:val="0"/>
              <w:keepLines w:val="0"/>
              <w:suppressLineNumbers w:val="0"/>
              <w:spacing w:before="30" w:beforeAutospacing="0" w:after="0" w:afterAutospacing="0" w:line="221" w:lineRule="auto"/>
              <w:ind w:left="628" w:right="0"/>
              <w:rPr>
                <w:rFonts w:hint="default"/>
              </w:rPr>
            </w:pPr>
            <w:r>
              <w:rPr>
                <w:rFonts w:hint="default"/>
                <w:spacing w:val="-2"/>
              </w:rPr>
              <w:t>发包人名称</w:t>
            </w:r>
          </w:p>
        </w:tc>
        <w:tc>
          <w:tcPr>
            <w:tcW w:w="6467"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2291" w:type="dxa"/>
            <w:vAlign w:val="top"/>
          </w:tcPr>
          <w:p>
            <w:pPr>
              <w:pStyle w:val="72"/>
              <w:keepNext w:val="0"/>
              <w:keepLines w:val="0"/>
              <w:suppressLineNumbers w:val="0"/>
              <w:spacing w:before="31" w:beforeAutospacing="0" w:after="0" w:afterAutospacing="0" w:line="221" w:lineRule="auto"/>
              <w:ind w:left="628" w:right="0"/>
              <w:rPr>
                <w:rFonts w:hint="default"/>
              </w:rPr>
            </w:pPr>
            <w:r>
              <w:rPr>
                <w:rFonts w:hint="default"/>
                <w:spacing w:val="-2"/>
              </w:rPr>
              <w:t>发包人地址</w:t>
            </w:r>
          </w:p>
        </w:tc>
        <w:tc>
          <w:tcPr>
            <w:tcW w:w="6467"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291" w:type="dxa"/>
            <w:vAlign w:val="top"/>
          </w:tcPr>
          <w:p>
            <w:pPr>
              <w:pStyle w:val="72"/>
              <w:keepNext w:val="0"/>
              <w:keepLines w:val="0"/>
              <w:suppressLineNumbers w:val="0"/>
              <w:spacing w:before="31" w:beforeAutospacing="0" w:after="0" w:afterAutospacing="0" w:line="221" w:lineRule="auto"/>
              <w:ind w:left="628" w:right="0"/>
              <w:rPr>
                <w:rFonts w:hint="default"/>
              </w:rPr>
            </w:pPr>
            <w:r>
              <w:rPr>
                <w:rFonts w:hint="default"/>
                <w:spacing w:val="-2"/>
              </w:rPr>
              <w:t>发包人电话</w:t>
            </w:r>
          </w:p>
        </w:tc>
        <w:tc>
          <w:tcPr>
            <w:tcW w:w="6467"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291" w:type="dxa"/>
            <w:vAlign w:val="top"/>
          </w:tcPr>
          <w:p>
            <w:pPr>
              <w:pStyle w:val="72"/>
              <w:keepNext w:val="0"/>
              <w:keepLines w:val="0"/>
              <w:suppressLineNumbers w:val="0"/>
              <w:spacing w:before="31" w:beforeAutospacing="0" w:after="0" w:afterAutospacing="0" w:line="219" w:lineRule="auto"/>
              <w:ind w:left="731" w:right="0"/>
              <w:rPr>
                <w:rFonts w:hint="default"/>
              </w:rPr>
            </w:pPr>
            <w:r>
              <w:rPr>
                <w:rFonts w:hint="default"/>
                <w:spacing w:val="-2"/>
              </w:rPr>
              <w:t>合同价格</w:t>
            </w:r>
          </w:p>
        </w:tc>
        <w:tc>
          <w:tcPr>
            <w:tcW w:w="6467"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2291" w:type="dxa"/>
            <w:vAlign w:val="top"/>
          </w:tcPr>
          <w:p>
            <w:pPr>
              <w:pStyle w:val="72"/>
              <w:keepNext w:val="0"/>
              <w:keepLines w:val="0"/>
              <w:suppressLineNumbers w:val="0"/>
              <w:spacing w:before="34" w:beforeAutospacing="0" w:after="0" w:afterAutospacing="0" w:line="221" w:lineRule="auto"/>
              <w:ind w:left="731" w:right="0"/>
              <w:rPr>
                <w:rFonts w:hint="default"/>
              </w:rPr>
            </w:pPr>
            <w:r>
              <w:rPr>
                <w:rFonts w:hint="default"/>
                <w:spacing w:val="-2"/>
              </w:rPr>
              <w:t>开工日期</w:t>
            </w:r>
          </w:p>
        </w:tc>
        <w:tc>
          <w:tcPr>
            <w:tcW w:w="6467"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291" w:type="dxa"/>
            <w:vAlign w:val="top"/>
          </w:tcPr>
          <w:p>
            <w:pPr>
              <w:pStyle w:val="72"/>
              <w:keepNext w:val="0"/>
              <w:keepLines w:val="0"/>
              <w:suppressLineNumbers w:val="0"/>
              <w:spacing w:before="32" w:beforeAutospacing="0" w:after="0" w:afterAutospacing="0" w:line="221" w:lineRule="auto"/>
              <w:ind w:left="734" w:right="0"/>
              <w:rPr>
                <w:rFonts w:hint="default"/>
              </w:rPr>
            </w:pPr>
            <w:r>
              <w:rPr>
                <w:rFonts w:hint="default"/>
                <w:spacing w:val="-3"/>
              </w:rPr>
              <w:t>交工日期</w:t>
            </w:r>
          </w:p>
        </w:tc>
        <w:tc>
          <w:tcPr>
            <w:tcW w:w="6467"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2291" w:type="dxa"/>
            <w:vAlign w:val="top"/>
          </w:tcPr>
          <w:p>
            <w:pPr>
              <w:pStyle w:val="72"/>
              <w:keepNext w:val="0"/>
              <w:keepLines w:val="0"/>
              <w:suppressLineNumbers w:val="0"/>
              <w:spacing w:before="32" w:beforeAutospacing="0" w:after="0" w:afterAutospacing="0" w:line="221" w:lineRule="auto"/>
              <w:ind w:left="624" w:right="0"/>
              <w:rPr>
                <w:rFonts w:hint="default"/>
              </w:rPr>
            </w:pPr>
            <w:r>
              <w:rPr>
                <w:rFonts w:hint="default"/>
                <w:spacing w:val="-1"/>
              </w:rPr>
              <w:t>承担的工作</w:t>
            </w:r>
          </w:p>
        </w:tc>
        <w:tc>
          <w:tcPr>
            <w:tcW w:w="6467"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291" w:type="dxa"/>
            <w:vAlign w:val="top"/>
          </w:tcPr>
          <w:p>
            <w:pPr>
              <w:pStyle w:val="72"/>
              <w:keepNext w:val="0"/>
              <w:keepLines w:val="0"/>
              <w:suppressLineNumbers w:val="0"/>
              <w:spacing w:before="32" w:beforeAutospacing="0" w:after="0" w:afterAutospacing="0" w:line="221" w:lineRule="auto"/>
              <w:ind w:left="732" w:right="0"/>
              <w:rPr>
                <w:rFonts w:hint="default"/>
              </w:rPr>
            </w:pPr>
            <w:r>
              <w:rPr>
                <w:rFonts w:hint="default"/>
                <w:spacing w:val="-2"/>
              </w:rPr>
              <w:t>工程质量</w:t>
            </w:r>
          </w:p>
        </w:tc>
        <w:tc>
          <w:tcPr>
            <w:tcW w:w="6467"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2291" w:type="dxa"/>
            <w:vAlign w:val="top"/>
          </w:tcPr>
          <w:p>
            <w:pPr>
              <w:pStyle w:val="72"/>
              <w:keepNext w:val="0"/>
              <w:keepLines w:val="0"/>
              <w:suppressLineNumbers w:val="0"/>
              <w:spacing w:before="50" w:beforeAutospacing="0" w:after="0" w:afterAutospacing="0" w:line="221" w:lineRule="auto"/>
              <w:ind w:left="733" w:right="0"/>
              <w:rPr>
                <w:rFonts w:hint="default"/>
              </w:rPr>
            </w:pPr>
            <w:r>
              <w:rPr>
                <w:rFonts w:hint="default"/>
                <w:spacing w:val="-3"/>
              </w:rPr>
              <w:t>项目经理</w:t>
            </w:r>
          </w:p>
        </w:tc>
        <w:tc>
          <w:tcPr>
            <w:tcW w:w="6467"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2291" w:type="dxa"/>
            <w:vAlign w:val="top"/>
          </w:tcPr>
          <w:p>
            <w:pPr>
              <w:pStyle w:val="72"/>
              <w:keepNext w:val="0"/>
              <w:keepLines w:val="0"/>
              <w:suppressLineNumbers w:val="0"/>
              <w:spacing w:before="34" w:beforeAutospacing="0" w:after="0" w:afterAutospacing="0" w:line="221" w:lineRule="auto"/>
              <w:ind w:left="733" w:right="0"/>
              <w:rPr>
                <w:rFonts w:hint="default"/>
              </w:rPr>
            </w:pPr>
            <w:r>
              <w:rPr>
                <w:rFonts w:hint="default"/>
                <w:spacing w:val="-3"/>
              </w:rPr>
              <w:t>项目总工</w:t>
            </w:r>
          </w:p>
        </w:tc>
        <w:tc>
          <w:tcPr>
            <w:tcW w:w="6467"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2291" w:type="dxa"/>
            <w:vAlign w:val="top"/>
          </w:tcPr>
          <w:p>
            <w:pPr>
              <w:pStyle w:val="72"/>
              <w:keepNext w:val="0"/>
              <w:keepLines w:val="0"/>
              <w:suppressLineNumbers w:val="0"/>
              <w:spacing w:before="105" w:beforeAutospacing="0" w:after="0" w:afterAutospacing="0" w:line="221" w:lineRule="auto"/>
              <w:ind w:left="210" w:right="0"/>
              <w:rPr>
                <w:rFonts w:hint="default"/>
              </w:rPr>
            </w:pPr>
            <w:r>
              <w:rPr>
                <w:rFonts w:hint="default"/>
                <w:spacing w:val="-2"/>
              </w:rPr>
              <w:t>总监理工程师及电话</w:t>
            </w:r>
          </w:p>
        </w:tc>
        <w:tc>
          <w:tcPr>
            <w:tcW w:w="6467"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trPr>
        <w:tc>
          <w:tcPr>
            <w:tcW w:w="2291" w:type="dxa"/>
            <w:vAlign w:val="top"/>
          </w:tcPr>
          <w:p>
            <w:pPr>
              <w:keepNext w:val="0"/>
              <w:keepLines w:val="0"/>
              <w:suppressLineNumbers w:val="0"/>
              <w:spacing w:before="0" w:beforeAutospacing="0" w:after="0" w:afterAutospacing="0" w:line="371" w:lineRule="auto"/>
              <w:ind w:left="0" w:right="0"/>
              <w:rPr>
                <w:rFonts w:hint="default" w:ascii="Arial"/>
                <w:sz w:val="21"/>
              </w:rPr>
            </w:pPr>
          </w:p>
          <w:p>
            <w:pPr>
              <w:pStyle w:val="72"/>
              <w:keepNext w:val="0"/>
              <w:keepLines w:val="0"/>
              <w:suppressLineNumbers w:val="0"/>
              <w:spacing w:before="68" w:beforeAutospacing="0" w:after="0" w:afterAutospacing="0" w:line="221" w:lineRule="auto"/>
              <w:ind w:left="733" w:right="0"/>
              <w:rPr>
                <w:rFonts w:hint="default"/>
              </w:rPr>
            </w:pPr>
            <w:r>
              <w:rPr>
                <w:rFonts w:hint="default"/>
                <w:spacing w:val="-3"/>
              </w:rPr>
              <w:t>项目描述</w:t>
            </w:r>
          </w:p>
        </w:tc>
        <w:tc>
          <w:tcPr>
            <w:tcW w:w="6467"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2291" w:type="dxa"/>
            <w:vAlign w:val="top"/>
          </w:tcPr>
          <w:p>
            <w:pPr>
              <w:pStyle w:val="72"/>
              <w:keepNext w:val="0"/>
              <w:keepLines w:val="0"/>
              <w:suppressLineNumbers w:val="0"/>
              <w:spacing w:before="34" w:beforeAutospacing="0" w:after="0" w:afterAutospacing="0" w:line="222" w:lineRule="auto"/>
              <w:ind w:left="944" w:right="0"/>
              <w:rPr>
                <w:rFonts w:hint="default"/>
              </w:rPr>
            </w:pPr>
            <w:r>
              <w:rPr>
                <w:rFonts w:hint="default"/>
                <w:spacing w:val="-3"/>
              </w:rPr>
              <w:t>备注</w:t>
            </w:r>
          </w:p>
        </w:tc>
        <w:tc>
          <w:tcPr>
            <w:tcW w:w="6467" w:type="dxa"/>
            <w:vAlign w:val="top"/>
          </w:tcPr>
          <w:p>
            <w:pPr>
              <w:keepNext w:val="0"/>
              <w:keepLines w:val="0"/>
              <w:suppressLineNumbers w:val="0"/>
              <w:spacing w:before="0" w:beforeAutospacing="0" w:after="0" w:afterAutospacing="0"/>
              <w:ind w:left="0" w:right="0"/>
              <w:rPr>
                <w:rFonts w:hint="default" w:ascii="Arial"/>
                <w:sz w:val="21"/>
              </w:rPr>
            </w:pPr>
          </w:p>
        </w:tc>
      </w:tr>
    </w:tbl>
    <w:p>
      <w:pPr>
        <w:spacing w:before="124" w:line="234" w:lineRule="auto"/>
        <w:rPr>
          <w:rFonts w:ascii="宋体" w:hAnsi="宋体" w:eastAsia="宋体" w:cs="宋体"/>
          <w:sz w:val="21"/>
          <w:szCs w:val="21"/>
        </w:rPr>
      </w:pPr>
      <w:r>
        <w:rPr>
          <w:rFonts w:ascii="宋体" w:hAnsi="宋体" w:eastAsia="宋体" w:cs="宋体"/>
          <w:spacing w:val="-4"/>
          <w:sz w:val="21"/>
          <w:szCs w:val="21"/>
          <w14:textOutline w14:w="3831" w14:cap="flat" w14:cmpd="sng">
            <w14:solidFill>
              <w14:srgbClr w14:val="000000"/>
            </w14:solidFill>
            <w14:prstDash w14:val="solid"/>
            <w14:miter w14:val="0"/>
          </w14:textOutline>
        </w:rPr>
        <w:t>注：</w:t>
      </w:r>
      <w:r>
        <w:rPr>
          <w:rFonts w:ascii="Times New Roman" w:hAnsi="Times New Roman" w:eastAsia="Times New Roman" w:cs="Times New Roman"/>
          <w:b/>
          <w:bCs/>
          <w:spacing w:val="-4"/>
          <w:sz w:val="21"/>
          <w:szCs w:val="21"/>
        </w:rPr>
        <w:t>1.</w:t>
      </w:r>
      <w:r>
        <w:rPr>
          <w:rFonts w:ascii="宋体" w:hAnsi="宋体" w:eastAsia="宋体" w:cs="宋体"/>
          <w:spacing w:val="-4"/>
          <w:sz w:val="21"/>
          <w:szCs w:val="21"/>
          <w14:textOutline w14:w="3831" w14:cap="flat" w14:cmpd="sng">
            <w14:solidFill>
              <w14:srgbClr w14:val="000000"/>
            </w14:solidFill>
            <w14:prstDash w14:val="solid"/>
            <w14:miter w14:val="0"/>
          </w14:textOutline>
        </w:rPr>
        <w:t>每张表格只填写一个项目，并标明</w:t>
      </w:r>
      <w:r>
        <w:rPr>
          <w:rFonts w:ascii="宋体" w:hAnsi="宋体" w:eastAsia="宋体" w:cs="宋体"/>
          <w:spacing w:val="-5"/>
          <w:sz w:val="21"/>
          <w:szCs w:val="21"/>
          <w14:textOutline w14:w="3831" w14:cap="flat" w14:cmpd="sng">
            <w14:solidFill>
              <w14:srgbClr w14:val="000000"/>
            </w14:solidFill>
            <w14:prstDash w14:val="solid"/>
            <w14:miter w14:val="0"/>
          </w14:textOutline>
        </w:rPr>
        <w:t>序号。</w:t>
      </w:r>
    </w:p>
    <w:p>
      <w:pPr>
        <w:spacing w:before="234" w:line="220" w:lineRule="auto"/>
        <w:ind w:left="395"/>
        <w:outlineLvl w:val="0"/>
        <w:rPr>
          <w:rFonts w:ascii="宋体" w:hAnsi="宋体" w:eastAsia="宋体" w:cs="宋体"/>
          <w:sz w:val="21"/>
          <w:szCs w:val="21"/>
        </w:rPr>
      </w:pPr>
      <w:bookmarkStart w:id="208" w:name="_Toc30055"/>
      <w:r>
        <w:rPr>
          <w:rFonts w:ascii="Times New Roman" w:hAnsi="Times New Roman" w:eastAsia="Times New Roman" w:cs="Times New Roman"/>
          <w:b/>
          <w:bCs/>
          <w:spacing w:val="-5"/>
          <w:sz w:val="21"/>
          <w:szCs w:val="21"/>
        </w:rPr>
        <w:t>2.</w:t>
      </w:r>
      <w:r>
        <w:rPr>
          <w:rFonts w:ascii="宋体" w:hAnsi="宋体" w:eastAsia="宋体" w:cs="宋体"/>
          <w:spacing w:val="-5"/>
          <w:sz w:val="21"/>
          <w:szCs w:val="21"/>
          <w14:textOutline w14:w="3831" w14:cap="flat" w14:cmpd="sng">
            <w14:solidFill>
              <w14:srgbClr w14:val="000000"/>
            </w14:solidFill>
            <w14:prstDash w14:val="solid"/>
            <w14:miter w14:val="0"/>
          </w14:textOutline>
        </w:rPr>
        <w:t>投标人应根据招标文件第二章“投标人须知”第</w:t>
      </w:r>
      <w:r>
        <w:rPr>
          <w:rFonts w:ascii="Times New Roman" w:hAnsi="Times New Roman" w:eastAsia="Times New Roman" w:cs="Times New Roman"/>
          <w:b/>
          <w:bCs/>
          <w:spacing w:val="-5"/>
          <w:sz w:val="21"/>
          <w:szCs w:val="21"/>
        </w:rPr>
        <w:t>3.5.3</w:t>
      </w:r>
      <w:r>
        <w:rPr>
          <w:rFonts w:ascii="宋体" w:hAnsi="宋体" w:eastAsia="宋体" w:cs="宋体"/>
          <w:spacing w:val="-5"/>
          <w:sz w:val="21"/>
          <w:szCs w:val="21"/>
          <w14:textOutline w14:w="3831" w14:cap="flat" w14:cmpd="sng">
            <w14:solidFill>
              <w14:srgbClr w14:val="000000"/>
            </w14:solidFill>
            <w14:prstDash w14:val="solid"/>
            <w14:miter w14:val="0"/>
          </w14:textOutline>
        </w:rPr>
        <w:t>项的要求在本表后附相关证明材料。</w:t>
      </w:r>
      <w:bookmarkEnd w:id="208"/>
    </w:p>
    <w:p>
      <w:pPr>
        <w:spacing w:before="252" w:line="408" w:lineRule="exact"/>
        <w:jc w:val="center"/>
        <w:rPr>
          <w:rFonts w:ascii="宋体" w:hAnsi="宋体" w:eastAsia="宋体" w:cs="宋体"/>
          <w:sz w:val="21"/>
          <w:szCs w:val="21"/>
        </w:rPr>
      </w:pPr>
      <w:r>
        <w:rPr>
          <w:rFonts w:ascii="Times New Roman" w:hAnsi="Times New Roman" w:eastAsia="Times New Roman" w:cs="Times New Roman"/>
          <w:b/>
          <w:bCs/>
          <w:spacing w:val="-6"/>
          <w:position w:val="15"/>
          <w:sz w:val="21"/>
          <w:szCs w:val="21"/>
        </w:rPr>
        <w:t>3.</w:t>
      </w:r>
      <w:r>
        <w:rPr>
          <w:rFonts w:ascii="宋体" w:hAnsi="宋体" w:eastAsia="宋体" w:cs="宋体"/>
          <w:spacing w:val="-6"/>
          <w:position w:val="15"/>
          <w:sz w:val="21"/>
          <w:szCs w:val="21"/>
          <w14:textOutline w14:w="3831" w14:cap="flat" w14:cmpd="sng">
            <w14:solidFill>
              <w14:srgbClr w14:val="000000"/>
            </w14:solidFill>
            <w14:prstDash w14:val="solid"/>
            <w14:miter w14:val="0"/>
          </w14:textOutline>
        </w:rPr>
        <w:t>如近年来，投标人法人机构发生合法变更或重组或法人名称变更时，应提供相关部门的合法批件或其</w:t>
      </w:r>
    </w:p>
    <w:p>
      <w:pPr>
        <w:spacing w:before="1" w:line="219" w:lineRule="auto"/>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他相关证明材料来证明其所附业绩的继承性。</w:t>
      </w:r>
    </w:p>
    <w:p>
      <w:pPr>
        <w:spacing w:line="219" w:lineRule="auto"/>
        <w:rPr>
          <w:rFonts w:ascii="宋体" w:hAnsi="宋体" w:eastAsia="宋体" w:cs="宋体"/>
          <w:sz w:val="21"/>
          <w:szCs w:val="21"/>
        </w:rPr>
        <w:sectPr>
          <w:footerReference r:id="rId38" w:type="default"/>
          <w:pgSz w:w="11907" w:h="16841"/>
          <w:pgMar w:top="1431" w:right="1279" w:bottom="1216" w:left="1088" w:header="0" w:footer="1055" w:gutter="0"/>
          <w:pgNumType w:fmt="decimal"/>
          <w:cols w:space="720" w:num="1"/>
        </w:sectPr>
      </w:pPr>
    </w:p>
    <w:p>
      <w:pPr>
        <w:pStyle w:val="8"/>
        <w:spacing w:line="277" w:lineRule="auto"/>
      </w:pPr>
    </w:p>
    <w:p>
      <w:pPr>
        <w:spacing w:before="69" w:line="220" w:lineRule="auto"/>
        <w:ind w:left="3797"/>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（五）投标人的信誉情况表</w:t>
      </w:r>
    </w:p>
    <w:p>
      <w:pPr>
        <w:spacing w:before="107"/>
      </w:pPr>
    </w:p>
    <w:p>
      <w:pPr>
        <w:spacing w:before="106"/>
      </w:pPr>
    </w:p>
    <w:tbl>
      <w:tblPr>
        <w:tblStyle w:val="68"/>
        <w:tblW w:w="868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69"/>
        <w:gridCol w:w="58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5" w:hRule="atLeast"/>
        </w:trPr>
        <w:tc>
          <w:tcPr>
            <w:tcW w:w="2869" w:type="dxa"/>
            <w:tcBorders>
              <w:left w:val="single" w:color="000000" w:sz="4" w:space="0"/>
            </w:tcBorders>
            <w:vAlign w:val="top"/>
          </w:tcPr>
          <w:p>
            <w:pPr>
              <w:keepNext w:val="0"/>
              <w:keepLines w:val="0"/>
              <w:suppressLineNumbers w:val="0"/>
              <w:spacing w:before="0" w:beforeAutospacing="0" w:after="0" w:afterAutospacing="0" w:line="398" w:lineRule="auto"/>
              <w:ind w:left="0" w:right="0"/>
              <w:rPr>
                <w:rFonts w:hint="default" w:ascii="Arial"/>
                <w:sz w:val="21"/>
              </w:rPr>
            </w:pPr>
          </w:p>
          <w:p>
            <w:pPr>
              <w:pStyle w:val="72"/>
              <w:keepNext w:val="0"/>
              <w:keepLines w:val="0"/>
              <w:suppressLineNumbers w:val="0"/>
              <w:spacing w:before="68" w:beforeAutospacing="0" w:after="0" w:afterAutospacing="0" w:line="221" w:lineRule="auto"/>
              <w:ind w:left="1396" w:right="0"/>
              <w:rPr>
                <w:rFonts w:hint="default"/>
              </w:rPr>
            </w:pPr>
            <w:r>
              <w:rPr>
                <w:rFonts w:hint="default"/>
                <w:spacing w:val="-6"/>
              </w:rPr>
              <w:t>项目</w:t>
            </w:r>
          </w:p>
        </w:tc>
        <w:tc>
          <w:tcPr>
            <w:tcW w:w="5813" w:type="dxa"/>
            <w:vAlign w:val="top"/>
          </w:tcPr>
          <w:p>
            <w:pPr>
              <w:keepNext w:val="0"/>
              <w:keepLines w:val="0"/>
              <w:suppressLineNumbers w:val="0"/>
              <w:spacing w:before="0" w:beforeAutospacing="0" w:after="0" w:afterAutospacing="0" w:line="397" w:lineRule="auto"/>
              <w:ind w:left="0" w:right="0"/>
              <w:rPr>
                <w:rFonts w:hint="default" w:ascii="Arial"/>
                <w:sz w:val="21"/>
              </w:rPr>
            </w:pPr>
          </w:p>
          <w:p>
            <w:pPr>
              <w:pStyle w:val="72"/>
              <w:keepNext w:val="0"/>
              <w:keepLines w:val="0"/>
              <w:suppressLineNumbers w:val="0"/>
              <w:spacing w:before="68" w:beforeAutospacing="0" w:after="0" w:afterAutospacing="0" w:line="221" w:lineRule="auto"/>
              <w:ind w:left="1841" w:right="0"/>
              <w:rPr>
                <w:rFonts w:hint="default"/>
              </w:rPr>
            </w:pPr>
            <w:r>
              <w:rPr>
                <w:rFonts w:hint="default"/>
                <w:spacing w:val="-2"/>
              </w:rPr>
              <w:t>投标人情况说明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2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5813"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2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5813"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2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5813"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2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5813"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0" w:hRule="atLeast"/>
        </w:trPr>
        <w:tc>
          <w:tcPr>
            <w:tcW w:w="2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5813"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0" w:hRule="atLeast"/>
        </w:trPr>
        <w:tc>
          <w:tcPr>
            <w:tcW w:w="2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5813"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0" w:hRule="atLeast"/>
        </w:trPr>
        <w:tc>
          <w:tcPr>
            <w:tcW w:w="2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5813"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2869" w:type="dxa"/>
            <w:tcBorders>
              <w:left w:val="single" w:color="000000" w:sz="4" w:space="0"/>
            </w:tcBorders>
            <w:vAlign w:val="top"/>
          </w:tcPr>
          <w:p>
            <w:pPr>
              <w:keepNext w:val="0"/>
              <w:keepLines w:val="0"/>
              <w:suppressLineNumbers w:val="0"/>
              <w:spacing w:before="0" w:beforeAutospacing="0" w:after="0" w:afterAutospacing="0"/>
              <w:ind w:left="0" w:right="0"/>
              <w:rPr>
                <w:rFonts w:hint="default" w:ascii="Arial"/>
                <w:sz w:val="21"/>
              </w:rPr>
            </w:pPr>
          </w:p>
        </w:tc>
        <w:tc>
          <w:tcPr>
            <w:tcW w:w="5813" w:type="dxa"/>
            <w:vAlign w:val="top"/>
          </w:tcPr>
          <w:p>
            <w:pPr>
              <w:keepNext w:val="0"/>
              <w:keepLines w:val="0"/>
              <w:suppressLineNumbers w:val="0"/>
              <w:spacing w:before="0" w:beforeAutospacing="0" w:after="0" w:afterAutospacing="0"/>
              <w:ind w:left="0" w:right="0"/>
              <w:rPr>
                <w:rFonts w:hint="default" w:ascii="Arial"/>
                <w:sz w:val="21"/>
              </w:rPr>
            </w:pPr>
          </w:p>
        </w:tc>
      </w:tr>
    </w:tbl>
    <w:p>
      <w:pPr>
        <w:spacing w:before="123" w:line="377" w:lineRule="exact"/>
        <w:jc w:val="right"/>
        <w:rPr>
          <w:rFonts w:ascii="宋体" w:hAnsi="宋体" w:eastAsia="宋体" w:cs="宋体"/>
          <w:sz w:val="21"/>
          <w:szCs w:val="21"/>
        </w:rPr>
      </w:pPr>
      <w:r>
        <w:rPr>
          <w:rFonts w:ascii="宋体" w:hAnsi="宋体" w:eastAsia="宋体" w:cs="宋体"/>
          <w:spacing w:val="-3"/>
          <w:position w:val="12"/>
          <w:sz w:val="21"/>
          <w:szCs w:val="21"/>
          <w14:textOutline w14:w="3831" w14:cap="flat" w14:cmpd="sng">
            <w14:solidFill>
              <w14:srgbClr w14:val="000000"/>
            </w14:solidFill>
            <w14:prstDash w14:val="solid"/>
            <w14:miter w14:val="0"/>
          </w14:textOutline>
        </w:rPr>
        <w:t>注：</w:t>
      </w:r>
      <w:r>
        <w:rPr>
          <w:rFonts w:ascii="Times New Roman" w:hAnsi="Times New Roman" w:eastAsia="Times New Roman" w:cs="Times New Roman"/>
          <w:b/>
          <w:bCs/>
          <w:spacing w:val="-3"/>
          <w:position w:val="12"/>
          <w:sz w:val="21"/>
          <w:szCs w:val="21"/>
        </w:rPr>
        <w:t>1.</w:t>
      </w:r>
      <w:r>
        <w:rPr>
          <w:rFonts w:ascii="宋体" w:hAnsi="宋体" w:eastAsia="宋体" w:cs="宋体"/>
          <w:spacing w:val="-3"/>
          <w:position w:val="12"/>
          <w:sz w:val="21"/>
          <w:szCs w:val="21"/>
          <w14:textOutline w14:w="3831" w14:cap="flat" w14:cmpd="sng">
            <w14:solidFill>
              <w14:srgbClr w14:val="000000"/>
            </w14:solidFill>
            <w14:prstDash w14:val="solid"/>
            <w14:miter w14:val="0"/>
          </w14:textOutline>
        </w:rPr>
        <w:t>投标人应按照招标文件第二章</w:t>
      </w:r>
      <w:r>
        <w:rPr>
          <w:rFonts w:ascii="Times New Roman" w:hAnsi="Times New Roman" w:eastAsia="Times New Roman" w:cs="Times New Roman"/>
          <w:b/>
          <w:bCs/>
          <w:spacing w:val="-3"/>
          <w:position w:val="12"/>
          <w:sz w:val="21"/>
          <w:szCs w:val="21"/>
        </w:rPr>
        <w:t>“</w:t>
      </w:r>
      <w:r>
        <w:rPr>
          <w:rFonts w:ascii="宋体" w:hAnsi="宋体" w:eastAsia="宋体" w:cs="宋体"/>
          <w:spacing w:val="-3"/>
          <w:position w:val="12"/>
          <w:sz w:val="21"/>
          <w:szCs w:val="21"/>
          <w14:textOutline w14:w="3831" w14:cap="flat" w14:cmpd="sng">
            <w14:solidFill>
              <w14:srgbClr w14:val="000000"/>
            </w14:solidFill>
            <w14:prstDash w14:val="solid"/>
            <w14:miter w14:val="0"/>
          </w14:textOutline>
        </w:rPr>
        <w:t>投标人须知</w:t>
      </w:r>
      <w:r>
        <w:rPr>
          <w:rFonts w:ascii="Times New Roman" w:hAnsi="Times New Roman" w:eastAsia="Times New Roman" w:cs="Times New Roman"/>
          <w:b/>
          <w:bCs/>
          <w:spacing w:val="-4"/>
          <w:position w:val="12"/>
          <w:sz w:val="21"/>
          <w:szCs w:val="21"/>
        </w:rPr>
        <w:t>”</w:t>
      </w:r>
      <w:r>
        <w:rPr>
          <w:rFonts w:ascii="宋体" w:hAnsi="宋体" w:eastAsia="宋体" w:cs="宋体"/>
          <w:spacing w:val="-4"/>
          <w:position w:val="12"/>
          <w:sz w:val="21"/>
          <w:szCs w:val="21"/>
          <w14:textOutline w14:w="3831" w14:cap="flat" w14:cmpd="sng">
            <w14:solidFill>
              <w14:srgbClr w14:val="000000"/>
            </w14:solidFill>
            <w14:prstDash w14:val="solid"/>
            <w14:miter w14:val="0"/>
          </w14:textOutline>
        </w:rPr>
        <w:t>前附表附录</w:t>
      </w:r>
      <w:r>
        <w:rPr>
          <w:rFonts w:ascii="Times New Roman" w:hAnsi="Times New Roman" w:eastAsia="Times New Roman" w:cs="Times New Roman"/>
          <w:b/>
          <w:bCs/>
          <w:spacing w:val="-4"/>
          <w:position w:val="12"/>
          <w:sz w:val="21"/>
          <w:szCs w:val="21"/>
        </w:rPr>
        <w:t>4</w:t>
      </w:r>
      <w:r>
        <w:rPr>
          <w:rFonts w:ascii="宋体" w:hAnsi="宋体" w:eastAsia="宋体" w:cs="宋体"/>
          <w:spacing w:val="-4"/>
          <w:position w:val="12"/>
          <w:sz w:val="21"/>
          <w:szCs w:val="21"/>
          <w14:textOutline w14:w="3831" w14:cap="flat" w14:cmpd="sng">
            <w14:solidFill>
              <w14:srgbClr w14:val="000000"/>
            </w14:solidFill>
            <w14:prstDash w14:val="solid"/>
            <w14:miter w14:val="0"/>
          </w14:textOutline>
        </w:rPr>
        <w:t>和</w:t>
      </w:r>
      <w:r>
        <w:rPr>
          <w:rFonts w:ascii="Times New Roman" w:hAnsi="Times New Roman" w:eastAsia="Times New Roman" w:cs="Times New Roman"/>
          <w:b/>
          <w:bCs/>
          <w:spacing w:val="-4"/>
          <w:position w:val="12"/>
          <w:sz w:val="21"/>
          <w:szCs w:val="21"/>
        </w:rPr>
        <w:t>“</w:t>
      </w:r>
      <w:r>
        <w:rPr>
          <w:rFonts w:ascii="宋体" w:hAnsi="宋体" w:eastAsia="宋体" w:cs="宋体"/>
          <w:spacing w:val="-4"/>
          <w:position w:val="12"/>
          <w:sz w:val="21"/>
          <w:szCs w:val="21"/>
          <w14:textOutline w14:w="3831" w14:cap="flat" w14:cmpd="sng">
            <w14:solidFill>
              <w14:srgbClr w14:val="000000"/>
            </w14:solidFill>
            <w14:prstDash w14:val="solid"/>
            <w14:miter w14:val="0"/>
          </w14:textOutline>
        </w:rPr>
        <w:t>投标人须知</w:t>
      </w:r>
      <w:r>
        <w:rPr>
          <w:rFonts w:ascii="Times New Roman" w:hAnsi="Times New Roman" w:eastAsia="Times New Roman" w:cs="Times New Roman"/>
          <w:b/>
          <w:bCs/>
          <w:spacing w:val="-4"/>
          <w:position w:val="12"/>
          <w:sz w:val="21"/>
          <w:szCs w:val="21"/>
        </w:rPr>
        <w:t>”</w:t>
      </w:r>
      <w:r>
        <w:rPr>
          <w:rFonts w:ascii="宋体" w:hAnsi="宋体" w:eastAsia="宋体" w:cs="宋体"/>
          <w:spacing w:val="-4"/>
          <w:position w:val="12"/>
          <w:sz w:val="21"/>
          <w:szCs w:val="21"/>
          <w14:textOutline w14:w="3831" w14:cap="flat" w14:cmpd="sng">
            <w14:solidFill>
              <w14:srgbClr w14:val="000000"/>
            </w14:solidFill>
            <w14:prstDash w14:val="solid"/>
            <w14:miter w14:val="0"/>
          </w14:textOutline>
        </w:rPr>
        <w:t>正文第</w:t>
      </w:r>
      <w:r>
        <w:rPr>
          <w:rFonts w:ascii="Times New Roman" w:hAnsi="Times New Roman" w:eastAsia="Times New Roman" w:cs="Times New Roman"/>
          <w:b/>
          <w:bCs/>
          <w:spacing w:val="-4"/>
          <w:position w:val="12"/>
          <w:sz w:val="21"/>
          <w:szCs w:val="21"/>
        </w:rPr>
        <w:t>1.4.4</w:t>
      </w:r>
      <w:r>
        <w:rPr>
          <w:rFonts w:ascii="宋体" w:hAnsi="宋体" w:eastAsia="宋体" w:cs="宋体"/>
          <w:spacing w:val="-4"/>
          <w:position w:val="12"/>
          <w:sz w:val="21"/>
          <w:szCs w:val="21"/>
          <w14:textOutline w14:w="3831" w14:cap="flat" w14:cmpd="sng">
            <w14:solidFill>
              <w14:srgbClr w14:val="000000"/>
            </w14:solidFill>
            <w14:prstDash w14:val="solid"/>
            <w14:miter w14:val="0"/>
          </w14:textOutline>
        </w:rPr>
        <w:t>项规定，逐</w:t>
      </w:r>
    </w:p>
    <w:p>
      <w:pPr>
        <w:spacing w:line="219" w:lineRule="auto"/>
        <w:ind w:left="586"/>
        <w:rPr>
          <w:rFonts w:ascii="宋体" w:hAnsi="宋体" w:eastAsia="宋体" w:cs="宋体"/>
          <w:sz w:val="21"/>
          <w:szCs w:val="21"/>
        </w:rPr>
      </w:pPr>
      <w:r>
        <w:rPr>
          <w:rFonts w:ascii="宋体" w:hAnsi="宋体" w:eastAsia="宋体" w:cs="宋体"/>
          <w:spacing w:val="-3"/>
          <w:sz w:val="21"/>
          <w:szCs w:val="21"/>
          <w14:textOutline w14:w="3831" w14:cap="flat" w14:cmpd="sng">
            <w14:solidFill>
              <w14:srgbClr w14:val="000000"/>
            </w14:solidFill>
            <w14:prstDash w14:val="solid"/>
            <w14:miter w14:val="0"/>
          </w14:textOutline>
        </w:rPr>
        <w:t>条说明其信誉情况。</w:t>
      </w:r>
    </w:p>
    <w:p>
      <w:pPr>
        <w:spacing w:before="170" w:line="220" w:lineRule="auto"/>
        <w:ind w:left="543"/>
        <w:outlineLvl w:val="0"/>
        <w:rPr>
          <w:rFonts w:ascii="宋体" w:hAnsi="宋体" w:eastAsia="宋体" w:cs="宋体"/>
          <w:sz w:val="21"/>
          <w:szCs w:val="21"/>
        </w:rPr>
      </w:pPr>
      <w:bookmarkStart w:id="209" w:name="_Toc18959"/>
      <w:r>
        <w:rPr>
          <w:rFonts w:ascii="Times New Roman" w:hAnsi="Times New Roman" w:eastAsia="Times New Roman" w:cs="Times New Roman"/>
          <w:b/>
          <w:bCs/>
          <w:spacing w:val="-5"/>
          <w:sz w:val="21"/>
          <w:szCs w:val="21"/>
        </w:rPr>
        <w:t>2.</w:t>
      </w:r>
      <w:r>
        <w:rPr>
          <w:rFonts w:ascii="宋体" w:hAnsi="宋体" w:eastAsia="宋体" w:cs="宋体"/>
          <w:spacing w:val="-5"/>
          <w:sz w:val="21"/>
          <w:szCs w:val="21"/>
          <w14:textOutline w14:w="3831" w14:cap="flat" w14:cmpd="sng">
            <w14:solidFill>
              <w14:srgbClr w14:val="000000"/>
            </w14:solidFill>
            <w14:prstDash w14:val="solid"/>
            <w14:miter w14:val="0"/>
          </w14:textOutline>
        </w:rPr>
        <w:t>投标人应根据招标文件第二章“投标人须知”第</w:t>
      </w:r>
      <w:r>
        <w:rPr>
          <w:rFonts w:ascii="Times New Roman" w:hAnsi="Times New Roman" w:eastAsia="Times New Roman" w:cs="Times New Roman"/>
          <w:b/>
          <w:bCs/>
          <w:spacing w:val="-5"/>
          <w:sz w:val="21"/>
          <w:szCs w:val="21"/>
        </w:rPr>
        <w:t>3.5.4</w:t>
      </w:r>
      <w:r>
        <w:rPr>
          <w:rFonts w:ascii="宋体" w:hAnsi="宋体" w:eastAsia="宋体" w:cs="宋体"/>
          <w:spacing w:val="-5"/>
          <w:sz w:val="21"/>
          <w:szCs w:val="21"/>
          <w14:textOutline w14:w="3831" w14:cap="flat" w14:cmpd="sng">
            <w14:solidFill>
              <w14:srgbClr w14:val="000000"/>
            </w14:solidFill>
            <w14:prstDash w14:val="solid"/>
            <w14:miter w14:val="0"/>
          </w14:textOutline>
        </w:rPr>
        <w:t>项的要求在本表后附相关证明材料。</w:t>
      </w:r>
      <w:bookmarkEnd w:id="209"/>
    </w:p>
    <w:p>
      <w:pPr>
        <w:spacing w:line="220" w:lineRule="auto"/>
        <w:rPr>
          <w:rFonts w:ascii="宋体" w:hAnsi="宋体" w:eastAsia="宋体" w:cs="宋体"/>
          <w:sz w:val="21"/>
          <w:szCs w:val="21"/>
        </w:rPr>
        <w:sectPr>
          <w:footerReference r:id="rId39" w:type="default"/>
          <w:pgSz w:w="11907" w:h="16841"/>
          <w:pgMar w:top="1431" w:right="1178" w:bottom="1216" w:left="1185" w:header="0" w:footer="1055" w:gutter="0"/>
          <w:pgNumType w:fmt="decimal"/>
          <w:cols w:space="720" w:num="1"/>
        </w:sectPr>
      </w:pPr>
    </w:p>
    <w:p>
      <w:pPr>
        <w:spacing w:before="68" w:line="220" w:lineRule="auto"/>
        <w:ind w:left="3158"/>
        <w:rPr>
          <w:rFonts w:ascii="宋体" w:hAnsi="宋体" w:eastAsia="宋体" w:cs="宋体"/>
          <w:sz w:val="21"/>
          <w:szCs w:val="21"/>
        </w:rPr>
      </w:pPr>
      <w:r>
        <w:rPr>
          <w:rFonts w:ascii="宋体" w:hAnsi="宋体" w:eastAsia="宋体" w:cs="宋体"/>
          <w:spacing w:val="-5"/>
          <w:sz w:val="21"/>
          <w:szCs w:val="21"/>
          <w14:textOutline w14:w="3831" w14:cap="flat" w14:cmpd="sng">
            <w14:solidFill>
              <w14:srgbClr w14:val="000000"/>
            </w14:solidFill>
            <w14:prstDash w14:val="solid"/>
            <w14:miter w14:val="0"/>
          </w14:textOutline>
        </w:rPr>
        <w:t>（六）拟委任的项目经理和项目总工资历表</w:t>
      </w:r>
    </w:p>
    <w:p>
      <w:pPr>
        <w:spacing w:before="108"/>
      </w:pPr>
    </w:p>
    <w:p>
      <w:pPr>
        <w:spacing w:before="108"/>
      </w:pPr>
    </w:p>
    <w:tbl>
      <w:tblPr>
        <w:tblStyle w:val="68"/>
        <w:tblW w:w="9298" w:type="dxa"/>
        <w:tblInd w:w="2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0"/>
        <w:gridCol w:w="288"/>
        <w:gridCol w:w="875"/>
        <w:gridCol w:w="281"/>
        <w:gridCol w:w="1027"/>
        <w:gridCol w:w="1308"/>
        <w:gridCol w:w="336"/>
        <w:gridCol w:w="1559"/>
        <w:gridCol w:w="316"/>
        <w:gridCol w:w="20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1240" w:type="dxa"/>
            <w:vAlign w:val="top"/>
          </w:tcPr>
          <w:p>
            <w:pPr>
              <w:pStyle w:val="72"/>
              <w:keepNext w:val="0"/>
              <w:keepLines w:val="0"/>
              <w:suppressLineNumbers w:val="0"/>
              <w:spacing w:before="153" w:beforeAutospacing="0" w:after="0" w:afterAutospacing="0" w:line="221" w:lineRule="auto"/>
              <w:ind w:left="204" w:right="0"/>
              <w:rPr>
                <w:rFonts w:hint="default"/>
              </w:rPr>
            </w:pPr>
            <w:r>
              <w:rPr>
                <w:rFonts w:hint="default"/>
                <w:spacing w:val="-4"/>
              </w:rPr>
              <w:t>姓名</w:t>
            </w:r>
          </w:p>
        </w:tc>
        <w:tc>
          <w:tcPr>
            <w:tcW w:w="1444" w:type="dxa"/>
            <w:gridSpan w:val="3"/>
            <w:vAlign w:val="top"/>
          </w:tcPr>
          <w:p>
            <w:pPr>
              <w:keepNext w:val="0"/>
              <w:keepLines w:val="0"/>
              <w:suppressLineNumbers w:val="0"/>
              <w:spacing w:before="0" w:beforeAutospacing="0" w:after="0" w:afterAutospacing="0"/>
              <w:ind w:left="0" w:right="0"/>
              <w:rPr>
                <w:rFonts w:hint="default" w:ascii="Arial"/>
                <w:sz w:val="21"/>
              </w:rPr>
            </w:pPr>
          </w:p>
        </w:tc>
        <w:tc>
          <w:tcPr>
            <w:tcW w:w="1027" w:type="dxa"/>
            <w:vAlign w:val="top"/>
          </w:tcPr>
          <w:p>
            <w:pPr>
              <w:pStyle w:val="72"/>
              <w:keepNext w:val="0"/>
              <w:keepLines w:val="0"/>
              <w:suppressLineNumbers w:val="0"/>
              <w:spacing w:before="153" w:beforeAutospacing="0" w:after="0" w:afterAutospacing="0" w:line="221" w:lineRule="auto"/>
              <w:ind w:left="203" w:right="0"/>
              <w:rPr>
                <w:rFonts w:hint="default"/>
              </w:rPr>
            </w:pPr>
            <w:r>
              <w:rPr>
                <w:rFonts w:hint="default"/>
                <w:spacing w:val="-4"/>
              </w:rPr>
              <w:t>年龄</w:t>
            </w:r>
          </w:p>
        </w:tc>
        <w:tc>
          <w:tcPr>
            <w:tcW w:w="1308" w:type="dxa"/>
            <w:vAlign w:val="top"/>
          </w:tcPr>
          <w:p>
            <w:pPr>
              <w:keepNext w:val="0"/>
              <w:keepLines w:val="0"/>
              <w:suppressLineNumbers w:val="0"/>
              <w:spacing w:before="0" w:beforeAutospacing="0" w:after="0" w:afterAutospacing="0"/>
              <w:ind w:left="0" w:right="0"/>
              <w:rPr>
                <w:rFonts w:hint="default" w:ascii="Arial"/>
                <w:sz w:val="21"/>
              </w:rPr>
            </w:pPr>
          </w:p>
        </w:tc>
        <w:tc>
          <w:tcPr>
            <w:tcW w:w="2211" w:type="dxa"/>
            <w:gridSpan w:val="3"/>
            <w:vAlign w:val="top"/>
          </w:tcPr>
          <w:p>
            <w:pPr>
              <w:pStyle w:val="72"/>
              <w:keepNext w:val="0"/>
              <w:keepLines w:val="0"/>
              <w:suppressLineNumbers w:val="0"/>
              <w:spacing w:before="154" w:beforeAutospacing="0" w:after="0" w:afterAutospacing="0" w:line="221" w:lineRule="auto"/>
              <w:ind w:left="902" w:right="0"/>
              <w:rPr>
                <w:rFonts w:hint="default"/>
              </w:rPr>
            </w:pPr>
            <w:r>
              <w:rPr>
                <w:rFonts w:hint="default"/>
                <w:spacing w:val="-2"/>
              </w:rPr>
              <w:t>专业</w:t>
            </w:r>
          </w:p>
        </w:tc>
        <w:tc>
          <w:tcPr>
            <w:tcW w:w="2068"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240" w:type="dxa"/>
            <w:vAlign w:val="top"/>
          </w:tcPr>
          <w:p>
            <w:pPr>
              <w:pStyle w:val="72"/>
              <w:keepNext w:val="0"/>
              <w:keepLines w:val="0"/>
              <w:suppressLineNumbers w:val="0"/>
              <w:spacing w:before="165" w:beforeAutospacing="0" w:after="0" w:afterAutospacing="0" w:line="221" w:lineRule="auto"/>
              <w:ind w:left="205" w:right="0"/>
              <w:rPr>
                <w:rFonts w:hint="default"/>
              </w:rPr>
            </w:pPr>
            <w:r>
              <w:rPr>
                <w:rFonts w:hint="default"/>
                <w:spacing w:val="-2"/>
              </w:rPr>
              <w:t>技术职称</w:t>
            </w:r>
          </w:p>
        </w:tc>
        <w:tc>
          <w:tcPr>
            <w:tcW w:w="1444" w:type="dxa"/>
            <w:gridSpan w:val="3"/>
            <w:vAlign w:val="top"/>
          </w:tcPr>
          <w:p>
            <w:pPr>
              <w:keepNext w:val="0"/>
              <w:keepLines w:val="0"/>
              <w:suppressLineNumbers w:val="0"/>
              <w:spacing w:before="0" w:beforeAutospacing="0" w:after="0" w:afterAutospacing="0"/>
              <w:ind w:left="0" w:right="0"/>
              <w:rPr>
                <w:rFonts w:hint="default" w:ascii="Arial"/>
                <w:sz w:val="21"/>
              </w:rPr>
            </w:pPr>
          </w:p>
        </w:tc>
        <w:tc>
          <w:tcPr>
            <w:tcW w:w="1027" w:type="dxa"/>
            <w:vAlign w:val="top"/>
          </w:tcPr>
          <w:p>
            <w:pPr>
              <w:pStyle w:val="72"/>
              <w:keepNext w:val="0"/>
              <w:keepLines w:val="0"/>
              <w:suppressLineNumbers w:val="0"/>
              <w:spacing w:before="165" w:beforeAutospacing="0" w:after="0" w:afterAutospacing="0" w:line="222" w:lineRule="auto"/>
              <w:ind w:left="206" w:right="0"/>
              <w:rPr>
                <w:rFonts w:hint="default"/>
              </w:rPr>
            </w:pPr>
            <w:r>
              <w:rPr>
                <w:rFonts w:hint="default"/>
                <w:spacing w:val="-6"/>
              </w:rPr>
              <w:t>学历</w:t>
            </w:r>
          </w:p>
        </w:tc>
        <w:tc>
          <w:tcPr>
            <w:tcW w:w="1308" w:type="dxa"/>
            <w:vAlign w:val="top"/>
          </w:tcPr>
          <w:p>
            <w:pPr>
              <w:keepNext w:val="0"/>
              <w:keepLines w:val="0"/>
              <w:suppressLineNumbers w:val="0"/>
              <w:spacing w:before="0" w:beforeAutospacing="0" w:after="0" w:afterAutospacing="0"/>
              <w:ind w:left="0" w:right="0"/>
              <w:rPr>
                <w:rFonts w:hint="default" w:ascii="Arial"/>
                <w:sz w:val="21"/>
              </w:rPr>
            </w:pPr>
          </w:p>
        </w:tc>
        <w:tc>
          <w:tcPr>
            <w:tcW w:w="2211" w:type="dxa"/>
            <w:gridSpan w:val="3"/>
            <w:vAlign w:val="top"/>
          </w:tcPr>
          <w:p>
            <w:pPr>
              <w:pStyle w:val="72"/>
              <w:keepNext w:val="0"/>
              <w:keepLines w:val="0"/>
              <w:suppressLineNumbers w:val="0"/>
              <w:spacing w:before="31" w:beforeAutospacing="0" w:after="0" w:afterAutospacing="0" w:line="220" w:lineRule="auto"/>
              <w:ind w:left="586" w:right="0"/>
              <w:rPr>
                <w:rFonts w:hint="eastAsia" w:eastAsia="宋体"/>
                <w:lang w:eastAsia="zh-CN"/>
              </w:rPr>
            </w:pPr>
            <w:r>
              <w:rPr>
                <w:rFonts w:hint="default"/>
                <w:spacing w:val="-1"/>
              </w:rPr>
              <w:t>拟在本</w:t>
            </w:r>
            <w:r>
              <w:rPr>
                <w:rFonts w:hint="eastAsia"/>
                <w:spacing w:val="-1"/>
                <w:lang w:val="en-US" w:eastAsia="zh-CN"/>
              </w:rPr>
              <w:t>项目</w:t>
            </w:r>
          </w:p>
          <w:p>
            <w:pPr>
              <w:pStyle w:val="72"/>
              <w:keepNext w:val="0"/>
              <w:keepLines w:val="0"/>
              <w:suppressLineNumbers w:val="0"/>
              <w:spacing w:before="21" w:beforeAutospacing="0" w:after="0" w:afterAutospacing="0" w:line="211" w:lineRule="auto"/>
              <w:ind w:left="694" w:right="0"/>
              <w:rPr>
                <w:rFonts w:hint="default"/>
              </w:rPr>
            </w:pPr>
            <w:r>
              <w:rPr>
                <w:rFonts w:hint="default"/>
                <w:spacing w:val="-3"/>
              </w:rPr>
              <w:t>工程任职</w:t>
            </w:r>
          </w:p>
        </w:tc>
        <w:tc>
          <w:tcPr>
            <w:tcW w:w="2068"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1240" w:type="dxa"/>
            <w:vAlign w:val="top"/>
          </w:tcPr>
          <w:p>
            <w:pPr>
              <w:pStyle w:val="72"/>
              <w:keepNext w:val="0"/>
              <w:keepLines w:val="0"/>
              <w:suppressLineNumbers w:val="0"/>
              <w:spacing w:before="147" w:beforeAutospacing="0" w:after="0" w:afterAutospacing="0" w:line="221" w:lineRule="auto"/>
              <w:ind w:left="207" w:right="0"/>
              <w:rPr>
                <w:rFonts w:hint="default"/>
              </w:rPr>
            </w:pPr>
            <w:r>
              <w:rPr>
                <w:rFonts w:hint="default"/>
                <w:spacing w:val="-2"/>
              </w:rPr>
              <w:t>工作年限</w:t>
            </w:r>
          </w:p>
        </w:tc>
        <w:tc>
          <w:tcPr>
            <w:tcW w:w="3779" w:type="dxa"/>
            <w:gridSpan w:val="5"/>
            <w:vAlign w:val="top"/>
          </w:tcPr>
          <w:p>
            <w:pPr>
              <w:keepNext w:val="0"/>
              <w:keepLines w:val="0"/>
              <w:suppressLineNumbers w:val="0"/>
              <w:spacing w:before="0" w:beforeAutospacing="0" w:after="0" w:afterAutospacing="0"/>
              <w:ind w:left="0" w:right="0"/>
              <w:rPr>
                <w:rFonts w:hint="default" w:ascii="Arial"/>
                <w:sz w:val="21"/>
              </w:rPr>
            </w:pPr>
          </w:p>
        </w:tc>
        <w:tc>
          <w:tcPr>
            <w:tcW w:w="2211" w:type="dxa"/>
            <w:gridSpan w:val="3"/>
            <w:vAlign w:val="top"/>
          </w:tcPr>
          <w:p>
            <w:pPr>
              <w:pStyle w:val="72"/>
              <w:keepNext w:val="0"/>
              <w:keepLines w:val="0"/>
              <w:suppressLineNumbers w:val="0"/>
              <w:spacing w:before="147" w:beforeAutospacing="0" w:after="0" w:afterAutospacing="0" w:line="221" w:lineRule="auto"/>
              <w:ind w:left="272" w:right="0"/>
              <w:rPr>
                <w:rFonts w:hint="default"/>
              </w:rPr>
            </w:pPr>
            <w:r>
              <w:rPr>
                <w:rFonts w:hint="default"/>
                <w:spacing w:val="-1"/>
              </w:rPr>
              <w:t>类似施工经验年限</w:t>
            </w:r>
          </w:p>
        </w:tc>
        <w:tc>
          <w:tcPr>
            <w:tcW w:w="2068"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1240" w:type="dxa"/>
            <w:vAlign w:val="top"/>
          </w:tcPr>
          <w:p>
            <w:pPr>
              <w:pStyle w:val="72"/>
              <w:keepNext w:val="0"/>
              <w:keepLines w:val="0"/>
              <w:suppressLineNumbers w:val="0"/>
              <w:spacing w:before="147" w:beforeAutospacing="0" w:after="0" w:afterAutospacing="0" w:line="221" w:lineRule="auto"/>
              <w:ind w:left="209" w:right="0"/>
              <w:rPr>
                <w:rFonts w:hint="default"/>
              </w:rPr>
            </w:pPr>
            <w:r>
              <w:rPr>
                <w:rFonts w:hint="default"/>
                <w:spacing w:val="-3"/>
              </w:rPr>
              <w:t>毕业学校</w:t>
            </w:r>
          </w:p>
        </w:tc>
        <w:tc>
          <w:tcPr>
            <w:tcW w:w="8058" w:type="dxa"/>
            <w:gridSpan w:val="9"/>
            <w:vAlign w:val="top"/>
          </w:tcPr>
          <w:p>
            <w:pPr>
              <w:pStyle w:val="72"/>
              <w:keepNext w:val="0"/>
              <w:keepLines w:val="0"/>
              <w:suppressLineNumbers w:val="0"/>
              <w:tabs>
                <w:tab w:val="left" w:pos="734"/>
              </w:tabs>
              <w:spacing w:before="147" w:beforeAutospacing="0" w:after="0" w:afterAutospacing="0" w:line="221" w:lineRule="auto"/>
              <w:ind w:left="103" w:right="0"/>
              <w:rPr>
                <w:rFonts w:hint="default"/>
              </w:rPr>
            </w:pPr>
            <w:r>
              <w:rPr>
                <w:rFonts w:hint="default"/>
                <w:u w:val="single" w:color="auto"/>
              </w:rPr>
              <w:tab/>
            </w:r>
            <w:r>
              <w:rPr>
                <w:rFonts w:hint="default"/>
                <w:spacing w:val="-7"/>
              </w:rPr>
              <w:t>年月毕业于学校专业，学制年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9298" w:type="dxa"/>
            <w:gridSpan w:val="10"/>
            <w:vAlign w:val="top"/>
          </w:tcPr>
          <w:p>
            <w:pPr>
              <w:pStyle w:val="72"/>
              <w:keepNext w:val="0"/>
              <w:keepLines w:val="0"/>
              <w:suppressLineNumbers w:val="0"/>
              <w:spacing w:before="147" w:beforeAutospacing="0" w:after="0" w:afterAutospacing="0" w:line="223" w:lineRule="auto"/>
              <w:ind w:left="4445" w:right="0"/>
              <w:rPr>
                <w:rFonts w:hint="default"/>
              </w:rPr>
            </w:pPr>
            <w:r>
              <w:rPr>
                <w:rFonts w:hint="default"/>
                <w:spacing w:val="-2"/>
              </w:rPr>
              <w:t>经历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528" w:type="dxa"/>
            <w:gridSpan w:val="2"/>
            <w:vAlign w:val="top"/>
          </w:tcPr>
          <w:p>
            <w:pPr>
              <w:pStyle w:val="72"/>
              <w:keepNext w:val="0"/>
              <w:keepLines w:val="0"/>
              <w:suppressLineNumbers w:val="0"/>
              <w:spacing w:before="147" w:beforeAutospacing="0" w:after="0" w:afterAutospacing="0" w:line="223" w:lineRule="auto"/>
              <w:ind w:left="569" w:right="0"/>
              <w:rPr>
                <w:rFonts w:hint="default"/>
              </w:rPr>
            </w:pPr>
            <w:r>
              <w:rPr>
                <w:rFonts w:hint="default"/>
                <w:spacing w:val="-4"/>
              </w:rPr>
              <w:t>时间</w:t>
            </w:r>
          </w:p>
        </w:tc>
        <w:tc>
          <w:tcPr>
            <w:tcW w:w="3827" w:type="dxa"/>
            <w:gridSpan w:val="5"/>
            <w:vAlign w:val="top"/>
          </w:tcPr>
          <w:p>
            <w:pPr>
              <w:pStyle w:val="72"/>
              <w:keepNext w:val="0"/>
              <w:keepLines w:val="0"/>
              <w:suppressLineNumbers w:val="0"/>
              <w:spacing w:before="147" w:beforeAutospacing="0" w:after="0" w:afterAutospacing="0" w:line="221" w:lineRule="auto"/>
              <w:ind w:left="658" w:right="0"/>
              <w:rPr>
                <w:rFonts w:hint="default"/>
              </w:rPr>
            </w:pPr>
            <w:r>
              <w:rPr>
                <w:rFonts w:hint="default"/>
                <w:spacing w:val="-1"/>
              </w:rPr>
              <w:t>参加过的类似工程项目名称</w:t>
            </w:r>
          </w:p>
        </w:tc>
        <w:tc>
          <w:tcPr>
            <w:tcW w:w="1559" w:type="dxa"/>
            <w:vAlign w:val="top"/>
          </w:tcPr>
          <w:p>
            <w:pPr>
              <w:pStyle w:val="72"/>
              <w:keepNext w:val="0"/>
              <w:keepLines w:val="0"/>
              <w:suppressLineNumbers w:val="0"/>
              <w:spacing w:before="147" w:beforeAutospacing="0" w:after="0" w:afterAutospacing="0" w:line="221" w:lineRule="auto"/>
              <w:ind w:left="366" w:right="0"/>
              <w:rPr>
                <w:rFonts w:hint="default"/>
              </w:rPr>
            </w:pPr>
            <w:r>
              <w:rPr>
                <w:rFonts w:hint="default"/>
                <w:spacing w:val="-2"/>
              </w:rPr>
              <w:t>担任职务</w:t>
            </w:r>
          </w:p>
        </w:tc>
        <w:tc>
          <w:tcPr>
            <w:tcW w:w="2384" w:type="dxa"/>
            <w:gridSpan w:val="2"/>
            <w:vAlign w:val="top"/>
          </w:tcPr>
          <w:p>
            <w:pPr>
              <w:pStyle w:val="72"/>
              <w:keepNext w:val="0"/>
              <w:keepLines w:val="0"/>
              <w:suppressLineNumbers w:val="0"/>
              <w:spacing w:before="148" w:beforeAutospacing="0" w:after="0" w:afterAutospacing="0" w:line="221" w:lineRule="auto"/>
              <w:ind w:left="360" w:right="0"/>
              <w:rPr>
                <w:rFonts w:hint="default"/>
              </w:rPr>
            </w:pPr>
            <w:r>
              <w:rPr>
                <w:rFonts w:hint="default"/>
                <w:spacing w:val="-1"/>
              </w:rPr>
              <w:t>发包人及联系电话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528" w:type="dxa"/>
            <w:gridSpan w:val="2"/>
            <w:vAlign w:val="top"/>
          </w:tcPr>
          <w:p>
            <w:pPr>
              <w:keepNext w:val="0"/>
              <w:keepLines w:val="0"/>
              <w:suppressLineNumbers w:val="0"/>
              <w:spacing w:before="0" w:beforeAutospacing="0" w:after="0" w:afterAutospacing="0"/>
              <w:ind w:left="0" w:right="0"/>
              <w:rPr>
                <w:rFonts w:hint="default" w:ascii="Arial"/>
                <w:sz w:val="21"/>
              </w:rPr>
            </w:pPr>
          </w:p>
        </w:tc>
        <w:tc>
          <w:tcPr>
            <w:tcW w:w="3827" w:type="dxa"/>
            <w:gridSpan w:val="5"/>
            <w:vAlign w:val="top"/>
          </w:tcPr>
          <w:p>
            <w:pPr>
              <w:keepNext w:val="0"/>
              <w:keepLines w:val="0"/>
              <w:suppressLineNumbers w:val="0"/>
              <w:spacing w:before="0" w:beforeAutospacing="0" w:after="0" w:afterAutospacing="0"/>
              <w:ind w:left="0" w:right="0"/>
              <w:rPr>
                <w:rFonts w:hint="default" w:ascii="Arial"/>
                <w:sz w:val="21"/>
              </w:rPr>
            </w:pPr>
          </w:p>
        </w:tc>
        <w:tc>
          <w:tcPr>
            <w:tcW w:w="1559" w:type="dxa"/>
            <w:vAlign w:val="top"/>
          </w:tcPr>
          <w:p>
            <w:pPr>
              <w:keepNext w:val="0"/>
              <w:keepLines w:val="0"/>
              <w:suppressLineNumbers w:val="0"/>
              <w:spacing w:before="0" w:beforeAutospacing="0" w:after="0" w:afterAutospacing="0"/>
              <w:ind w:left="0" w:right="0"/>
              <w:rPr>
                <w:rFonts w:hint="default" w:ascii="Arial"/>
                <w:sz w:val="21"/>
              </w:rPr>
            </w:pPr>
          </w:p>
        </w:tc>
        <w:tc>
          <w:tcPr>
            <w:tcW w:w="2384" w:type="dxa"/>
            <w:gridSpan w:val="2"/>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528" w:type="dxa"/>
            <w:gridSpan w:val="2"/>
            <w:vAlign w:val="top"/>
          </w:tcPr>
          <w:p>
            <w:pPr>
              <w:keepNext w:val="0"/>
              <w:keepLines w:val="0"/>
              <w:suppressLineNumbers w:val="0"/>
              <w:spacing w:before="0" w:beforeAutospacing="0" w:after="0" w:afterAutospacing="0"/>
              <w:ind w:left="0" w:right="0"/>
              <w:rPr>
                <w:rFonts w:hint="default" w:ascii="Arial"/>
                <w:sz w:val="21"/>
              </w:rPr>
            </w:pPr>
          </w:p>
        </w:tc>
        <w:tc>
          <w:tcPr>
            <w:tcW w:w="3827" w:type="dxa"/>
            <w:gridSpan w:val="5"/>
            <w:vAlign w:val="top"/>
          </w:tcPr>
          <w:p>
            <w:pPr>
              <w:keepNext w:val="0"/>
              <w:keepLines w:val="0"/>
              <w:suppressLineNumbers w:val="0"/>
              <w:spacing w:before="0" w:beforeAutospacing="0" w:after="0" w:afterAutospacing="0"/>
              <w:ind w:left="0" w:right="0"/>
              <w:rPr>
                <w:rFonts w:hint="default" w:ascii="Arial"/>
                <w:sz w:val="21"/>
              </w:rPr>
            </w:pPr>
          </w:p>
        </w:tc>
        <w:tc>
          <w:tcPr>
            <w:tcW w:w="1559" w:type="dxa"/>
            <w:vAlign w:val="top"/>
          </w:tcPr>
          <w:p>
            <w:pPr>
              <w:keepNext w:val="0"/>
              <w:keepLines w:val="0"/>
              <w:suppressLineNumbers w:val="0"/>
              <w:spacing w:before="0" w:beforeAutospacing="0" w:after="0" w:afterAutospacing="0"/>
              <w:ind w:left="0" w:right="0"/>
              <w:rPr>
                <w:rFonts w:hint="default" w:ascii="Arial"/>
                <w:sz w:val="21"/>
              </w:rPr>
            </w:pPr>
          </w:p>
        </w:tc>
        <w:tc>
          <w:tcPr>
            <w:tcW w:w="2384" w:type="dxa"/>
            <w:gridSpan w:val="2"/>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528" w:type="dxa"/>
            <w:gridSpan w:val="2"/>
            <w:vAlign w:val="top"/>
          </w:tcPr>
          <w:p>
            <w:pPr>
              <w:keepNext w:val="0"/>
              <w:keepLines w:val="0"/>
              <w:suppressLineNumbers w:val="0"/>
              <w:spacing w:before="0" w:beforeAutospacing="0" w:after="0" w:afterAutospacing="0"/>
              <w:ind w:left="0" w:right="0"/>
              <w:rPr>
                <w:rFonts w:hint="default" w:ascii="Arial"/>
                <w:sz w:val="21"/>
              </w:rPr>
            </w:pPr>
          </w:p>
        </w:tc>
        <w:tc>
          <w:tcPr>
            <w:tcW w:w="3827" w:type="dxa"/>
            <w:gridSpan w:val="5"/>
            <w:vAlign w:val="top"/>
          </w:tcPr>
          <w:p>
            <w:pPr>
              <w:keepNext w:val="0"/>
              <w:keepLines w:val="0"/>
              <w:suppressLineNumbers w:val="0"/>
              <w:spacing w:before="0" w:beforeAutospacing="0" w:after="0" w:afterAutospacing="0"/>
              <w:ind w:left="0" w:right="0"/>
              <w:rPr>
                <w:rFonts w:hint="default" w:ascii="Arial"/>
                <w:sz w:val="21"/>
              </w:rPr>
            </w:pPr>
          </w:p>
        </w:tc>
        <w:tc>
          <w:tcPr>
            <w:tcW w:w="1559" w:type="dxa"/>
            <w:vAlign w:val="top"/>
          </w:tcPr>
          <w:p>
            <w:pPr>
              <w:keepNext w:val="0"/>
              <w:keepLines w:val="0"/>
              <w:suppressLineNumbers w:val="0"/>
              <w:spacing w:before="0" w:beforeAutospacing="0" w:after="0" w:afterAutospacing="0"/>
              <w:ind w:left="0" w:right="0"/>
              <w:rPr>
                <w:rFonts w:hint="default" w:ascii="Arial"/>
                <w:sz w:val="21"/>
              </w:rPr>
            </w:pPr>
          </w:p>
        </w:tc>
        <w:tc>
          <w:tcPr>
            <w:tcW w:w="2384" w:type="dxa"/>
            <w:gridSpan w:val="2"/>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528" w:type="dxa"/>
            <w:gridSpan w:val="2"/>
            <w:vAlign w:val="top"/>
          </w:tcPr>
          <w:p>
            <w:pPr>
              <w:keepNext w:val="0"/>
              <w:keepLines w:val="0"/>
              <w:suppressLineNumbers w:val="0"/>
              <w:spacing w:before="0" w:beforeAutospacing="0" w:after="0" w:afterAutospacing="0"/>
              <w:ind w:left="0" w:right="0"/>
              <w:rPr>
                <w:rFonts w:hint="default" w:ascii="Arial"/>
                <w:sz w:val="21"/>
              </w:rPr>
            </w:pPr>
          </w:p>
        </w:tc>
        <w:tc>
          <w:tcPr>
            <w:tcW w:w="3827" w:type="dxa"/>
            <w:gridSpan w:val="5"/>
            <w:vAlign w:val="top"/>
          </w:tcPr>
          <w:p>
            <w:pPr>
              <w:keepNext w:val="0"/>
              <w:keepLines w:val="0"/>
              <w:suppressLineNumbers w:val="0"/>
              <w:spacing w:before="0" w:beforeAutospacing="0" w:after="0" w:afterAutospacing="0"/>
              <w:ind w:left="0" w:right="0"/>
              <w:rPr>
                <w:rFonts w:hint="default" w:ascii="Arial"/>
                <w:sz w:val="21"/>
              </w:rPr>
            </w:pPr>
          </w:p>
        </w:tc>
        <w:tc>
          <w:tcPr>
            <w:tcW w:w="1559" w:type="dxa"/>
            <w:vAlign w:val="top"/>
          </w:tcPr>
          <w:p>
            <w:pPr>
              <w:keepNext w:val="0"/>
              <w:keepLines w:val="0"/>
              <w:suppressLineNumbers w:val="0"/>
              <w:spacing w:before="0" w:beforeAutospacing="0" w:after="0" w:afterAutospacing="0"/>
              <w:ind w:left="0" w:right="0"/>
              <w:rPr>
                <w:rFonts w:hint="default" w:ascii="Arial"/>
                <w:sz w:val="21"/>
              </w:rPr>
            </w:pPr>
          </w:p>
        </w:tc>
        <w:tc>
          <w:tcPr>
            <w:tcW w:w="2384" w:type="dxa"/>
            <w:gridSpan w:val="2"/>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528" w:type="dxa"/>
            <w:gridSpan w:val="2"/>
            <w:vAlign w:val="top"/>
          </w:tcPr>
          <w:p>
            <w:pPr>
              <w:keepNext w:val="0"/>
              <w:keepLines w:val="0"/>
              <w:suppressLineNumbers w:val="0"/>
              <w:spacing w:before="0" w:beforeAutospacing="0" w:after="0" w:afterAutospacing="0"/>
              <w:ind w:left="0" w:right="0"/>
              <w:rPr>
                <w:rFonts w:hint="default" w:ascii="Arial"/>
                <w:sz w:val="21"/>
              </w:rPr>
            </w:pPr>
          </w:p>
        </w:tc>
        <w:tc>
          <w:tcPr>
            <w:tcW w:w="3827" w:type="dxa"/>
            <w:gridSpan w:val="5"/>
            <w:vAlign w:val="top"/>
          </w:tcPr>
          <w:p>
            <w:pPr>
              <w:keepNext w:val="0"/>
              <w:keepLines w:val="0"/>
              <w:suppressLineNumbers w:val="0"/>
              <w:spacing w:before="0" w:beforeAutospacing="0" w:after="0" w:afterAutospacing="0"/>
              <w:ind w:left="0" w:right="0"/>
              <w:rPr>
                <w:rFonts w:hint="default" w:ascii="Arial"/>
                <w:sz w:val="21"/>
              </w:rPr>
            </w:pPr>
          </w:p>
        </w:tc>
        <w:tc>
          <w:tcPr>
            <w:tcW w:w="1559" w:type="dxa"/>
            <w:vAlign w:val="top"/>
          </w:tcPr>
          <w:p>
            <w:pPr>
              <w:keepNext w:val="0"/>
              <w:keepLines w:val="0"/>
              <w:suppressLineNumbers w:val="0"/>
              <w:spacing w:before="0" w:beforeAutospacing="0" w:after="0" w:afterAutospacing="0"/>
              <w:ind w:left="0" w:right="0"/>
              <w:rPr>
                <w:rFonts w:hint="default" w:ascii="Arial"/>
                <w:sz w:val="21"/>
              </w:rPr>
            </w:pPr>
          </w:p>
        </w:tc>
        <w:tc>
          <w:tcPr>
            <w:tcW w:w="2384" w:type="dxa"/>
            <w:gridSpan w:val="2"/>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528" w:type="dxa"/>
            <w:gridSpan w:val="2"/>
            <w:vAlign w:val="top"/>
          </w:tcPr>
          <w:p>
            <w:pPr>
              <w:keepNext w:val="0"/>
              <w:keepLines w:val="0"/>
              <w:suppressLineNumbers w:val="0"/>
              <w:spacing w:before="0" w:beforeAutospacing="0" w:after="0" w:afterAutospacing="0"/>
              <w:ind w:left="0" w:right="0"/>
              <w:rPr>
                <w:rFonts w:hint="default" w:ascii="Arial"/>
                <w:sz w:val="21"/>
              </w:rPr>
            </w:pPr>
          </w:p>
        </w:tc>
        <w:tc>
          <w:tcPr>
            <w:tcW w:w="3827" w:type="dxa"/>
            <w:gridSpan w:val="5"/>
            <w:vAlign w:val="top"/>
          </w:tcPr>
          <w:p>
            <w:pPr>
              <w:keepNext w:val="0"/>
              <w:keepLines w:val="0"/>
              <w:suppressLineNumbers w:val="0"/>
              <w:spacing w:before="0" w:beforeAutospacing="0" w:after="0" w:afterAutospacing="0"/>
              <w:ind w:left="0" w:right="0"/>
              <w:rPr>
                <w:rFonts w:hint="default" w:ascii="Arial"/>
                <w:sz w:val="21"/>
              </w:rPr>
            </w:pPr>
          </w:p>
        </w:tc>
        <w:tc>
          <w:tcPr>
            <w:tcW w:w="1559" w:type="dxa"/>
            <w:vAlign w:val="top"/>
          </w:tcPr>
          <w:p>
            <w:pPr>
              <w:keepNext w:val="0"/>
              <w:keepLines w:val="0"/>
              <w:suppressLineNumbers w:val="0"/>
              <w:spacing w:before="0" w:beforeAutospacing="0" w:after="0" w:afterAutospacing="0"/>
              <w:ind w:left="0" w:right="0"/>
              <w:rPr>
                <w:rFonts w:hint="default" w:ascii="Arial"/>
                <w:sz w:val="21"/>
              </w:rPr>
            </w:pPr>
          </w:p>
        </w:tc>
        <w:tc>
          <w:tcPr>
            <w:tcW w:w="2384" w:type="dxa"/>
            <w:gridSpan w:val="2"/>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528" w:type="dxa"/>
            <w:gridSpan w:val="2"/>
            <w:vAlign w:val="top"/>
          </w:tcPr>
          <w:p>
            <w:pPr>
              <w:keepNext w:val="0"/>
              <w:keepLines w:val="0"/>
              <w:suppressLineNumbers w:val="0"/>
              <w:spacing w:before="0" w:beforeAutospacing="0" w:after="0" w:afterAutospacing="0"/>
              <w:ind w:left="0" w:right="0"/>
              <w:rPr>
                <w:rFonts w:hint="default" w:ascii="Arial"/>
                <w:sz w:val="21"/>
              </w:rPr>
            </w:pPr>
          </w:p>
        </w:tc>
        <w:tc>
          <w:tcPr>
            <w:tcW w:w="3827" w:type="dxa"/>
            <w:gridSpan w:val="5"/>
            <w:vAlign w:val="top"/>
          </w:tcPr>
          <w:p>
            <w:pPr>
              <w:keepNext w:val="0"/>
              <w:keepLines w:val="0"/>
              <w:suppressLineNumbers w:val="0"/>
              <w:spacing w:before="0" w:beforeAutospacing="0" w:after="0" w:afterAutospacing="0"/>
              <w:ind w:left="0" w:right="0"/>
              <w:rPr>
                <w:rFonts w:hint="default" w:ascii="Arial"/>
                <w:sz w:val="21"/>
              </w:rPr>
            </w:pPr>
          </w:p>
        </w:tc>
        <w:tc>
          <w:tcPr>
            <w:tcW w:w="1559" w:type="dxa"/>
            <w:vAlign w:val="top"/>
          </w:tcPr>
          <w:p>
            <w:pPr>
              <w:keepNext w:val="0"/>
              <w:keepLines w:val="0"/>
              <w:suppressLineNumbers w:val="0"/>
              <w:spacing w:before="0" w:beforeAutospacing="0" w:after="0" w:afterAutospacing="0"/>
              <w:ind w:left="0" w:right="0"/>
              <w:rPr>
                <w:rFonts w:hint="default" w:ascii="Arial"/>
                <w:sz w:val="21"/>
              </w:rPr>
            </w:pPr>
          </w:p>
        </w:tc>
        <w:tc>
          <w:tcPr>
            <w:tcW w:w="2384" w:type="dxa"/>
            <w:gridSpan w:val="2"/>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528" w:type="dxa"/>
            <w:gridSpan w:val="2"/>
            <w:vAlign w:val="top"/>
          </w:tcPr>
          <w:p>
            <w:pPr>
              <w:keepNext w:val="0"/>
              <w:keepLines w:val="0"/>
              <w:suppressLineNumbers w:val="0"/>
              <w:spacing w:before="0" w:beforeAutospacing="0" w:after="0" w:afterAutospacing="0"/>
              <w:ind w:left="0" w:right="0"/>
              <w:rPr>
                <w:rFonts w:hint="default" w:ascii="Arial"/>
                <w:sz w:val="21"/>
              </w:rPr>
            </w:pPr>
          </w:p>
        </w:tc>
        <w:tc>
          <w:tcPr>
            <w:tcW w:w="3827" w:type="dxa"/>
            <w:gridSpan w:val="5"/>
            <w:vAlign w:val="top"/>
          </w:tcPr>
          <w:p>
            <w:pPr>
              <w:keepNext w:val="0"/>
              <w:keepLines w:val="0"/>
              <w:suppressLineNumbers w:val="0"/>
              <w:spacing w:before="0" w:beforeAutospacing="0" w:after="0" w:afterAutospacing="0"/>
              <w:ind w:left="0" w:right="0"/>
              <w:rPr>
                <w:rFonts w:hint="default" w:ascii="Arial"/>
                <w:sz w:val="21"/>
              </w:rPr>
            </w:pPr>
          </w:p>
        </w:tc>
        <w:tc>
          <w:tcPr>
            <w:tcW w:w="1559" w:type="dxa"/>
            <w:vAlign w:val="top"/>
          </w:tcPr>
          <w:p>
            <w:pPr>
              <w:keepNext w:val="0"/>
              <w:keepLines w:val="0"/>
              <w:suppressLineNumbers w:val="0"/>
              <w:spacing w:before="0" w:beforeAutospacing="0" w:after="0" w:afterAutospacing="0"/>
              <w:ind w:left="0" w:right="0"/>
              <w:rPr>
                <w:rFonts w:hint="default" w:ascii="Arial"/>
                <w:sz w:val="21"/>
              </w:rPr>
            </w:pPr>
          </w:p>
        </w:tc>
        <w:tc>
          <w:tcPr>
            <w:tcW w:w="2384" w:type="dxa"/>
            <w:gridSpan w:val="2"/>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2403" w:type="dxa"/>
            <w:gridSpan w:val="3"/>
            <w:vAlign w:val="top"/>
          </w:tcPr>
          <w:p>
            <w:pPr>
              <w:pStyle w:val="72"/>
              <w:keepNext w:val="0"/>
              <w:keepLines w:val="0"/>
              <w:suppressLineNumbers w:val="0"/>
              <w:spacing w:before="136" w:beforeAutospacing="0" w:after="0" w:afterAutospacing="0" w:line="221" w:lineRule="auto"/>
              <w:ind w:left="791" w:right="0"/>
              <w:rPr>
                <w:rFonts w:hint="default"/>
              </w:rPr>
            </w:pPr>
            <w:r>
              <w:rPr>
                <w:rFonts w:hint="default"/>
                <w:spacing w:val="-3"/>
              </w:rPr>
              <w:t>获奖情况</w:t>
            </w:r>
          </w:p>
        </w:tc>
        <w:tc>
          <w:tcPr>
            <w:tcW w:w="6895" w:type="dxa"/>
            <w:gridSpan w:val="7"/>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2403" w:type="dxa"/>
            <w:gridSpan w:val="3"/>
            <w:vAlign w:val="top"/>
          </w:tcPr>
          <w:p>
            <w:pPr>
              <w:pStyle w:val="72"/>
              <w:keepNext w:val="0"/>
              <w:keepLines w:val="0"/>
              <w:suppressLineNumbers w:val="0"/>
              <w:spacing w:before="289" w:beforeAutospacing="0" w:after="0" w:afterAutospacing="0" w:line="221" w:lineRule="auto"/>
              <w:ind w:left="579" w:right="0"/>
              <w:rPr>
                <w:rFonts w:hint="default"/>
              </w:rPr>
            </w:pPr>
            <w:r>
              <w:rPr>
                <w:rFonts w:hint="default"/>
                <w:spacing w:val="-2"/>
              </w:rPr>
              <w:t>说明在岗情况</w:t>
            </w:r>
          </w:p>
        </w:tc>
        <w:tc>
          <w:tcPr>
            <w:tcW w:w="6895" w:type="dxa"/>
            <w:gridSpan w:val="7"/>
            <w:vAlign w:val="top"/>
          </w:tcPr>
          <w:p>
            <w:pPr>
              <w:pStyle w:val="72"/>
              <w:keepNext w:val="0"/>
              <w:keepLines w:val="0"/>
              <w:suppressLineNumbers w:val="0"/>
              <w:spacing w:before="15" w:beforeAutospacing="0" w:after="0" w:afterAutospacing="0" w:line="221" w:lineRule="auto"/>
              <w:ind w:left="135" w:right="0"/>
              <w:rPr>
                <w:rFonts w:hint="default"/>
              </w:rPr>
            </w:pPr>
            <w:r>
              <w:rPr>
                <w:rFonts w:hint="default"/>
                <w:spacing w:val="-4"/>
              </w:rPr>
              <w:t>□目前未在其他项目上任职，现从事工作为：</w:t>
            </w:r>
            <w:r>
              <w:rPr>
                <w:rFonts w:hint="default"/>
                <w:spacing w:val="-5"/>
              </w:rPr>
              <w:t>。</w:t>
            </w:r>
          </w:p>
          <w:p>
            <w:pPr>
              <w:pStyle w:val="72"/>
              <w:keepNext w:val="0"/>
              <w:keepLines w:val="0"/>
              <w:suppressLineNumbers w:val="0"/>
              <w:spacing w:before="23" w:beforeAutospacing="0" w:after="0" w:afterAutospacing="0" w:line="220" w:lineRule="auto"/>
              <w:ind w:left="114" w:right="102" w:firstLine="20"/>
              <w:rPr>
                <w:rFonts w:hint="default"/>
              </w:rPr>
            </w:pPr>
            <w:r>
              <w:rPr>
                <w:rFonts w:hint="default"/>
                <w:spacing w:val="-7"/>
              </w:rPr>
              <w:t>□目前虽在其他项目上任职，但本项目中标后能够从该项目撤离，</w:t>
            </w:r>
            <w:r>
              <w:rPr>
                <w:rFonts w:hint="default"/>
                <w:spacing w:val="-8"/>
              </w:rPr>
              <w:t>目前任</w:t>
            </w:r>
            <w:r>
              <w:rPr>
                <w:rFonts w:hint="default"/>
                <w:spacing w:val="-11"/>
              </w:rPr>
              <w:t>职项目</w:t>
            </w:r>
            <w:r>
              <w:rPr>
                <w:rFonts w:hint="default"/>
                <w:spacing w:val="-6"/>
              </w:rPr>
              <w:t>：，</w:t>
            </w:r>
            <w:r>
              <w:rPr>
                <w:rFonts w:hint="default"/>
                <w:spacing w:val="-11"/>
              </w:rPr>
              <w:t>担任职位：。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2403" w:type="dxa"/>
            <w:gridSpan w:val="3"/>
            <w:vAlign w:val="top"/>
          </w:tcPr>
          <w:p>
            <w:pPr>
              <w:pStyle w:val="72"/>
              <w:keepNext w:val="0"/>
              <w:keepLines w:val="0"/>
              <w:suppressLineNumbers w:val="0"/>
              <w:spacing w:before="158" w:beforeAutospacing="0" w:after="0" w:afterAutospacing="0" w:line="222" w:lineRule="auto"/>
              <w:ind w:left="999" w:right="0"/>
              <w:rPr>
                <w:rFonts w:hint="default"/>
              </w:rPr>
            </w:pPr>
            <w:r>
              <w:rPr>
                <w:rFonts w:hint="default"/>
                <w:spacing w:val="-3"/>
              </w:rPr>
              <w:t>备注</w:t>
            </w:r>
          </w:p>
        </w:tc>
        <w:tc>
          <w:tcPr>
            <w:tcW w:w="6895" w:type="dxa"/>
            <w:gridSpan w:val="7"/>
            <w:vAlign w:val="top"/>
          </w:tcPr>
          <w:p>
            <w:pPr>
              <w:keepNext w:val="0"/>
              <w:keepLines w:val="0"/>
              <w:suppressLineNumbers w:val="0"/>
              <w:spacing w:before="0" w:beforeAutospacing="0" w:after="0" w:afterAutospacing="0"/>
              <w:ind w:left="0" w:right="0"/>
              <w:rPr>
                <w:rFonts w:hint="default" w:ascii="Arial"/>
                <w:sz w:val="21"/>
              </w:rPr>
            </w:pPr>
          </w:p>
        </w:tc>
      </w:tr>
    </w:tbl>
    <w:p>
      <w:pPr>
        <w:spacing w:before="123" w:line="220" w:lineRule="auto"/>
        <w:rPr>
          <w:rFonts w:ascii="宋体" w:hAnsi="宋体" w:eastAsia="宋体" w:cs="宋体"/>
          <w:sz w:val="21"/>
          <w:szCs w:val="21"/>
        </w:rPr>
      </w:pPr>
      <w:r>
        <w:rPr>
          <w:rFonts w:ascii="宋体" w:hAnsi="宋体" w:eastAsia="宋体" w:cs="宋体"/>
          <w:spacing w:val="-5"/>
          <w:sz w:val="21"/>
          <w:szCs w:val="21"/>
          <w14:textOutline w14:w="3831" w14:cap="flat" w14:cmpd="sng">
            <w14:solidFill>
              <w14:srgbClr w14:val="000000"/>
            </w14:solidFill>
            <w14:prstDash w14:val="solid"/>
            <w14:miter w14:val="0"/>
          </w14:textOutline>
        </w:rPr>
        <w:t>注：1.本表应填写项目经理和项目总工相关情况。</w:t>
      </w:r>
    </w:p>
    <w:p>
      <w:pPr>
        <w:spacing w:before="116" w:line="220" w:lineRule="auto"/>
        <w:ind w:left="485"/>
        <w:outlineLvl w:val="0"/>
        <w:rPr>
          <w:rFonts w:ascii="宋体" w:hAnsi="宋体" w:eastAsia="宋体" w:cs="宋体"/>
          <w:sz w:val="21"/>
          <w:szCs w:val="21"/>
        </w:rPr>
      </w:pPr>
      <w:bookmarkStart w:id="210" w:name="_Toc6204"/>
      <w:r>
        <w:rPr>
          <w:rFonts w:ascii="宋体" w:hAnsi="宋体" w:eastAsia="宋体" w:cs="宋体"/>
          <w:spacing w:val="-5"/>
          <w:sz w:val="21"/>
          <w:szCs w:val="21"/>
          <w14:textOutline w14:w="3831" w14:cap="flat" w14:cmpd="sng">
            <w14:solidFill>
              <w14:srgbClr w14:val="000000"/>
            </w14:solidFill>
            <w14:prstDash w14:val="solid"/>
            <w14:miter w14:val="0"/>
          </w14:textOutline>
        </w:rPr>
        <w:t>2.投标人应根据招标文件第二章“投标人须知”第</w:t>
      </w:r>
      <w:r>
        <w:rPr>
          <w:rFonts w:ascii="Times New Roman" w:hAnsi="Times New Roman" w:eastAsia="Times New Roman" w:cs="Times New Roman"/>
          <w:b/>
          <w:bCs/>
          <w:spacing w:val="-5"/>
          <w:sz w:val="21"/>
          <w:szCs w:val="21"/>
        </w:rPr>
        <w:t>3.5.5</w:t>
      </w:r>
      <w:r>
        <w:rPr>
          <w:rFonts w:ascii="宋体" w:hAnsi="宋体" w:eastAsia="宋体" w:cs="宋体"/>
          <w:spacing w:val="-5"/>
          <w:sz w:val="21"/>
          <w:szCs w:val="21"/>
          <w14:textOutline w14:w="3831" w14:cap="flat" w14:cmpd="sng">
            <w14:solidFill>
              <w14:srgbClr w14:val="000000"/>
            </w14:solidFill>
            <w14:prstDash w14:val="solid"/>
            <w14:miter w14:val="0"/>
          </w14:textOutline>
        </w:rPr>
        <w:t>项的要求在本表后附相关证明材料。</w:t>
      </w:r>
      <w:bookmarkEnd w:id="210"/>
    </w:p>
    <w:p>
      <w:pPr>
        <w:spacing w:line="220" w:lineRule="auto"/>
        <w:rPr>
          <w:rFonts w:ascii="宋体" w:hAnsi="宋体" w:eastAsia="宋体" w:cs="宋体"/>
          <w:sz w:val="21"/>
          <w:szCs w:val="21"/>
        </w:rPr>
        <w:sectPr>
          <w:footerReference r:id="rId40" w:type="default"/>
          <w:pgSz w:w="11907" w:h="16841"/>
          <w:pgMar w:top="1431" w:right="1298" w:bottom="1216" w:left="1088" w:header="0" w:footer="1055" w:gutter="0"/>
          <w:pgNumType w:fmt="decimal"/>
          <w:cols w:space="720" w:num="1"/>
        </w:sectPr>
      </w:pPr>
    </w:p>
    <w:p>
      <w:pPr>
        <w:pStyle w:val="33"/>
        <w:keepNext/>
        <w:keepLines/>
        <w:pageBreakBefore w:val="0"/>
        <w:widowControl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宋体"/>
          <w:b w:val="0"/>
          <w:bCs w:val="0"/>
          <w:spacing w:val="-5"/>
          <w:kern w:val="2"/>
          <w:sz w:val="21"/>
          <w:szCs w:val="21"/>
          <w:lang w:val="en-US" w:eastAsia="zh-CN" w:bidi="ar-SA"/>
          <w14:textOutline w14:w="3831" w14:cap="flat" w14:cmpd="sng">
            <w14:solidFill>
              <w14:srgbClr w14:val="000000"/>
            </w14:solidFill>
            <w14:prstDash w14:val="solid"/>
            <w14:miter w14:val="0"/>
          </w14:textOutline>
        </w:rPr>
      </w:pPr>
      <w:bookmarkStart w:id="211" w:name="_Toc193904176"/>
      <w:bookmarkStart w:id="212" w:name="_Toc234242180"/>
      <w:bookmarkStart w:id="213" w:name="_Toc234382981"/>
      <w:bookmarkStart w:id="214" w:name="_Toc6836"/>
      <w:r>
        <w:rPr>
          <w:rFonts w:hint="eastAsia" w:ascii="宋体" w:hAnsi="宋体" w:eastAsia="宋体" w:cs="宋体"/>
          <w:b w:val="0"/>
          <w:bCs w:val="0"/>
          <w:spacing w:val="-5"/>
          <w:kern w:val="2"/>
          <w:sz w:val="21"/>
          <w:szCs w:val="21"/>
          <w:lang w:val="en-US" w:eastAsia="zh-CN" w:bidi="ar-SA"/>
          <w14:textOutline w14:w="3831" w14:cap="flat" w14:cmpd="sng">
            <w14:solidFill>
              <w14:srgbClr w14:val="000000"/>
            </w14:solidFill>
            <w14:prstDash w14:val="solid"/>
            <w14:miter w14:val="0"/>
          </w14:textOutline>
        </w:rPr>
        <w:t>（七）</w:t>
      </w:r>
      <w:bookmarkEnd w:id="211"/>
      <w:bookmarkEnd w:id="212"/>
      <w:bookmarkEnd w:id="213"/>
      <w:r>
        <w:rPr>
          <w:rFonts w:hint="eastAsia" w:ascii="宋体" w:hAnsi="宋体" w:eastAsia="宋体" w:cs="宋体"/>
          <w:b w:val="0"/>
          <w:bCs w:val="0"/>
          <w:spacing w:val="-5"/>
          <w:kern w:val="2"/>
          <w:sz w:val="21"/>
          <w:szCs w:val="21"/>
          <w:lang w:val="en-US" w:eastAsia="zh-CN" w:bidi="ar-SA"/>
          <w14:textOutline w14:w="3831" w14:cap="flat" w14:cmpd="sng">
            <w14:solidFill>
              <w14:srgbClr w14:val="000000"/>
            </w14:solidFill>
            <w14:prstDash w14:val="solid"/>
            <w14:miter w14:val="0"/>
          </w14:textOutline>
        </w:rPr>
        <w:t>信用承诺函</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jc w:val="left"/>
        <w:textAlignment w:val="auto"/>
        <w:rPr>
          <w:rFonts w:hint="eastAsia" w:ascii="宋体" w:hAnsi="宋体" w:eastAsia="宋体" w:cs="宋体"/>
          <w:spacing w:val="-2"/>
          <w:kern w:val="2"/>
          <w:sz w:val="21"/>
          <w:szCs w:val="21"/>
          <w:lang w:val="en-US" w:eastAsia="en-US" w:bidi="ar-SA"/>
        </w:rPr>
      </w:pPr>
      <w:r>
        <w:rPr>
          <w:rFonts w:hint="eastAsia" w:ascii="宋体" w:hAnsi="宋体" w:eastAsia="宋体" w:cs="宋体"/>
          <w:spacing w:val="-2"/>
          <w:kern w:val="2"/>
          <w:sz w:val="21"/>
          <w:szCs w:val="21"/>
          <w:lang w:val="en-US" w:eastAsia="zh-CN" w:bidi="ar-SA"/>
        </w:rPr>
        <w:t>致：</w:t>
      </w:r>
      <w:r>
        <w:rPr>
          <w:rFonts w:hint="eastAsia" w:ascii="宋体" w:hAnsi="宋体" w:eastAsia="宋体" w:cs="宋体"/>
          <w:spacing w:val="-2"/>
          <w:kern w:val="2"/>
          <w:sz w:val="21"/>
          <w:szCs w:val="21"/>
          <w:u w:val="single"/>
          <w:lang w:val="en-US" w:eastAsia="zh-CN" w:bidi="ar-SA"/>
        </w:rPr>
        <w:t xml:space="preserve">           </w:t>
      </w:r>
      <w:r>
        <w:rPr>
          <w:rFonts w:hint="eastAsia" w:ascii="宋体" w:hAnsi="宋体" w:eastAsia="宋体" w:cs="宋体"/>
          <w:spacing w:val="-2"/>
          <w:kern w:val="2"/>
          <w:sz w:val="21"/>
          <w:szCs w:val="21"/>
          <w:lang w:val="en-US" w:eastAsia="zh-CN" w:bidi="ar-SA"/>
        </w:rPr>
        <w:t xml:space="preserve">(招标人)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412" w:firstLineChars="200"/>
        <w:jc w:val="left"/>
        <w:textAlignment w:val="auto"/>
        <w:rPr>
          <w:rFonts w:hint="eastAsia" w:ascii="宋体" w:hAnsi="宋体" w:eastAsia="宋体" w:cs="宋体"/>
          <w:spacing w:val="-2"/>
          <w:kern w:val="2"/>
          <w:sz w:val="21"/>
          <w:szCs w:val="21"/>
          <w:lang w:val="en-US" w:eastAsia="en-US" w:bidi="ar-SA"/>
        </w:rPr>
      </w:pPr>
      <w:r>
        <w:rPr>
          <w:rFonts w:hint="eastAsia" w:ascii="宋体" w:hAnsi="宋体" w:eastAsia="宋体" w:cs="宋体"/>
          <w:spacing w:val="-2"/>
          <w:kern w:val="2"/>
          <w:sz w:val="21"/>
          <w:szCs w:val="21"/>
          <w:lang w:val="en-US" w:eastAsia="zh-CN" w:bidi="ar-SA"/>
        </w:rPr>
        <w:t xml:space="preserve">单位名称：                          法定代表人：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412" w:firstLineChars="200"/>
        <w:jc w:val="left"/>
        <w:textAlignment w:val="auto"/>
        <w:rPr>
          <w:rFonts w:hint="eastAsia" w:ascii="宋体" w:hAnsi="宋体" w:eastAsia="宋体" w:cs="宋体"/>
          <w:spacing w:val="-2"/>
          <w:kern w:val="2"/>
          <w:sz w:val="21"/>
          <w:szCs w:val="21"/>
          <w:lang w:val="en-US" w:eastAsia="en-US" w:bidi="ar-SA"/>
        </w:rPr>
      </w:pPr>
      <w:r>
        <w:rPr>
          <w:rFonts w:hint="eastAsia" w:ascii="宋体" w:hAnsi="宋体" w:eastAsia="宋体" w:cs="宋体"/>
          <w:spacing w:val="-2"/>
          <w:kern w:val="2"/>
          <w:sz w:val="21"/>
          <w:szCs w:val="21"/>
          <w:lang w:val="en-US" w:eastAsia="zh-CN" w:bidi="ar-SA"/>
        </w:rPr>
        <w:t xml:space="preserve">统一社会信用代码：                  联系地址和电话：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412" w:firstLineChars="200"/>
        <w:jc w:val="left"/>
        <w:textAlignment w:val="auto"/>
        <w:rPr>
          <w:rFonts w:hint="eastAsia" w:ascii="宋体" w:hAnsi="宋体" w:eastAsia="宋体" w:cs="宋体"/>
          <w:spacing w:val="-2"/>
          <w:kern w:val="2"/>
          <w:sz w:val="21"/>
          <w:szCs w:val="21"/>
          <w:lang w:val="en-US" w:eastAsia="en-US" w:bidi="ar-SA"/>
        </w:rPr>
      </w:pPr>
      <w:r>
        <w:rPr>
          <w:rFonts w:hint="eastAsia" w:ascii="宋体" w:hAnsi="宋体" w:eastAsia="宋体" w:cs="宋体"/>
          <w:spacing w:val="-2"/>
          <w:kern w:val="2"/>
          <w:sz w:val="21"/>
          <w:szCs w:val="21"/>
          <w:lang w:val="en-US" w:eastAsia="zh-CN" w:bidi="ar-SA"/>
        </w:rPr>
        <w:t xml:space="preserve">我单位自愿作出以下承诺：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412" w:firstLineChars="200"/>
        <w:jc w:val="left"/>
        <w:textAlignment w:val="auto"/>
        <w:rPr>
          <w:rFonts w:hint="eastAsia" w:ascii="宋体" w:hAnsi="宋体" w:eastAsia="宋体" w:cs="宋体"/>
          <w:spacing w:val="-2"/>
          <w:kern w:val="2"/>
          <w:sz w:val="21"/>
          <w:szCs w:val="21"/>
          <w:lang w:val="en-US" w:eastAsia="zh-CN" w:bidi="ar-SA"/>
        </w:rPr>
      </w:pPr>
      <w:r>
        <w:rPr>
          <w:rFonts w:hint="eastAsia" w:ascii="宋体" w:hAnsi="宋体" w:eastAsia="宋体" w:cs="宋体"/>
          <w:spacing w:val="-2"/>
          <w:kern w:val="2"/>
          <w:sz w:val="21"/>
          <w:szCs w:val="21"/>
          <w:lang w:val="en-US" w:eastAsia="zh-CN" w:bidi="ar-SA"/>
        </w:rPr>
        <w:t xml:space="preserve">一、我单位自愿参加本次招标活动，严格遵守《中华人民共和国招标投标法》及相关法律法规，依法诚信经营，无条件遵守本次招标活动的各项规定。我单位郑重承诺：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412" w:firstLineChars="200"/>
        <w:jc w:val="left"/>
        <w:textAlignment w:val="auto"/>
        <w:rPr>
          <w:rFonts w:hint="eastAsia" w:ascii="宋体" w:hAnsi="宋体" w:eastAsia="宋体" w:cs="宋体"/>
          <w:spacing w:val="-2"/>
          <w:kern w:val="2"/>
          <w:sz w:val="21"/>
          <w:szCs w:val="21"/>
          <w:lang w:val="en-US" w:eastAsia="zh-CN" w:bidi="ar-SA"/>
        </w:rPr>
      </w:pPr>
      <w:r>
        <w:rPr>
          <w:rFonts w:hint="eastAsia" w:ascii="宋体" w:hAnsi="宋体" w:eastAsia="宋体" w:cs="宋体"/>
          <w:spacing w:val="-2"/>
          <w:kern w:val="2"/>
          <w:sz w:val="21"/>
          <w:szCs w:val="21"/>
          <w:lang w:val="en-US" w:eastAsia="zh-CN" w:bidi="ar-SA"/>
        </w:rPr>
        <w:t xml:space="preserve">（1）具有符合国家相关规定的财务状况报告；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412" w:firstLineChars="200"/>
        <w:jc w:val="left"/>
        <w:textAlignment w:val="auto"/>
        <w:rPr>
          <w:rFonts w:hint="eastAsia" w:ascii="宋体" w:hAnsi="宋体" w:eastAsia="宋体" w:cs="宋体"/>
          <w:spacing w:val="-2"/>
          <w:kern w:val="2"/>
          <w:sz w:val="21"/>
          <w:szCs w:val="21"/>
          <w:lang w:val="en-US" w:eastAsia="zh-CN" w:bidi="ar-SA"/>
        </w:rPr>
      </w:pPr>
      <w:r>
        <w:rPr>
          <w:rFonts w:hint="eastAsia" w:ascii="宋体" w:hAnsi="宋体" w:eastAsia="宋体" w:cs="宋体"/>
          <w:spacing w:val="-2"/>
          <w:kern w:val="2"/>
          <w:sz w:val="21"/>
          <w:szCs w:val="21"/>
          <w:lang w:val="en-US" w:eastAsia="zh-CN" w:bidi="ar-SA"/>
        </w:rPr>
        <w:t xml:space="preserve">（2）具有依法缴纳税收的证明材料；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412" w:firstLineChars="200"/>
        <w:jc w:val="left"/>
        <w:textAlignment w:val="auto"/>
        <w:rPr>
          <w:rFonts w:hint="eastAsia" w:ascii="宋体" w:hAnsi="宋体" w:eastAsia="宋体" w:cs="宋体"/>
          <w:spacing w:val="-2"/>
          <w:kern w:val="2"/>
          <w:sz w:val="21"/>
          <w:szCs w:val="21"/>
          <w:lang w:val="en-US" w:eastAsia="zh-CN" w:bidi="ar-SA"/>
        </w:rPr>
      </w:pPr>
      <w:r>
        <w:rPr>
          <w:rFonts w:hint="eastAsia" w:ascii="宋体" w:hAnsi="宋体" w:eastAsia="宋体" w:cs="宋体"/>
          <w:spacing w:val="-2"/>
          <w:kern w:val="2"/>
          <w:sz w:val="21"/>
          <w:szCs w:val="21"/>
          <w:lang w:val="en-US" w:eastAsia="zh-CN" w:bidi="ar-SA"/>
        </w:rPr>
        <w:t xml:space="preserve">（3）具有依法缴纳社会保障资金的证明材料；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412" w:firstLineChars="200"/>
        <w:jc w:val="left"/>
        <w:textAlignment w:val="auto"/>
        <w:rPr>
          <w:rFonts w:hint="eastAsia" w:ascii="宋体" w:hAnsi="宋体" w:eastAsia="宋体" w:cs="宋体"/>
          <w:spacing w:val="-2"/>
          <w:kern w:val="2"/>
          <w:sz w:val="21"/>
          <w:szCs w:val="21"/>
          <w:lang w:val="en-US" w:eastAsia="zh-CN" w:bidi="ar-SA"/>
        </w:rPr>
      </w:pPr>
      <w:r>
        <w:rPr>
          <w:rFonts w:hint="eastAsia" w:ascii="宋体" w:hAnsi="宋体" w:eastAsia="宋体" w:cs="宋体"/>
          <w:spacing w:val="-2"/>
          <w:kern w:val="2"/>
          <w:sz w:val="21"/>
          <w:szCs w:val="21"/>
          <w:lang w:val="en-US" w:eastAsia="zh-CN" w:bidi="ar-SA"/>
        </w:rPr>
        <w:t xml:space="preserve">（4）具备履行合同所必需的设备和专业技术能力的证明材料；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412" w:firstLineChars="200"/>
        <w:jc w:val="left"/>
        <w:textAlignment w:val="auto"/>
        <w:rPr>
          <w:rFonts w:hint="eastAsia" w:ascii="宋体" w:hAnsi="宋体" w:eastAsia="宋体" w:cs="宋体"/>
          <w:spacing w:val="-2"/>
          <w:kern w:val="2"/>
          <w:sz w:val="21"/>
          <w:szCs w:val="21"/>
          <w:lang w:val="en-US" w:eastAsia="zh-CN" w:bidi="ar-SA"/>
        </w:rPr>
      </w:pPr>
      <w:r>
        <w:rPr>
          <w:rFonts w:hint="eastAsia" w:ascii="宋体" w:hAnsi="宋体" w:eastAsia="宋体" w:cs="宋体"/>
          <w:spacing w:val="-2"/>
          <w:kern w:val="2"/>
          <w:sz w:val="21"/>
          <w:szCs w:val="21"/>
          <w:lang w:val="en-US" w:eastAsia="zh-CN" w:bidi="ar-SA"/>
        </w:rPr>
        <w:t xml:space="preserve">（5）参加招标活动前三年内在经营活动中没有重大违法记录；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412" w:firstLineChars="200"/>
        <w:jc w:val="left"/>
        <w:textAlignment w:val="auto"/>
        <w:rPr>
          <w:rFonts w:hint="eastAsia" w:ascii="宋体" w:hAnsi="宋体" w:eastAsia="宋体" w:cs="宋体"/>
          <w:spacing w:val="-2"/>
          <w:kern w:val="2"/>
          <w:sz w:val="21"/>
          <w:szCs w:val="21"/>
          <w:lang w:val="en-US" w:eastAsia="zh-CN" w:bidi="ar-SA"/>
        </w:rPr>
      </w:pPr>
      <w:r>
        <w:rPr>
          <w:rFonts w:hint="eastAsia" w:ascii="宋体" w:hAnsi="宋体" w:eastAsia="宋体" w:cs="宋体"/>
          <w:spacing w:val="-2"/>
          <w:kern w:val="2"/>
          <w:sz w:val="21"/>
          <w:szCs w:val="21"/>
          <w:lang w:val="en-US" w:eastAsia="zh-CN" w:bidi="ar-SA"/>
        </w:rPr>
        <w:t>（6）未被列入失信被执行人、重大税收违法案件当事人名单政府采购严重违法失信行为记录名单。</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412" w:firstLineChars="200"/>
        <w:jc w:val="left"/>
        <w:textAlignment w:val="auto"/>
        <w:rPr>
          <w:rFonts w:hint="eastAsia" w:ascii="宋体" w:hAnsi="宋体" w:eastAsia="宋体" w:cs="宋体"/>
          <w:spacing w:val="-2"/>
          <w:kern w:val="2"/>
          <w:sz w:val="21"/>
          <w:szCs w:val="21"/>
          <w:lang w:val="en-US" w:eastAsia="en-US" w:bidi="ar-SA"/>
        </w:rPr>
      </w:pPr>
      <w:r>
        <w:rPr>
          <w:rFonts w:hint="eastAsia" w:ascii="宋体" w:hAnsi="宋体" w:eastAsia="宋体" w:cs="宋体"/>
          <w:spacing w:val="-2"/>
          <w:kern w:val="2"/>
          <w:sz w:val="21"/>
          <w:szCs w:val="21"/>
          <w:lang w:val="en-US" w:eastAsia="zh-CN" w:bidi="ar-SA"/>
        </w:rPr>
        <w:t xml:space="preserve">二、我单位保证上述承诺事项的真实性。如有弄虚作假或其他违法违规行为，自愿放弃中标资格并按照规定将违背承诺行为作为失信行为记录到社会信用信息平台，并视同为“提供虚假材料谋取中标”。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412" w:firstLineChars="200"/>
        <w:jc w:val="left"/>
        <w:textAlignment w:val="auto"/>
        <w:rPr>
          <w:rFonts w:hint="eastAsia" w:ascii="宋体" w:hAnsi="宋体" w:eastAsia="宋体" w:cs="宋体"/>
          <w:spacing w:val="-2"/>
          <w:kern w:val="2"/>
          <w:sz w:val="21"/>
          <w:szCs w:val="21"/>
          <w:lang w:val="en-US" w:eastAsia="en-US" w:bidi="ar-SA"/>
        </w:rPr>
      </w:pPr>
      <w:r>
        <w:rPr>
          <w:rFonts w:hint="eastAsia" w:ascii="宋体" w:hAnsi="宋体" w:eastAsia="宋体" w:cs="宋体"/>
          <w:spacing w:val="-2"/>
          <w:kern w:val="2"/>
          <w:sz w:val="21"/>
          <w:szCs w:val="21"/>
          <w:lang w:val="en-US" w:eastAsia="zh-CN" w:bidi="ar-SA"/>
        </w:rPr>
        <w:t xml:space="preserve">三、在签订合同前招标人要求提供相关证明材料的，积极配合招标人提供证明材料。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412" w:firstLineChars="200"/>
        <w:jc w:val="right"/>
        <w:textAlignment w:val="auto"/>
        <w:rPr>
          <w:rFonts w:hint="eastAsia" w:ascii="宋体" w:hAnsi="宋体" w:eastAsia="宋体" w:cs="宋体"/>
          <w:spacing w:val="-2"/>
          <w:kern w:val="2"/>
          <w:sz w:val="21"/>
          <w:szCs w:val="21"/>
          <w:lang w:val="en-US" w:eastAsia="en-US" w:bidi="ar-SA"/>
        </w:rPr>
      </w:pPr>
      <w:r>
        <w:rPr>
          <w:rFonts w:hint="eastAsia" w:ascii="宋体" w:hAnsi="宋体" w:eastAsia="宋体" w:cs="宋体"/>
          <w:spacing w:val="-2"/>
          <w:kern w:val="2"/>
          <w:sz w:val="21"/>
          <w:szCs w:val="21"/>
          <w:lang w:val="en-US" w:eastAsia="zh-CN" w:bidi="ar-SA"/>
        </w:rPr>
        <w:t xml:space="preserve">      投 标 人：</w:t>
      </w:r>
      <w:r>
        <w:rPr>
          <w:rFonts w:hint="eastAsia" w:ascii="宋体" w:hAnsi="宋体" w:eastAsia="宋体" w:cs="宋体"/>
          <w:spacing w:val="-2"/>
          <w:kern w:val="2"/>
          <w:sz w:val="21"/>
          <w:szCs w:val="21"/>
          <w:u w:val="single"/>
          <w:lang w:val="en-US" w:eastAsia="zh-CN" w:bidi="ar-SA"/>
        </w:rPr>
        <w:t xml:space="preserve">                             </w:t>
      </w:r>
      <w:r>
        <w:rPr>
          <w:rFonts w:hint="eastAsia" w:ascii="宋体" w:hAnsi="宋体" w:eastAsia="宋体" w:cs="宋体"/>
          <w:spacing w:val="-2"/>
          <w:kern w:val="2"/>
          <w:sz w:val="21"/>
          <w:szCs w:val="21"/>
          <w:lang w:val="en-US" w:eastAsia="zh-CN" w:bidi="ar-SA"/>
        </w:rPr>
        <w:t xml:space="preserve">(企业电子章)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412" w:firstLineChars="200"/>
        <w:jc w:val="right"/>
        <w:textAlignment w:val="auto"/>
        <w:rPr>
          <w:rFonts w:hint="eastAsia" w:ascii="宋体" w:hAnsi="宋体" w:eastAsia="宋体" w:cs="宋体"/>
          <w:spacing w:val="-2"/>
          <w:kern w:val="2"/>
          <w:sz w:val="21"/>
          <w:szCs w:val="21"/>
          <w:lang w:val="en-US" w:eastAsia="en-US" w:bidi="ar-SA"/>
        </w:rPr>
      </w:pPr>
      <w:r>
        <w:rPr>
          <w:rFonts w:hint="eastAsia" w:ascii="宋体" w:hAnsi="宋体" w:eastAsia="宋体" w:cs="宋体"/>
          <w:spacing w:val="-2"/>
          <w:kern w:val="2"/>
          <w:sz w:val="21"/>
          <w:szCs w:val="21"/>
          <w:lang w:val="en-US" w:eastAsia="zh-CN" w:bidi="ar-SA"/>
        </w:rPr>
        <w:t>法定代表人或其委托代理人：</w:t>
      </w:r>
      <w:r>
        <w:rPr>
          <w:rFonts w:hint="eastAsia" w:ascii="宋体" w:hAnsi="宋体" w:eastAsia="宋体" w:cs="宋体"/>
          <w:spacing w:val="-2"/>
          <w:kern w:val="2"/>
          <w:sz w:val="21"/>
          <w:szCs w:val="21"/>
          <w:u w:val="single"/>
          <w:lang w:val="en-US" w:eastAsia="zh-CN" w:bidi="ar-SA"/>
        </w:rPr>
        <w:t xml:space="preserve">       </w:t>
      </w:r>
      <w:r>
        <w:rPr>
          <w:rFonts w:hint="eastAsia" w:ascii="宋体" w:hAnsi="宋体" w:eastAsia="宋体" w:cs="宋体"/>
          <w:spacing w:val="-2"/>
          <w:kern w:val="2"/>
          <w:sz w:val="21"/>
          <w:szCs w:val="21"/>
          <w:lang w:val="en-US" w:eastAsia="zh-CN" w:bidi="ar-SA"/>
        </w:rPr>
        <w:t xml:space="preserve">(签字或盖电子章)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412" w:firstLineChars="200"/>
        <w:jc w:val="right"/>
        <w:textAlignment w:val="auto"/>
        <w:rPr>
          <w:rFonts w:hint="eastAsia" w:ascii="宋体" w:hAnsi="宋体" w:eastAsia="宋体" w:cs="宋体"/>
          <w:color w:val="auto"/>
          <w:sz w:val="24"/>
          <w:szCs w:val="24"/>
          <w:highlight w:val="none"/>
        </w:rPr>
      </w:pPr>
      <w:r>
        <w:rPr>
          <w:rFonts w:hint="eastAsia" w:ascii="宋体" w:hAnsi="宋体" w:eastAsia="宋体" w:cs="宋体"/>
          <w:spacing w:val="-2"/>
          <w:kern w:val="2"/>
          <w:sz w:val="21"/>
          <w:szCs w:val="21"/>
          <w:lang w:val="en-US" w:eastAsia="zh-CN" w:bidi="ar-SA"/>
        </w:rPr>
        <w:t>日期：     年    月    日</w:t>
      </w:r>
      <w:r>
        <w:rPr>
          <w:rFonts w:hint="eastAsia" w:ascii="宋体" w:hAnsi="宋体" w:eastAsia="宋体" w:cs="宋体"/>
          <w:color w:val="auto"/>
          <w:kern w:val="0"/>
          <w:sz w:val="24"/>
          <w:szCs w:val="24"/>
          <w:highlight w:val="none"/>
          <w:lang w:val="en-US" w:eastAsia="zh-CN" w:bidi="ar"/>
        </w:rPr>
        <w:t xml:space="preserve"> </w:t>
      </w:r>
    </w:p>
    <w:p>
      <w:pPr>
        <w:pageBreakBefore w:val="0"/>
        <w:kinsoku/>
        <w:overflowPunct/>
        <w:bidi w:val="0"/>
        <w:spacing w:beforeAutospacing="0" w:afterAutospacing="0" w:line="360" w:lineRule="auto"/>
        <w:ind w:left="0" w:leftChars="0" w:right="0" w:rightChars="0"/>
        <w:jc w:val="center"/>
        <w:outlineLvl w:val="2"/>
        <w:rPr>
          <w:rFonts w:hint="eastAsia" w:ascii="宋体" w:hAnsi="宋体" w:eastAsia="宋体" w:cs="宋体"/>
          <w:b/>
          <w:color w:val="auto"/>
          <w:sz w:val="24"/>
          <w:szCs w:val="24"/>
          <w:highlight w:val="none"/>
        </w:rPr>
      </w:pPr>
    </w:p>
    <w:p>
      <w:pPr>
        <w:spacing w:line="240" w:lineRule="auto"/>
        <w:ind w:left="0"/>
        <w:jc w:val="left"/>
        <w:outlineLvl w:val="1"/>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spacing w:val="-5"/>
          <w:sz w:val="21"/>
          <w:szCs w:val="21"/>
          <w:lang w:val="en-US" w:eastAsia="zh-CN"/>
          <w14:textOutline w14:w="3831" w14:cap="flat" w14:cmpd="sng">
            <w14:solidFill>
              <w14:srgbClr w14:val="000000"/>
            </w14:solidFill>
            <w14:prstDash w14:val="solid"/>
            <w14:miter w14:val="0"/>
          </w14:textOutline>
        </w:rPr>
        <w:t>注：投标人须在投标文件中按此模板提供承诺函，未提供视为未实质性响应招标文件要求，按无效投标处理。如为联合体，则联合体成员均需提供。</w:t>
      </w:r>
    </w:p>
    <w:p>
      <w:pPr>
        <w:spacing w:line="240" w:lineRule="auto"/>
        <w:ind w:left="0"/>
        <w:jc w:val="left"/>
        <w:outlineLvl w:val="1"/>
        <w:rPr>
          <w:rFonts w:hint="eastAsia" w:ascii="宋体" w:hAnsi="宋体" w:eastAsia="宋体" w:cs="宋体"/>
          <w:b/>
          <w:bCs/>
          <w:color w:val="auto"/>
          <w:kern w:val="0"/>
          <w:sz w:val="24"/>
          <w:szCs w:val="24"/>
          <w:highlight w:val="none"/>
          <w:lang w:val="en-US" w:eastAsia="zh-CN" w:bidi="ar"/>
        </w:rPr>
      </w:pPr>
    </w:p>
    <w:p>
      <w:pPr>
        <w:spacing w:line="240" w:lineRule="auto"/>
        <w:ind w:left="0"/>
        <w:jc w:val="left"/>
        <w:outlineLvl w:val="1"/>
        <w:rPr>
          <w:rFonts w:hint="eastAsia" w:ascii="宋体" w:hAnsi="宋体" w:eastAsia="宋体" w:cs="宋体"/>
          <w:b/>
          <w:bCs/>
          <w:color w:val="auto"/>
          <w:kern w:val="0"/>
          <w:sz w:val="24"/>
          <w:szCs w:val="24"/>
          <w:highlight w:val="none"/>
          <w:lang w:val="en-US" w:eastAsia="zh-CN" w:bidi="ar"/>
        </w:rPr>
      </w:pPr>
    </w:p>
    <w:p>
      <w:pPr>
        <w:spacing w:line="240" w:lineRule="auto"/>
        <w:ind w:left="0"/>
        <w:jc w:val="left"/>
        <w:outlineLvl w:val="1"/>
        <w:rPr>
          <w:rFonts w:hint="eastAsia" w:ascii="宋体" w:hAnsi="宋体" w:eastAsia="宋体" w:cs="宋体"/>
          <w:b/>
          <w:bCs/>
          <w:color w:val="auto"/>
          <w:kern w:val="0"/>
          <w:sz w:val="24"/>
          <w:szCs w:val="24"/>
          <w:highlight w:val="none"/>
          <w:lang w:val="en-US" w:eastAsia="zh-CN" w:bidi="ar"/>
        </w:rPr>
      </w:pPr>
      <w:bookmarkStart w:id="223" w:name="_GoBack"/>
      <w:bookmarkEnd w:id="223"/>
    </w:p>
    <w:p>
      <w:pPr>
        <w:spacing w:line="240" w:lineRule="auto"/>
        <w:ind w:left="0"/>
        <w:jc w:val="left"/>
        <w:outlineLvl w:val="1"/>
        <w:rPr>
          <w:rFonts w:hint="eastAsia" w:ascii="宋体" w:hAnsi="宋体" w:eastAsia="宋体" w:cs="宋体"/>
          <w:b/>
          <w:bCs/>
          <w:color w:val="auto"/>
          <w:kern w:val="0"/>
          <w:sz w:val="24"/>
          <w:szCs w:val="24"/>
          <w:highlight w:val="none"/>
          <w:lang w:val="en-US" w:eastAsia="zh-CN" w:bidi="ar"/>
        </w:rPr>
      </w:pPr>
    </w:p>
    <w:p>
      <w:pPr>
        <w:spacing w:line="240" w:lineRule="auto"/>
        <w:ind w:left="0"/>
        <w:jc w:val="left"/>
        <w:outlineLvl w:val="1"/>
        <w:rPr>
          <w:rFonts w:hint="eastAsia" w:ascii="宋体" w:hAnsi="宋体" w:eastAsia="宋体" w:cs="宋体"/>
          <w:b/>
          <w:bCs/>
          <w:color w:val="auto"/>
          <w:kern w:val="0"/>
          <w:sz w:val="24"/>
          <w:szCs w:val="24"/>
          <w:highlight w:val="none"/>
          <w:lang w:val="en-US" w:eastAsia="zh-CN" w:bidi="ar"/>
        </w:rPr>
      </w:pPr>
    </w:p>
    <w:p>
      <w:pPr>
        <w:spacing w:line="240" w:lineRule="auto"/>
        <w:ind w:left="0"/>
        <w:jc w:val="left"/>
        <w:outlineLvl w:val="1"/>
        <w:rPr>
          <w:rFonts w:hint="eastAsia" w:ascii="宋体" w:hAnsi="宋体" w:eastAsia="宋体" w:cs="宋体"/>
          <w:b/>
          <w:bCs/>
          <w:color w:val="auto"/>
          <w:kern w:val="0"/>
          <w:sz w:val="24"/>
          <w:szCs w:val="24"/>
          <w:highlight w:val="none"/>
          <w:lang w:val="en-US" w:eastAsia="zh-CN" w:bidi="ar"/>
        </w:rPr>
      </w:pPr>
    </w:p>
    <w:p>
      <w:pPr>
        <w:spacing w:line="240" w:lineRule="auto"/>
        <w:ind w:left="0"/>
        <w:jc w:val="left"/>
        <w:outlineLvl w:val="1"/>
        <w:rPr>
          <w:rFonts w:hint="eastAsia" w:ascii="宋体" w:hAnsi="宋体" w:eastAsia="宋体" w:cs="宋体"/>
          <w:b/>
          <w:bCs/>
          <w:color w:val="auto"/>
          <w:kern w:val="0"/>
          <w:sz w:val="24"/>
          <w:szCs w:val="24"/>
          <w:highlight w:val="none"/>
          <w:lang w:val="en-US" w:eastAsia="zh-CN" w:bidi="ar"/>
        </w:rPr>
      </w:pPr>
    </w:p>
    <w:p>
      <w:pPr>
        <w:spacing w:line="240" w:lineRule="auto"/>
        <w:ind w:left="0"/>
        <w:jc w:val="left"/>
        <w:outlineLvl w:val="1"/>
        <w:rPr>
          <w:rFonts w:hint="eastAsia" w:ascii="宋体" w:hAnsi="宋体" w:eastAsia="宋体" w:cs="宋体"/>
          <w:b/>
          <w:bCs/>
          <w:color w:val="auto"/>
          <w:kern w:val="0"/>
          <w:sz w:val="24"/>
          <w:szCs w:val="24"/>
          <w:highlight w:val="none"/>
          <w:lang w:val="en-US" w:eastAsia="zh-CN" w:bidi="ar"/>
        </w:rPr>
      </w:pPr>
    </w:p>
    <w:p>
      <w:pPr>
        <w:spacing w:line="240" w:lineRule="auto"/>
        <w:ind w:left="0"/>
        <w:jc w:val="left"/>
        <w:outlineLvl w:val="1"/>
        <w:rPr>
          <w:rFonts w:hint="eastAsia" w:ascii="宋体" w:hAnsi="宋体" w:eastAsia="宋体" w:cs="宋体"/>
          <w:b/>
          <w:bCs/>
          <w:color w:val="auto"/>
          <w:kern w:val="0"/>
          <w:sz w:val="24"/>
          <w:szCs w:val="24"/>
          <w:highlight w:val="none"/>
          <w:lang w:val="en-US" w:eastAsia="zh-CN" w:bidi="ar"/>
        </w:rPr>
      </w:pPr>
    </w:p>
    <w:p>
      <w:pPr>
        <w:spacing w:line="240" w:lineRule="auto"/>
        <w:ind w:left="0"/>
        <w:jc w:val="left"/>
        <w:outlineLvl w:val="1"/>
        <w:rPr>
          <w:rFonts w:hint="eastAsia" w:ascii="宋体" w:hAnsi="宋体" w:eastAsia="宋体" w:cs="宋体"/>
          <w:b/>
          <w:bCs/>
          <w:color w:val="auto"/>
          <w:kern w:val="0"/>
          <w:sz w:val="24"/>
          <w:szCs w:val="24"/>
          <w:highlight w:val="none"/>
          <w:lang w:val="en-US" w:eastAsia="zh-CN" w:bidi="ar"/>
        </w:rPr>
      </w:pPr>
    </w:p>
    <w:p>
      <w:pPr>
        <w:spacing w:line="240" w:lineRule="auto"/>
        <w:ind w:left="0"/>
        <w:jc w:val="center"/>
        <w:outlineLvl w:val="1"/>
        <w:rPr>
          <w:rFonts w:hint="eastAsia" w:ascii="宋体" w:hAnsi="宋体" w:eastAsia="宋体" w:cs="宋体"/>
          <w:spacing w:val="-13"/>
          <w:sz w:val="21"/>
          <w:szCs w:val="21"/>
          <w:lang w:val="en-US" w:eastAsia="zh-CN"/>
          <w14:textOutline w14:w="3831" w14:cap="flat" w14:cmpd="sng">
            <w14:solidFill>
              <w14:srgbClr w14:val="000000"/>
            </w14:solidFill>
            <w14:prstDash w14:val="solid"/>
            <w14:miter w14:val="0"/>
          </w14:textOutline>
        </w:rPr>
      </w:pPr>
    </w:p>
    <w:p>
      <w:pPr>
        <w:spacing w:line="240" w:lineRule="auto"/>
        <w:ind w:left="0"/>
        <w:jc w:val="center"/>
        <w:outlineLvl w:val="1"/>
        <w:rPr>
          <w:rFonts w:hint="eastAsia" w:ascii="宋体" w:hAnsi="宋体" w:eastAsia="宋体" w:cs="宋体"/>
          <w:spacing w:val="-13"/>
          <w:sz w:val="21"/>
          <w:szCs w:val="21"/>
          <w:lang w:val="en-US" w:eastAsia="zh-CN"/>
          <w14:textOutline w14:w="3831" w14:cap="flat" w14:cmpd="sng">
            <w14:solidFill>
              <w14:srgbClr w14:val="000000"/>
            </w14:solidFill>
            <w14:prstDash w14:val="solid"/>
            <w14:miter w14:val="0"/>
          </w14:textOutline>
        </w:rPr>
      </w:pPr>
    </w:p>
    <w:p>
      <w:pPr>
        <w:spacing w:line="240" w:lineRule="auto"/>
        <w:ind w:left="0"/>
        <w:jc w:val="center"/>
        <w:outlineLvl w:val="1"/>
        <w:rPr>
          <w:rFonts w:hint="eastAsia" w:ascii="宋体" w:hAnsi="宋体" w:eastAsia="宋体" w:cs="宋体"/>
          <w:spacing w:val="-13"/>
          <w:sz w:val="21"/>
          <w:szCs w:val="21"/>
          <w:lang w:val="en-US" w:eastAsia="zh-CN"/>
          <w14:textOutline w14:w="3831" w14:cap="flat" w14:cmpd="sng">
            <w14:solidFill>
              <w14:srgbClr w14:val="000000"/>
            </w14:solidFill>
            <w14:prstDash w14:val="solid"/>
            <w14:miter w14:val="0"/>
          </w14:textOutline>
        </w:rPr>
      </w:pPr>
    </w:p>
    <w:p>
      <w:pPr>
        <w:spacing w:line="240" w:lineRule="auto"/>
        <w:ind w:left="0"/>
        <w:jc w:val="center"/>
        <w:outlineLvl w:val="1"/>
        <w:rPr>
          <w:rFonts w:hint="eastAsia" w:ascii="宋体" w:hAnsi="宋体" w:eastAsia="宋体" w:cs="宋体"/>
          <w:spacing w:val="-13"/>
          <w:sz w:val="21"/>
          <w:szCs w:val="21"/>
          <w:lang w:val="en-US" w:eastAsia="zh-CN"/>
          <w14:textOutline w14:w="3831" w14:cap="flat" w14:cmpd="sng">
            <w14:solidFill>
              <w14:srgbClr w14:val="000000"/>
            </w14:solidFill>
            <w14:prstDash w14:val="solid"/>
            <w14:miter w14:val="0"/>
          </w14:textOutline>
        </w:rPr>
      </w:pPr>
    </w:p>
    <w:p>
      <w:pPr>
        <w:spacing w:line="240" w:lineRule="auto"/>
        <w:ind w:left="0"/>
        <w:jc w:val="center"/>
        <w:outlineLvl w:val="1"/>
        <w:rPr>
          <w:rFonts w:hint="eastAsia" w:ascii="宋体" w:hAnsi="宋体" w:eastAsia="宋体" w:cs="宋体"/>
          <w:spacing w:val="-13"/>
          <w:sz w:val="21"/>
          <w:szCs w:val="21"/>
          <w:lang w:val="en-US" w:eastAsia="zh-CN"/>
          <w14:textOutline w14:w="3831" w14:cap="flat" w14:cmpd="sng">
            <w14:solidFill>
              <w14:srgbClr w14:val="000000"/>
            </w14:solidFill>
            <w14:prstDash w14:val="solid"/>
            <w14:miter w14:val="0"/>
          </w14:textOutline>
        </w:rPr>
      </w:pPr>
    </w:p>
    <w:p>
      <w:pPr>
        <w:spacing w:line="240" w:lineRule="auto"/>
        <w:ind w:left="0"/>
        <w:jc w:val="center"/>
        <w:outlineLvl w:val="1"/>
        <w:rPr>
          <w:rFonts w:hint="eastAsia" w:ascii="宋体" w:hAnsi="宋体" w:eastAsia="宋体" w:cs="宋体"/>
          <w:spacing w:val="-13"/>
          <w:sz w:val="21"/>
          <w:szCs w:val="21"/>
          <w:lang w:val="en-US" w:eastAsia="zh-CN"/>
          <w14:textOutline w14:w="3831" w14:cap="flat" w14:cmpd="sng">
            <w14:solidFill>
              <w14:srgbClr w14:val="000000"/>
            </w14:solidFill>
            <w14:prstDash w14:val="solid"/>
            <w14:miter w14:val="0"/>
          </w14:textOutline>
        </w:rPr>
      </w:pPr>
    </w:p>
    <w:p>
      <w:pPr>
        <w:spacing w:line="240" w:lineRule="auto"/>
        <w:ind w:left="0"/>
        <w:jc w:val="center"/>
        <w:outlineLvl w:val="1"/>
        <w:rPr>
          <w:rFonts w:ascii="宋体" w:hAnsi="宋体" w:eastAsia="宋体" w:cs="宋体"/>
          <w:sz w:val="21"/>
          <w:szCs w:val="21"/>
        </w:rPr>
      </w:pPr>
      <w:r>
        <w:rPr>
          <w:rFonts w:hint="eastAsia" w:ascii="宋体" w:hAnsi="宋体" w:eastAsia="宋体" w:cs="宋体"/>
          <w:spacing w:val="-13"/>
          <w:sz w:val="21"/>
          <w:szCs w:val="21"/>
          <w:lang w:val="en-US" w:eastAsia="zh-CN"/>
          <w14:textOutline w14:w="3831" w14:cap="flat" w14:cmpd="sng">
            <w14:solidFill>
              <w14:srgbClr w14:val="000000"/>
            </w14:solidFill>
            <w14:prstDash w14:val="solid"/>
            <w14:miter w14:val="0"/>
          </w14:textOutline>
        </w:rPr>
        <w:t>七</w:t>
      </w:r>
      <w:r>
        <w:rPr>
          <w:rFonts w:ascii="宋体" w:hAnsi="宋体" w:eastAsia="宋体" w:cs="宋体"/>
          <w:spacing w:val="-13"/>
          <w:sz w:val="21"/>
          <w:szCs w:val="21"/>
          <w14:textOutline w14:w="3831" w14:cap="flat" w14:cmpd="sng">
            <w14:solidFill>
              <w14:srgbClr w14:val="000000"/>
            </w14:solidFill>
            <w14:prstDash w14:val="solid"/>
            <w14:miter w14:val="0"/>
          </w14:textOutline>
        </w:rPr>
        <w:t>、其他资料</w:t>
      </w:r>
      <w:bookmarkEnd w:id="214"/>
    </w:p>
    <w:p>
      <w:pPr>
        <w:pStyle w:val="8"/>
        <w:spacing w:line="408" w:lineRule="auto"/>
      </w:pPr>
    </w:p>
    <w:p>
      <w:pPr>
        <w:spacing w:before="78" w:line="219" w:lineRule="auto"/>
        <w:ind w:left="2169"/>
        <w:rPr>
          <w:rFonts w:ascii="宋体" w:hAnsi="宋体" w:eastAsia="宋体" w:cs="宋体"/>
          <w:sz w:val="24"/>
          <w:szCs w:val="24"/>
        </w:rPr>
      </w:pPr>
      <w:bookmarkStart w:id="215" w:name="bookmark56"/>
      <w:bookmarkEnd w:id="215"/>
      <w:r>
        <w:rPr>
          <w:rFonts w:ascii="宋体" w:hAnsi="宋体" w:eastAsia="宋体" w:cs="宋体"/>
          <w:sz w:val="24"/>
          <w:szCs w:val="24"/>
          <w14:textOutline w14:w="4354" w14:cap="flat" w14:cmpd="sng">
            <w14:solidFill>
              <w14:srgbClr w14:val="000000"/>
            </w14:solidFill>
            <w14:prstDash w14:val="solid"/>
            <w14:miter w14:val="0"/>
          </w14:textOutline>
        </w:rPr>
        <w:t>（一）拟委任的其他管理和技术人员汇总表</w:t>
      </w:r>
    </w:p>
    <w:p>
      <w:pPr>
        <w:spacing w:before="30"/>
      </w:pPr>
    </w:p>
    <w:p>
      <w:pPr>
        <w:spacing w:before="30"/>
      </w:pPr>
    </w:p>
    <w:tbl>
      <w:tblPr>
        <w:tblStyle w:val="68"/>
        <w:tblW w:w="8283" w:type="dxa"/>
        <w:tblInd w:w="3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8"/>
        <w:gridCol w:w="926"/>
        <w:gridCol w:w="2680"/>
        <w:gridCol w:w="1386"/>
        <w:gridCol w:w="23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1" w:hRule="atLeast"/>
        </w:trPr>
        <w:tc>
          <w:tcPr>
            <w:tcW w:w="938" w:type="dxa"/>
            <w:vAlign w:val="top"/>
          </w:tcPr>
          <w:p>
            <w:pPr>
              <w:keepNext w:val="0"/>
              <w:keepLines w:val="0"/>
              <w:suppressLineNumbers w:val="0"/>
              <w:spacing w:before="0" w:beforeAutospacing="0" w:after="0" w:afterAutospacing="0" w:line="283" w:lineRule="auto"/>
              <w:ind w:left="0" w:right="0"/>
              <w:rPr>
                <w:rFonts w:hint="default" w:ascii="Arial"/>
                <w:sz w:val="21"/>
              </w:rPr>
            </w:pPr>
          </w:p>
          <w:p>
            <w:pPr>
              <w:pStyle w:val="72"/>
              <w:keepNext w:val="0"/>
              <w:keepLines w:val="0"/>
              <w:suppressLineNumbers w:val="0"/>
              <w:spacing w:before="68" w:beforeAutospacing="0" w:after="0" w:afterAutospacing="0" w:line="221" w:lineRule="auto"/>
              <w:ind w:left="264" w:right="0"/>
              <w:rPr>
                <w:rFonts w:hint="default"/>
              </w:rPr>
            </w:pPr>
            <w:r>
              <w:rPr>
                <w:rFonts w:hint="default"/>
                <w:spacing w:val="-2"/>
              </w:rPr>
              <w:t>姓名</w:t>
            </w:r>
          </w:p>
        </w:tc>
        <w:tc>
          <w:tcPr>
            <w:tcW w:w="926" w:type="dxa"/>
            <w:vAlign w:val="top"/>
          </w:tcPr>
          <w:p>
            <w:pPr>
              <w:keepNext w:val="0"/>
              <w:keepLines w:val="0"/>
              <w:suppressLineNumbers w:val="0"/>
              <w:spacing w:before="0" w:beforeAutospacing="0" w:after="0" w:afterAutospacing="0" w:line="283" w:lineRule="auto"/>
              <w:ind w:left="0" w:right="0"/>
              <w:rPr>
                <w:rFonts w:hint="default" w:ascii="Arial"/>
                <w:sz w:val="21"/>
              </w:rPr>
            </w:pPr>
          </w:p>
          <w:p>
            <w:pPr>
              <w:pStyle w:val="72"/>
              <w:keepNext w:val="0"/>
              <w:keepLines w:val="0"/>
              <w:suppressLineNumbers w:val="0"/>
              <w:spacing w:before="68" w:beforeAutospacing="0" w:after="0" w:afterAutospacing="0" w:line="221" w:lineRule="auto"/>
              <w:ind w:left="256" w:right="0"/>
              <w:rPr>
                <w:rFonts w:hint="default"/>
              </w:rPr>
            </w:pPr>
            <w:r>
              <w:rPr>
                <w:rFonts w:hint="default"/>
                <w:spacing w:val="-2"/>
              </w:rPr>
              <w:t>年龄</w:t>
            </w:r>
          </w:p>
        </w:tc>
        <w:tc>
          <w:tcPr>
            <w:tcW w:w="2680" w:type="dxa"/>
            <w:vAlign w:val="top"/>
          </w:tcPr>
          <w:p>
            <w:pPr>
              <w:keepNext w:val="0"/>
              <w:keepLines w:val="0"/>
              <w:suppressLineNumbers w:val="0"/>
              <w:spacing w:before="0" w:beforeAutospacing="0" w:after="0" w:afterAutospacing="0" w:line="284" w:lineRule="auto"/>
              <w:ind w:left="0" w:right="0"/>
              <w:rPr>
                <w:rFonts w:hint="default" w:ascii="Arial"/>
                <w:sz w:val="21"/>
              </w:rPr>
            </w:pPr>
          </w:p>
          <w:p>
            <w:pPr>
              <w:pStyle w:val="72"/>
              <w:keepNext w:val="0"/>
              <w:keepLines w:val="0"/>
              <w:suppressLineNumbers w:val="0"/>
              <w:spacing w:before="68" w:beforeAutospacing="0" w:after="0" w:afterAutospacing="0" w:line="220" w:lineRule="auto"/>
              <w:ind w:left="400" w:right="0"/>
              <w:rPr>
                <w:rFonts w:hint="default"/>
              </w:rPr>
            </w:pPr>
            <w:r>
              <w:rPr>
                <w:rFonts w:hint="default"/>
                <w:spacing w:val="-1"/>
              </w:rPr>
              <w:t>拟在本</w:t>
            </w:r>
            <w:r>
              <w:rPr>
                <w:rFonts w:hint="eastAsia"/>
                <w:spacing w:val="-1"/>
                <w:lang w:eastAsia="zh-CN"/>
              </w:rPr>
              <w:t>项目</w:t>
            </w:r>
            <w:r>
              <w:rPr>
                <w:rFonts w:hint="default"/>
                <w:spacing w:val="-1"/>
              </w:rPr>
              <w:t>工程任职</w:t>
            </w:r>
          </w:p>
        </w:tc>
        <w:tc>
          <w:tcPr>
            <w:tcW w:w="1386" w:type="dxa"/>
            <w:vAlign w:val="top"/>
          </w:tcPr>
          <w:p>
            <w:pPr>
              <w:keepNext w:val="0"/>
              <w:keepLines w:val="0"/>
              <w:suppressLineNumbers w:val="0"/>
              <w:spacing w:before="0" w:beforeAutospacing="0" w:after="0" w:afterAutospacing="0" w:line="283" w:lineRule="auto"/>
              <w:ind w:left="0" w:right="0"/>
              <w:rPr>
                <w:rFonts w:hint="default" w:ascii="Arial"/>
                <w:sz w:val="21"/>
              </w:rPr>
            </w:pPr>
          </w:p>
          <w:p>
            <w:pPr>
              <w:pStyle w:val="72"/>
              <w:keepNext w:val="0"/>
              <w:keepLines w:val="0"/>
              <w:suppressLineNumbers w:val="0"/>
              <w:spacing w:before="68" w:beforeAutospacing="0" w:after="0" w:afterAutospacing="0" w:line="221" w:lineRule="auto"/>
              <w:ind w:left="345" w:right="0"/>
              <w:rPr>
                <w:rFonts w:hint="default"/>
              </w:rPr>
            </w:pPr>
            <w:r>
              <w:rPr>
                <w:rFonts w:hint="default"/>
                <w:spacing w:val="-2"/>
              </w:rPr>
              <w:t>技术职称</w:t>
            </w:r>
          </w:p>
        </w:tc>
        <w:tc>
          <w:tcPr>
            <w:tcW w:w="2353" w:type="dxa"/>
            <w:vAlign w:val="top"/>
          </w:tcPr>
          <w:p>
            <w:pPr>
              <w:keepNext w:val="0"/>
              <w:keepLines w:val="0"/>
              <w:suppressLineNumbers w:val="0"/>
              <w:spacing w:before="0" w:beforeAutospacing="0" w:after="0" w:afterAutospacing="0" w:line="283" w:lineRule="auto"/>
              <w:ind w:left="0" w:right="0"/>
              <w:rPr>
                <w:rFonts w:hint="default" w:ascii="Arial"/>
                <w:sz w:val="21"/>
              </w:rPr>
            </w:pPr>
          </w:p>
          <w:p>
            <w:pPr>
              <w:pStyle w:val="72"/>
              <w:keepNext w:val="0"/>
              <w:keepLines w:val="0"/>
              <w:suppressLineNumbers w:val="0"/>
              <w:spacing w:before="68" w:beforeAutospacing="0" w:after="0" w:afterAutospacing="0" w:line="221" w:lineRule="auto"/>
              <w:ind w:left="402" w:right="0"/>
              <w:rPr>
                <w:rFonts w:hint="default"/>
              </w:rPr>
            </w:pPr>
            <w:r>
              <w:rPr>
                <w:rFonts w:hint="default"/>
                <w:spacing w:val="-1"/>
              </w:rPr>
              <w:t>类似施工经验年限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938" w:type="dxa"/>
            <w:vAlign w:val="top"/>
          </w:tcPr>
          <w:p>
            <w:pPr>
              <w:keepNext w:val="0"/>
              <w:keepLines w:val="0"/>
              <w:suppressLineNumbers w:val="0"/>
              <w:spacing w:before="0" w:beforeAutospacing="0" w:after="0" w:afterAutospacing="0"/>
              <w:ind w:left="0" w:right="0"/>
              <w:rPr>
                <w:rFonts w:hint="default" w:ascii="Arial"/>
                <w:sz w:val="21"/>
              </w:rPr>
            </w:pPr>
          </w:p>
        </w:tc>
        <w:tc>
          <w:tcPr>
            <w:tcW w:w="926" w:type="dxa"/>
            <w:vAlign w:val="top"/>
          </w:tcPr>
          <w:p>
            <w:pPr>
              <w:keepNext w:val="0"/>
              <w:keepLines w:val="0"/>
              <w:suppressLineNumbers w:val="0"/>
              <w:spacing w:before="0" w:beforeAutospacing="0" w:after="0" w:afterAutospacing="0"/>
              <w:ind w:left="0" w:right="0"/>
              <w:rPr>
                <w:rFonts w:hint="default" w:ascii="Arial"/>
                <w:sz w:val="21"/>
              </w:rPr>
            </w:pPr>
          </w:p>
        </w:tc>
        <w:tc>
          <w:tcPr>
            <w:tcW w:w="2680" w:type="dxa"/>
            <w:vAlign w:val="top"/>
          </w:tcPr>
          <w:p>
            <w:pPr>
              <w:keepNext w:val="0"/>
              <w:keepLines w:val="0"/>
              <w:suppressLineNumbers w:val="0"/>
              <w:spacing w:before="0" w:beforeAutospacing="0" w:after="0" w:afterAutospacing="0"/>
              <w:ind w:left="0" w:right="0"/>
              <w:rPr>
                <w:rFonts w:hint="default" w:ascii="Arial"/>
                <w:sz w:val="21"/>
              </w:rPr>
            </w:pPr>
          </w:p>
        </w:tc>
        <w:tc>
          <w:tcPr>
            <w:tcW w:w="1386" w:type="dxa"/>
            <w:vAlign w:val="top"/>
          </w:tcPr>
          <w:p>
            <w:pPr>
              <w:keepNext w:val="0"/>
              <w:keepLines w:val="0"/>
              <w:suppressLineNumbers w:val="0"/>
              <w:spacing w:before="0" w:beforeAutospacing="0" w:after="0" w:afterAutospacing="0"/>
              <w:ind w:left="0" w:right="0"/>
              <w:rPr>
                <w:rFonts w:hint="default" w:ascii="Arial"/>
                <w:sz w:val="21"/>
              </w:rPr>
            </w:pPr>
          </w:p>
        </w:tc>
        <w:tc>
          <w:tcPr>
            <w:tcW w:w="2353"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938" w:type="dxa"/>
            <w:vAlign w:val="top"/>
          </w:tcPr>
          <w:p>
            <w:pPr>
              <w:keepNext w:val="0"/>
              <w:keepLines w:val="0"/>
              <w:suppressLineNumbers w:val="0"/>
              <w:spacing w:before="0" w:beforeAutospacing="0" w:after="0" w:afterAutospacing="0"/>
              <w:ind w:left="0" w:right="0"/>
              <w:rPr>
                <w:rFonts w:hint="default" w:ascii="Arial"/>
                <w:sz w:val="21"/>
              </w:rPr>
            </w:pPr>
          </w:p>
        </w:tc>
        <w:tc>
          <w:tcPr>
            <w:tcW w:w="926" w:type="dxa"/>
            <w:vAlign w:val="top"/>
          </w:tcPr>
          <w:p>
            <w:pPr>
              <w:keepNext w:val="0"/>
              <w:keepLines w:val="0"/>
              <w:suppressLineNumbers w:val="0"/>
              <w:spacing w:before="0" w:beforeAutospacing="0" w:after="0" w:afterAutospacing="0"/>
              <w:ind w:left="0" w:right="0"/>
              <w:rPr>
                <w:rFonts w:hint="default" w:ascii="Arial"/>
                <w:sz w:val="21"/>
              </w:rPr>
            </w:pPr>
          </w:p>
        </w:tc>
        <w:tc>
          <w:tcPr>
            <w:tcW w:w="2680" w:type="dxa"/>
            <w:vAlign w:val="top"/>
          </w:tcPr>
          <w:p>
            <w:pPr>
              <w:keepNext w:val="0"/>
              <w:keepLines w:val="0"/>
              <w:suppressLineNumbers w:val="0"/>
              <w:spacing w:before="0" w:beforeAutospacing="0" w:after="0" w:afterAutospacing="0"/>
              <w:ind w:left="0" w:right="0"/>
              <w:rPr>
                <w:rFonts w:hint="default" w:ascii="Arial"/>
                <w:sz w:val="21"/>
              </w:rPr>
            </w:pPr>
          </w:p>
        </w:tc>
        <w:tc>
          <w:tcPr>
            <w:tcW w:w="1386" w:type="dxa"/>
            <w:vAlign w:val="top"/>
          </w:tcPr>
          <w:p>
            <w:pPr>
              <w:keepNext w:val="0"/>
              <w:keepLines w:val="0"/>
              <w:suppressLineNumbers w:val="0"/>
              <w:spacing w:before="0" w:beforeAutospacing="0" w:after="0" w:afterAutospacing="0"/>
              <w:ind w:left="0" w:right="0"/>
              <w:rPr>
                <w:rFonts w:hint="default" w:ascii="Arial"/>
                <w:sz w:val="21"/>
              </w:rPr>
            </w:pPr>
          </w:p>
        </w:tc>
        <w:tc>
          <w:tcPr>
            <w:tcW w:w="2353"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938" w:type="dxa"/>
            <w:vAlign w:val="top"/>
          </w:tcPr>
          <w:p>
            <w:pPr>
              <w:keepNext w:val="0"/>
              <w:keepLines w:val="0"/>
              <w:suppressLineNumbers w:val="0"/>
              <w:spacing w:before="0" w:beforeAutospacing="0" w:after="0" w:afterAutospacing="0"/>
              <w:ind w:left="0" w:right="0"/>
              <w:rPr>
                <w:rFonts w:hint="default" w:ascii="Arial"/>
                <w:sz w:val="21"/>
              </w:rPr>
            </w:pPr>
          </w:p>
        </w:tc>
        <w:tc>
          <w:tcPr>
            <w:tcW w:w="926" w:type="dxa"/>
            <w:vAlign w:val="top"/>
          </w:tcPr>
          <w:p>
            <w:pPr>
              <w:keepNext w:val="0"/>
              <w:keepLines w:val="0"/>
              <w:suppressLineNumbers w:val="0"/>
              <w:spacing w:before="0" w:beforeAutospacing="0" w:after="0" w:afterAutospacing="0"/>
              <w:ind w:left="0" w:right="0"/>
              <w:rPr>
                <w:rFonts w:hint="default" w:ascii="Arial"/>
                <w:sz w:val="21"/>
              </w:rPr>
            </w:pPr>
          </w:p>
        </w:tc>
        <w:tc>
          <w:tcPr>
            <w:tcW w:w="2680" w:type="dxa"/>
            <w:vAlign w:val="top"/>
          </w:tcPr>
          <w:p>
            <w:pPr>
              <w:keepNext w:val="0"/>
              <w:keepLines w:val="0"/>
              <w:suppressLineNumbers w:val="0"/>
              <w:spacing w:before="0" w:beforeAutospacing="0" w:after="0" w:afterAutospacing="0"/>
              <w:ind w:left="0" w:right="0"/>
              <w:rPr>
                <w:rFonts w:hint="default" w:ascii="Arial"/>
                <w:sz w:val="21"/>
              </w:rPr>
            </w:pPr>
          </w:p>
        </w:tc>
        <w:tc>
          <w:tcPr>
            <w:tcW w:w="1386" w:type="dxa"/>
            <w:vAlign w:val="top"/>
          </w:tcPr>
          <w:p>
            <w:pPr>
              <w:keepNext w:val="0"/>
              <w:keepLines w:val="0"/>
              <w:suppressLineNumbers w:val="0"/>
              <w:spacing w:before="0" w:beforeAutospacing="0" w:after="0" w:afterAutospacing="0"/>
              <w:ind w:left="0" w:right="0"/>
              <w:rPr>
                <w:rFonts w:hint="default" w:ascii="Arial"/>
                <w:sz w:val="21"/>
              </w:rPr>
            </w:pPr>
          </w:p>
        </w:tc>
        <w:tc>
          <w:tcPr>
            <w:tcW w:w="2353"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7" w:hRule="atLeast"/>
        </w:trPr>
        <w:tc>
          <w:tcPr>
            <w:tcW w:w="938" w:type="dxa"/>
            <w:vAlign w:val="top"/>
          </w:tcPr>
          <w:p>
            <w:pPr>
              <w:keepNext w:val="0"/>
              <w:keepLines w:val="0"/>
              <w:suppressLineNumbers w:val="0"/>
              <w:spacing w:before="0" w:beforeAutospacing="0" w:after="0" w:afterAutospacing="0"/>
              <w:ind w:left="0" w:right="0"/>
              <w:rPr>
                <w:rFonts w:hint="default" w:ascii="Arial"/>
                <w:sz w:val="21"/>
              </w:rPr>
            </w:pPr>
          </w:p>
        </w:tc>
        <w:tc>
          <w:tcPr>
            <w:tcW w:w="926" w:type="dxa"/>
            <w:vAlign w:val="top"/>
          </w:tcPr>
          <w:p>
            <w:pPr>
              <w:keepNext w:val="0"/>
              <w:keepLines w:val="0"/>
              <w:suppressLineNumbers w:val="0"/>
              <w:spacing w:before="0" w:beforeAutospacing="0" w:after="0" w:afterAutospacing="0"/>
              <w:ind w:left="0" w:right="0"/>
              <w:rPr>
                <w:rFonts w:hint="default" w:ascii="Arial"/>
                <w:sz w:val="21"/>
              </w:rPr>
            </w:pPr>
          </w:p>
        </w:tc>
        <w:tc>
          <w:tcPr>
            <w:tcW w:w="2680" w:type="dxa"/>
            <w:vAlign w:val="top"/>
          </w:tcPr>
          <w:p>
            <w:pPr>
              <w:keepNext w:val="0"/>
              <w:keepLines w:val="0"/>
              <w:suppressLineNumbers w:val="0"/>
              <w:spacing w:before="0" w:beforeAutospacing="0" w:after="0" w:afterAutospacing="0"/>
              <w:ind w:left="0" w:right="0"/>
              <w:rPr>
                <w:rFonts w:hint="default" w:ascii="Arial"/>
                <w:sz w:val="21"/>
              </w:rPr>
            </w:pPr>
          </w:p>
        </w:tc>
        <w:tc>
          <w:tcPr>
            <w:tcW w:w="1386" w:type="dxa"/>
            <w:vAlign w:val="top"/>
          </w:tcPr>
          <w:p>
            <w:pPr>
              <w:keepNext w:val="0"/>
              <w:keepLines w:val="0"/>
              <w:suppressLineNumbers w:val="0"/>
              <w:spacing w:before="0" w:beforeAutospacing="0" w:after="0" w:afterAutospacing="0"/>
              <w:ind w:left="0" w:right="0"/>
              <w:rPr>
                <w:rFonts w:hint="default" w:ascii="Arial"/>
                <w:sz w:val="21"/>
              </w:rPr>
            </w:pPr>
          </w:p>
        </w:tc>
        <w:tc>
          <w:tcPr>
            <w:tcW w:w="2353"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938" w:type="dxa"/>
            <w:vAlign w:val="top"/>
          </w:tcPr>
          <w:p>
            <w:pPr>
              <w:keepNext w:val="0"/>
              <w:keepLines w:val="0"/>
              <w:suppressLineNumbers w:val="0"/>
              <w:spacing w:before="0" w:beforeAutospacing="0" w:after="0" w:afterAutospacing="0"/>
              <w:ind w:left="0" w:right="0"/>
              <w:rPr>
                <w:rFonts w:hint="default" w:ascii="Arial"/>
                <w:sz w:val="21"/>
              </w:rPr>
            </w:pPr>
          </w:p>
        </w:tc>
        <w:tc>
          <w:tcPr>
            <w:tcW w:w="926" w:type="dxa"/>
            <w:vAlign w:val="top"/>
          </w:tcPr>
          <w:p>
            <w:pPr>
              <w:keepNext w:val="0"/>
              <w:keepLines w:val="0"/>
              <w:suppressLineNumbers w:val="0"/>
              <w:spacing w:before="0" w:beforeAutospacing="0" w:after="0" w:afterAutospacing="0"/>
              <w:ind w:left="0" w:right="0"/>
              <w:rPr>
                <w:rFonts w:hint="default" w:ascii="Arial"/>
                <w:sz w:val="21"/>
              </w:rPr>
            </w:pPr>
          </w:p>
        </w:tc>
        <w:tc>
          <w:tcPr>
            <w:tcW w:w="2680" w:type="dxa"/>
            <w:vAlign w:val="top"/>
          </w:tcPr>
          <w:p>
            <w:pPr>
              <w:keepNext w:val="0"/>
              <w:keepLines w:val="0"/>
              <w:suppressLineNumbers w:val="0"/>
              <w:spacing w:before="0" w:beforeAutospacing="0" w:after="0" w:afterAutospacing="0"/>
              <w:ind w:left="0" w:right="0"/>
              <w:rPr>
                <w:rFonts w:hint="default" w:ascii="Arial"/>
                <w:sz w:val="21"/>
              </w:rPr>
            </w:pPr>
          </w:p>
        </w:tc>
        <w:tc>
          <w:tcPr>
            <w:tcW w:w="1386" w:type="dxa"/>
            <w:vAlign w:val="top"/>
          </w:tcPr>
          <w:p>
            <w:pPr>
              <w:keepNext w:val="0"/>
              <w:keepLines w:val="0"/>
              <w:suppressLineNumbers w:val="0"/>
              <w:spacing w:before="0" w:beforeAutospacing="0" w:after="0" w:afterAutospacing="0"/>
              <w:ind w:left="0" w:right="0"/>
              <w:rPr>
                <w:rFonts w:hint="default" w:ascii="Arial"/>
                <w:sz w:val="21"/>
              </w:rPr>
            </w:pPr>
          </w:p>
        </w:tc>
        <w:tc>
          <w:tcPr>
            <w:tcW w:w="2353"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938" w:type="dxa"/>
            <w:vAlign w:val="top"/>
          </w:tcPr>
          <w:p>
            <w:pPr>
              <w:keepNext w:val="0"/>
              <w:keepLines w:val="0"/>
              <w:suppressLineNumbers w:val="0"/>
              <w:spacing w:before="0" w:beforeAutospacing="0" w:after="0" w:afterAutospacing="0"/>
              <w:ind w:left="0" w:right="0"/>
              <w:rPr>
                <w:rFonts w:hint="default" w:ascii="Arial"/>
                <w:sz w:val="21"/>
              </w:rPr>
            </w:pPr>
          </w:p>
        </w:tc>
        <w:tc>
          <w:tcPr>
            <w:tcW w:w="926" w:type="dxa"/>
            <w:vAlign w:val="top"/>
          </w:tcPr>
          <w:p>
            <w:pPr>
              <w:keepNext w:val="0"/>
              <w:keepLines w:val="0"/>
              <w:suppressLineNumbers w:val="0"/>
              <w:spacing w:before="0" w:beforeAutospacing="0" w:after="0" w:afterAutospacing="0"/>
              <w:ind w:left="0" w:right="0"/>
              <w:rPr>
                <w:rFonts w:hint="default" w:ascii="Arial"/>
                <w:sz w:val="21"/>
              </w:rPr>
            </w:pPr>
          </w:p>
        </w:tc>
        <w:tc>
          <w:tcPr>
            <w:tcW w:w="2680" w:type="dxa"/>
            <w:vAlign w:val="top"/>
          </w:tcPr>
          <w:p>
            <w:pPr>
              <w:keepNext w:val="0"/>
              <w:keepLines w:val="0"/>
              <w:suppressLineNumbers w:val="0"/>
              <w:spacing w:before="0" w:beforeAutospacing="0" w:after="0" w:afterAutospacing="0"/>
              <w:ind w:left="0" w:right="0"/>
              <w:rPr>
                <w:rFonts w:hint="default" w:ascii="Arial"/>
                <w:sz w:val="21"/>
              </w:rPr>
            </w:pPr>
          </w:p>
        </w:tc>
        <w:tc>
          <w:tcPr>
            <w:tcW w:w="1386" w:type="dxa"/>
            <w:vAlign w:val="top"/>
          </w:tcPr>
          <w:p>
            <w:pPr>
              <w:keepNext w:val="0"/>
              <w:keepLines w:val="0"/>
              <w:suppressLineNumbers w:val="0"/>
              <w:spacing w:before="0" w:beforeAutospacing="0" w:after="0" w:afterAutospacing="0"/>
              <w:ind w:left="0" w:right="0"/>
              <w:rPr>
                <w:rFonts w:hint="default" w:ascii="Arial"/>
                <w:sz w:val="21"/>
              </w:rPr>
            </w:pPr>
          </w:p>
        </w:tc>
        <w:tc>
          <w:tcPr>
            <w:tcW w:w="2353"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938" w:type="dxa"/>
            <w:vAlign w:val="top"/>
          </w:tcPr>
          <w:p>
            <w:pPr>
              <w:keepNext w:val="0"/>
              <w:keepLines w:val="0"/>
              <w:suppressLineNumbers w:val="0"/>
              <w:spacing w:before="0" w:beforeAutospacing="0" w:after="0" w:afterAutospacing="0"/>
              <w:ind w:left="0" w:right="0"/>
              <w:rPr>
                <w:rFonts w:hint="default" w:ascii="Arial"/>
                <w:sz w:val="21"/>
              </w:rPr>
            </w:pPr>
          </w:p>
        </w:tc>
        <w:tc>
          <w:tcPr>
            <w:tcW w:w="926" w:type="dxa"/>
            <w:vAlign w:val="top"/>
          </w:tcPr>
          <w:p>
            <w:pPr>
              <w:keepNext w:val="0"/>
              <w:keepLines w:val="0"/>
              <w:suppressLineNumbers w:val="0"/>
              <w:spacing w:before="0" w:beforeAutospacing="0" w:after="0" w:afterAutospacing="0"/>
              <w:ind w:left="0" w:right="0"/>
              <w:rPr>
                <w:rFonts w:hint="default" w:ascii="Arial"/>
                <w:sz w:val="21"/>
              </w:rPr>
            </w:pPr>
          </w:p>
        </w:tc>
        <w:tc>
          <w:tcPr>
            <w:tcW w:w="2680" w:type="dxa"/>
            <w:vAlign w:val="top"/>
          </w:tcPr>
          <w:p>
            <w:pPr>
              <w:keepNext w:val="0"/>
              <w:keepLines w:val="0"/>
              <w:suppressLineNumbers w:val="0"/>
              <w:spacing w:before="0" w:beforeAutospacing="0" w:after="0" w:afterAutospacing="0"/>
              <w:ind w:left="0" w:right="0"/>
              <w:rPr>
                <w:rFonts w:hint="default" w:ascii="Arial"/>
                <w:sz w:val="21"/>
              </w:rPr>
            </w:pPr>
          </w:p>
        </w:tc>
        <w:tc>
          <w:tcPr>
            <w:tcW w:w="1386" w:type="dxa"/>
            <w:vAlign w:val="top"/>
          </w:tcPr>
          <w:p>
            <w:pPr>
              <w:keepNext w:val="0"/>
              <w:keepLines w:val="0"/>
              <w:suppressLineNumbers w:val="0"/>
              <w:spacing w:before="0" w:beforeAutospacing="0" w:after="0" w:afterAutospacing="0"/>
              <w:ind w:left="0" w:right="0"/>
              <w:rPr>
                <w:rFonts w:hint="default" w:ascii="Arial"/>
                <w:sz w:val="21"/>
              </w:rPr>
            </w:pPr>
          </w:p>
        </w:tc>
        <w:tc>
          <w:tcPr>
            <w:tcW w:w="2353"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938" w:type="dxa"/>
            <w:vAlign w:val="top"/>
          </w:tcPr>
          <w:p>
            <w:pPr>
              <w:keepNext w:val="0"/>
              <w:keepLines w:val="0"/>
              <w:suppressLineNumbers w:val="0"/>
              <w:spacing w:before="0" w:beforeAutospacing="0" w:after="0" w:afterAutospacing="0"/>
              <w:ind w:left="0" w:right="0"/>
              <w:rPr>
                <w:rFonts w:hint="default" w:ascii="Arial"/>
                <w:sz w:val="21"/>
              </w:rPr>
            </w:pPr>
          </w:p>
        </w:tc>
        <w:tc>
          <w:tcPr>
            <w:tcW w:w="926" w:type="dxa"/>
            <w:vAlign w:val="top"/>
          </w:tcPr>
          <w:p>
            <w:pPr>
              <w:keepNext w:val="0"/>
              <w:keepLines w:val="0"/>
              <w:suppressLineNumbers w:val="0"/>
              <w:spacing w:before="0" w:beforeAutospacing="0" w:after="0" w:afterAutospacing="0"/>
              <w:ind w:left="0" w:right="0"/>
              <w:rPr>
                <w:rFonts w:hint="default" w:ascii="Arial"/>
                <w:sz w:val="21"/>
              </w:rPr>
            </w:pPr>
          </w:p>
        </w:tc>
        <w:tc>
          <w:tcPr>
            <w:tcW w:w="2680" w:type="dxa"/>
            <w:vAlign w:val="top"/>
          </w:tcPr>
          <w:p>
            <w:pPr>
              <w:keepNext w:val="0"/>
              <w:keepLines w:val="0"/>
              <w:suppressLineNumbers w:val="0"/>
              <w:spacing w:before="0" w:beforeAutospacing="0" w:after="0" w:afterAutospacing="0"/>
              <w:ind w:left="0" w:right="0"/>
              <w:rPr>
                <w:rFonts w:hint="default" w:ascii="Arial"/>
                <w:sz w:val="21"/>
              </w:rPr>
            </w:pPr>
          </w:p>
        </w:tc>
        <w:tc>
          <w:tcPr>
            <w:tcW w:w="1386" w:type="dxa"/>
            <w:vAlign w:val="top"/>
          </w:tcPr>
          <w:p>
            <w:pPr>
              <w:keepNext w:val="0"/>
              <w:keepLines w:val="0"/>
              <w:suppressLineNumbers w:val="0"/>
              <w:spacing w:before="0" w:beforeAutospacing="0" w:after="0" w:afterAutospacing="0"/>
              <w:ind w:left="0" w:right="0"/>
              <w:rPr>
                <w:rFonts w:hint="default" w:ascii="Arial"/>
                <w:sz w:val="21"/>
              </w:rPr>
            </w:pPr>
          </w:p>
        </w:tc>
        <w:tc>
          <w:tcPr>
            <w:tcW w:w="2353"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938" w:type="dxa"/>
            <w:vAlign w:val="top"/>
          </w:tcPr>
          <w:p>
            <w:pPr>
              <w:keepNext w:val="0"/>
              <w:keepLines w:val="0"/>
              <w:suppressLineNumbers w:val="0"/>
              <w:spacing w:before="0" w:beforeAutospacing="0" w:after="0" w:afterAutospacing="0"/>
              <w:ind w:left="0" w:right="0"/>
              <w:rPr>
                <w:rFonts w:hint="default" w:ascii="Arial"/>
                <w:sz w:val="21"/>
              </w:rPr>
            </w:pPr>
          </w:p>
        </w:tc>
        <w:tc>
          <w:tcPr>
            <w:tcW w:w="926" w:type="dxa"/>
            <w:vAlign w:val="top"/>
          </w:tcPr>
          <w:p>
            <w:pPr>
              <w:keepNext w:val="0"/>
              <w:keepLines w:val="0"/>
              <w:suppressLineNumbers w:val="0"/>
              <w:spacing w:before="0" w:beforeAutospacing="0" w:after="0" w:afterAutospacing="0"/>
              <w:ind w:left="0" w:right="0"/>
              <w:rPr>
                <w:rFonts w:hint="default" w:ascii="Arial"/>
                <w:sz w:val="21"/>
              </w:rPr>
            </w:pPr>
          </w:p>
        </w:tc>
        <w:tc>
          <w:tcPr>
            <w:tcW w:w="2680" w:type="dxa"/>
            <w:vAlign w:val="top"/>
          </w:tcPr>
          <w:p>
            <w:pPr>
              <w:keepNext w:val="0"/>
              <w:keepLines w:val="0"/>
              <w:suppressLineNumbers w:val="0"/>
              <w:spacing w:before="0" w:beforeAutospacing="0" w:after="0" w:afterAutospacing="0"/>
              <w:ind w:left="0" w:right="0"/>
              <w:rPr>
                <w:rFonts w:hint="default" w:ascii="Arial"/>
                <w:sz w:val="21"/>
              </w:rPr>
            </w:pPr>
          </w:p>
        </w:tc>
        <w:tc>
          <w:tcPr>
            <w:tcW w:w="1386" w:type="dxa"/>
            <w:vAlign w:val="top"/>
          </w:tcPr>
          <w:p>
            <w:pPr>
              <w:keepNext w:val="0"/>
              <w:keepLines w:val="0"/>
              <w:suppressLineNumbers w:val="0"/>
              <w:spacing w:before="0" w:beforeAutospacing="0" w:after="0" w:afterAutospacing="0"/>
              <w:ind w:left="0" w:right="0"/>
              <w:rPr>
                <w:rFonts w:hint="default" w:ascii="Arial"/>
                <w:sz w:val="21"/>
              </w:rPr>
            </w:pPr>
          </w:p>
        </w:tc>
        <w:tc>
          <w:tcPr>
            <w:tcW w:w="2353"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938" w:type="dxa"/>
            <w:vAlign w:val="top"/>
          </w:tcPr>
          <w:p>
            <w:pPr>
              <w:keepNext w:val="0"/>
              <w:keepLines w:val="0"/>
              <w:suppressLineNumbers w:val="0"/>
              <w:spacing w:before="0" w:beforeAutospacing="0" w:after="0" w:afterAutospacing="0"/>
              <w:ind w:left="0" w:right="0"/>
              <w:rPr>
                <w:rFonts w:hint="default" w:ascii="Arial"/>
                <w:sz w:val="21"/>
              </w:rPr>
            </w:pPr>
          </w:p>
        </w:tc>
        <w:tc>
          <w:tcPr>
            <w:tcW w:w="926" w:type="dxa"/>
            <w:vAlign w:val="top"/>
          </w:tcPr>
          <w:p>
            <w:pPr>
              <w:keepNext w:val="0"/>
              <w:keepLines w:val="0"/>
              <w:suppressLineNumbers w:val="0"/>
              <w:spacing w:before="0" w:beforeAutospacing="0" w:after="0" w:afterAutospacing="0"/>
              <w:ind w:left="0" w:right="0"/>
              <w:rPr>
                <w:rFonts w:hint="default" w:ascii="Arial"/>
                <w:sz w:val="21"/>
              </w:rPr>
            </w:pPr>
          </w:p>
        </w:tc>
        <w:tc>
          <w:tcPr>
            <w:tcW w:w="2680" w:type="dxa"/>
            <w:vAlign w:val="top"/>
          </w:tcPr>
          <w:p>
            <w:pPr>
              <w:keepNext w:val="0"/>
              <w:keepLines w:val="0"/>
              <w:suppressLineNumbers w:val="0"/>
              <w:spacing w:before="0" w:beforeAutospacing="0" w:after="0" w:afterAutospacing="0"/>
              <w:ind w:left="0" w:right="0"/>
              <w:rPr>
                <w:rFonts w:hint="default" w:ascii="Arial"/>
                <w:sz w:val="21"/>
              </w:rPr>
            </w:pPr>
          </w:p>
        </w:tc>
        <w:tc>
          <w:tcPr>
            <w:tcW w:w="1386" w:type="dxa"/>
            <w:vAlign w:val="top"/>
          </w:tcPr>
          <w:p>
            <w:pPr>
              <w:keepNext w:val="0"/>
              <w:keepLines w:val="0"/>
              <w:suppressLineNumbers w:val="0"/>
              <w:spacing w:before="0" w:beforeAutospacing="0" w:after="0" w:afterAutospacing="0"/>
              <w:ind w:left="0" w:right="0"/>
              <w:rPr>
                <w:rFonts w:hint="default" w:ascii="Arial"/>
                <w:sz w:val="21"/>
              </w:rPr>
            </w:pPr>
          </w:p>
        </w:tc>
        <w:tc>
          <w:tcPr>
            <w:tcW w:w="2353"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938" w:type="dxa"/>
            <w:vAlign w:val="top"/>
          </w:tcPr>
          <w:p>
            <w:pPr>
              <w:keepNext w:val="0"/>
              <w:keepLines w:val="0"/>
              <w:suppressLineNumbers w:val="0"/>
              <w:spacing w:before="0" w:beforeAutospacing="0" w:after="0" w:afterAutospacing="0"/>
              <w:ind w:left="0" w:right="0"/>
              <w:rPr>
                <w:rFonts w:hint="default" w:ascii="Arial"/>
                <w:sz w:val="21"/>
              </w:rPr>
            </w:pPr>
          </w:p>
        </w:tc>
        <w:tc>
          <w:tcPr>
            <w:tcW w:w="926" w:type="dxa"/>
            <w:vAlign w:val="top"/>
          </w:tcPr>
          <w:p>
            <w:pPr>
              <w:keepNext w:val="0"/>
              <w:keepLines w:val="0"/>
              <w:suppressLineNumbers w:val="0"/>
              <w:spacing w:before="0" w:beforeAutospacing="0" w:after="0" w:afterAutospacing="0"/>
              <w:ind w:left="0" w:right="0"/>
              <w:rPr>
                <w:rFonts w:hint="default" w:ascii="Arial"/>
                <w:sz w:val="21"/>
              </w:rPr>
            </w:pPr>
          </w:p>
        </w:tc>
        <w:tc>
          <w:tcPr>
            <w:tcW w:w="2680" w:type="dxa"/>
            <w:vAlign w:val="top"/>
          </w:tcPr>
          <w:p>
            <w:pPr>
              <w:keepNext w:val="0"/>
              <w:keepLines w:val="0"/>
              <w:suppressLineNumbers w:val="0"/>
              <w:spacing w:before="0" w:beforeAutospacing="0" w:after="0" w:afterAutospacing="0"/>
              <w:ind w:left="0" w:right="0"/>
              <w:rPr>
                <w:rFonts w:hint="default" w:ascii="Arial"/>
                <w:sz w:val="21"/>
              </w:rPr>
            </w:pPr>
          </w:p>
        </w:tc>
        <w:tc>
          <w:tcPr>
            <w:tcW w:w="1386" w:type="dxa"/>
            <w:vAlign w:val="top"/>
          </w:tcPr>
          <w:p>
            <w:pPr>
              <w:keepNext w:val="0"/>
              <w:keepLines w:val="0"/>
              <w:suppressLineNumbers w:val="0"/>
              <w:spacing w:before="0" w:beforeAutospacing="0" w:after="0" w:afterAutospacing="0"/>
              <w:ind w:left="0" w:right="0"/>
              <w:rPr>
                <w:rFonts w:hint="default" w:ascii="Arial"/>
                <w:sz w:val="21"/>
              </w:rPr>
            </w:pPr>
          </w:p>
        </w:tc>
        <w:tc>
          <w:tcPr>
            <w:tcW w:w="2353"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938" w:type="dxa"/>
            <w:vAlign w:val="top"/>
          </w:tcPr>
          <w:p>
            <w:pPr>
              <w:keepNext w:val="0"/>
              <w:keepLines w:val="0"/>
              <w:suppressLineNumbers w:val="0"/>
              <w:spacing w:before="0" w:beforeAutospacing="0" w:after="0" w:afterAutospacing="0"/>
              <w:ind w:left="0" w:right="0"/>
              <w:rPr>
                <w:rFonts w:hint="default" w:ascii="Arial"/>
                <w:sz w:val="21"/>
              </w:rPr>
            </w:pPr>
          </w:p>
        </w:tc>
        <w:tc>
          <w:tcPr>
            <w:tcW w:w="926" w:type="dxa"/>
            <w:vAlign w:val="top"/>
          </w:tcPr>
          <w:p>
            <w:pPr>
              <w:keepNext w:val="0"/>
              <w:keepLines w:val="0"/>
              <w:suppressLineNumbers w:val="0"/>
              <w:spacing w:before="0" w:beforeAutospacing="0" w:after="0" w:afterAutospacing="0"/>
              <w:ind w:left="0" w:right="0"/>
              <w:rPr>
                <w:rFonts w:hint="default" w:ascii="Arial"/>
                <w:sz w:val="21"/>
              </w:rPr>
            </w:pPr>
          </w:p>
        </w:tc>
        <w:tc>
          <w:tcPr>
            <w:tcW w:w="2680" w:type="dxa"/>
            <w:vAlign w:val="top"/>
          </w:tcPr>
          <w:p>
            <w:pPr>
              <w:keepNext w:val="0"/>
              <w:keepLines w:val="0"/>
              <w:suppressLineNumbers w:val="0"/>
              <w:spacing w:before="0" w:beforeAutospacing="0" w:after="0" w:afterAutospacing="0"/>
              <w:ind w:left="0" w:right="0"/>
              <w:rPr>
                <w:rFonts w:hint="default" w:ascii="Arial"/>
                <w:sz w:val="21"/>
              </w:rPr>
            </w:pPr>
          </w:p>
        </w:tc>
        <w:tc>
          <w:tcPr>
            <w:tcW w:w="1386" w:type="dxa"/>
            <w:vAlign w:val="top"/>
          </w:tcPr>
          <w:p>
            <w:pPr>
              <w:keepNext w:val="0"/>
              <w:keepLines w:val="0"/>
              <w:suppressLineNumbers w:val="0"/>
              <w:spacing w:before="0" w:beforeAutospacing="0" w:after="0" w:afterAutospacing="0"/>
              <w:ind w:left="0" w:right="0"/>
              <w:rPr>
                <w:rFonts w:hint="default" w:ascii="Arial"/>
                <w:sz w:val="21"/>
              </w:rPr>
            </w:pPr>
          </w:p>
        </w:tc>
        <w:tc>
          <w:tcPr>
            <w:tcW w:w="2353"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938" w:type="dxa"/>
            <w:vAlign w:val="top"/>
          </w:tcPr>
          <w:p>
            <w:pPr>
              <w:keepNext w:val="0"/>
              <w:keepLines w:val="0"/>
              <w:suppressLineNumbers w:val="0"/>
              <w:spacing w:before="0" w:beforeAutospacing="0" w:after="0" w:afterAutospacing="0"/>
              <w:ind w:left="0" w:right="0"/>
              <w:rPr>
                <w:rFonts w:hint="default" w:ascii="Arial"/>
                <w:sz w:val="21"/>
              </w:rPr>
            </w:pPr>
          </w:p>
        </w:tc>
        <w:tc>
          <w:tcPr>
            <w:tcW w:w="926" w:type="dxa"/>
            <w:vAlign w:val="top"/>
          </w:tcPr>
          <w:p>
            <w:pPr>
              <w:keepNext w:val="0"/>
              <w:keepLines w:val="0"/>
              <w:suppressLineNumbers w:val="0"/>
              <w:spacing w:before="0" w:beforeAutospacing="0" w:after="0" w:afterAutospacing="0"/>
              <w:ind w:left="0" w:right="0"/>
              <w:rPr>
                <w:rFonts w:hint="default" w:ascii="Arial"/>
                <w:sz w:val="21"/>
              </w:rPr>
            </w:pPr>
          </w:p>
        </w:tc>
        <w:tc>
          <w:tcPr>
            <w:tcW w:w="2680" w:type="dxa"/>
            <w:vAlign w:val="top"/>
          </w:tcPr>
          <w:p>
            <w:pPr>
              <w:keepNext w:val="0"/>
              <w:keepLines w:val="0"/>
              <w:suppressLineNumbers w:val="0"/>
              <w:spacing w:before="0" w:beforeAutospacing="0" w:after="0" w:afterAutospacing="0"/>
              <w:ind w:left="0" w:right="0"/>
              <w:rPr>
                <w:rFonts w:hint="default" w:ascii="Arial"/>
                <w:sz w:val="21"/>
              </w:rPr>
            </w:pPr>
          </w:p>
        </w:tc>
        <w:tc>
          <w:tcPr>
            <w:tcW w:w="1386" w:type="dxa"/>
            <w:vAlign w:val="top"/>
          </w:tcPr>
          <w:p>
            <w:pPr>
              <w:keepNext w:val="0"/>
              <w:keepLines w:val="0"/>
              <w:suppressLineNumbers w:val="0"/>
              <w:spacing w:before="0" w:beforeAutospacing="0" w:after="0" w:afterAutospacing="0"/>
              <w:ind w:left="0" w:right="0"/>
              <w:rPr>
                <w:rFonts w:hint="default" w:ascii="Arial"/>
                <w:sz w:val="21"/>
              </w:rPr>
            </w:pPr>
          </w:p>
        </w:tc>
        <w:tc>
          <w:tcPr>
            <w:tcW w:w="2353" w:type="dxa"/>
            <w:vAlign w:val="top"/>
          </w:tcPr>
          <w:p>
            <w:pPr>
              <w:keepNext w:val="0"/>
              <w:keepLines w:val="0"/>
              <w:suppressLineNumbers w:val="0"/>
              <w:spacing w:before="0" w:beforeAutospacing="0" w:after="0" w:afterAutospacing="0"/>
              <w:ind w:left="0" w:right="0"/>
              <w:rPr>
                <w:rFonts w:hint="default" w:ascii="Arial"/>
                <w:sz w:val="21"/>
              </w:rPr>
            </w:pPr>
          </w:p>
        </w:tc>
      </w:tr>
    </w:tbl>
    <w:p>
      <w:pPr>
        <w:spacing w:before="29" w:line="220" w:lineRule="auto"/>
        <w:jc w:val="right"/>
        <w:rPr>
          <w:rFonts w:ascii="宋体" w:hAnsi="宋体" w:eastAsia="宋体" w:cs="宋体"/>
          <w:sz w:val="21"/>
          <w:szCs w:val="21"/>
        </w:rPr>
      </w:pPr>
      <w:r>
        <w:rPr>
          <w:rFonts w:ascii="宋体" w:hAnsi="宋体" w:eastAsia="宋体" w:cs="宋体"/>
          <w:spacing w:val="-3"/>
          <w:sz w:val="21"/>
          <w:szCs w:val="21"/>
        </w:rPr>
        <w:t>注：投标人可以在本表后附拟派其他管理和技术人员（不包含项目经理、项目总工）的有关资料。</w:t>
      </w:r>
    </w:p>
    <w:p>
      <w:pPr>
        <w:spacing w:line="220" w:lineRule="auto"/>
        <w:rPr>
          <w:rFonts w:ascii="宋体" w:hAnsi="宋体" w:eastAsia="宋体" w:cs="宋体"/>
          <w:sz w:val="21"/>
          <w:szCs w:val="21"/>
        </w:rPr>
        <w:sectPr>
          <w:footerReference r:id="rId41" w:type="default"/>
          <w:pgSz w:w="11907" w:h="16841"/>
          <w:pgMar w:top="1431" w:right="1296" w:bottom="1216" w:left="1508" w:header="0" w:footer="1055" w:gutter="0"/>
          <w:pgNumType w:fmt="decimal"/>
          <w:cols w:space="720" w:num="1"/>
        </w:sectPr>
      </w:pPr>
    </w:p>
    <w:p>
      <w:pPr>
        <w:spacing w:before="47" w:line="220" w:lineRule="auto"/>
        <w:ind w:left="1412"/>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0"/>
          </w14:textOutline>
        </w:rPr>
        <w:t>（二）投标人认为与投标文件评审有关的其他资料。</w:t>
      </w:r>
    </w:p>
    <w:p>
      <w:pPr>
        <w:spacing w:line="220" w:lineRule="auto"/>
        <w:rPr>
          <w:rFonts w:ascii="宋体" w:hAnsi="宋体" w:eastAsia="宋体" w:cs="宋体"/>
          <w:sz w:val="24"/>
          <w:szCs w:val="24"/>
        </w:rPr>
        <w:sectPr>
          <w:footerReference r:id="rId42" w:type="default"/>
          <w:pgSz w:w="11907" w:h="16841"/>
          <w:pgMar w:top="1428" w:right="1785" w:bottom="1216" w:left="1785" w:header="0" w:footer="1055" w:gutter="0"/>
          <w:pgNumType w:fmt="decimal"/>
          <w:cols w:space="720" w:num="1"/>
        </w:sectPr>
      </w:pPr>
    </w:p>
    <w:p>
      <w:pPr>
        <w:spacing w:before="91" w:line="220" w:lineRule="auto"/>
        <w:rPr>
          <w:rFonts w:ascii="宋体" w:hAnsi="宋体" w:eastAsia="宋体" w:cs="宋体"/>
          <w:spacing w:val="20"/>
          <w:sz w:val="28"/>
          <w:szCs w:val="28"/>
          <w14:textOutline w14:w="5094" w14:cap="flat" w14:cmpd="sng">
            <w14:solidFill>
              <w14:srgbClr w14:val="000000"/>
            </w14:solidFill>
            <w14:prstDash w14:val="solid"/>
            <w14:miter w14:val="0"/>
          </w14:textOutline>
        </w:rPr>
      </w:pPr>
      <w:r>
        <w:rPr>
          <w:rFonts w:ascii="宋体" w:hAnsi="宋体" w:eastAsia="宋体" w:cs="宋体"/>
          <w:spacing w:val="20"/>
          <w:sz w:val="28"/>
          <w:szCs w:val="28"/>
          <w14:textOutline w14:w="5094" w14:cap="flat" w14:cmpd="sng">
            <w14:solidFill>
              <w14:srgbClr w14:val="000000"/>
            </w14:solidFill>
            <w14:prstDash w14:val="solid"/>
            <w14:miter w14:val="0"/>
          </w14:textOutline>
        </w:rPr>
        <w:t>附件一</w:t>
      </w:r>
    </w:p>
    <w:p>
      <w:pPr>
        <w:pStyle w:val="4"/>
        <w:pageBreakBefore w:val="0"/>
        <w:kinsoku/>
        <w:wordWrap/>
        <w:overflowPunct/>
        <w:bidi w:val="0"/>
        <w:spacing w:before="0" w:after="0" w:line="360" w:lineRule="auto"/>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洛阳市</w:t>
      </w:r>
      <w:r>
        <w:rPr>
          <w:rFonts w:hint="eastAsia" w:ascii="宋体" w:hAnsi="宋体" w:eastAsia="宋体" w:cs="宋体"/>
          <w:color w:val="auto"/>
          <w:sz w:val="24"/>
          <w:szCs w:val="24"/>
          <w:highlight w:val="none"/>
        </w:rPr>
        <w:t>工程建设项目廉洁自律告知书</w:t>
      </w:r>
    </w:p>
    <w:p>
      <w:pPr>
        <w:pageBreakBefore w:val="0"/>
        <w:kinsoku/>
        <w:wordWrap/>
        <w:overflowPunct/>
        <w:bidi w:val="0"/>
        <w:spacing w:line="36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为维护公平竞争的市场秩序,从源头上有效预防和制止违法违纪行为和腐败问题的发生,促进工程项目建设廉洁优质高效，现就有关事项告知如下：</w:t>
      </w:r>
    </w:p>
    <w:p>
      <w:pPr>
        <w:pageBreakBefore w:val="0"/>
        <w:kinsoku/>
        <w:wordWrap/>
        <w:overflowPunct/>
        <w:bidi w:val="0"/>
        <w:spacing w:line="36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一、严格遵守工程建设项目的法律、法规及规章制度。</w:t>
      </w:r>
    </w:p>
    <w:p>
      <w:pPr>
        <w:pageBreakBefore w:val="0"/>
        <w:kinsoku/>
        <w:wordWrap/>
        <w:overflowPunct/>
        <w:bidi w:val="0"/>
        <w:spacing w:line="36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二、严格遵守职业道德，坚持公开、公正、公平、诚信的原则；</w:t>
      </w:r>
    </w:p>
    <w:p>
      <w:pPr>
        <w:pageBreakBefore w:val="0"/>
        <w:kinsoku/>
        <w:wordWrap/>
        <w:overflowPunct/>
        <w:bidi w:val="0"/>
        <w:spacing w:line="36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三、严格执行工程建设项目合同文件，自觉按合同办事；</w:t>
      </w:r>
    </w:p>
    <w:p>
      <w:pPr>
        <w:pageBreakBefore w:val="0"/>
        <w:kinsoku/>
        <w:wordWrap/>
        <w:overflowPunct/>
        <w:bidi w:val="0"/>
        <w:spacing w:line="36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四、严格执行工程建设项目招标投标、物资采购、设计变更、质量认证、安全生产等各项规定；</w:t>
      </w:r>
    </w:p>
    <w:p>
      <w:pPr>
        <w:pageBreakBefore w:val="0"/>
        <w:kinsoku/>
        <w:wordWrap/>
        <w:overflowPunct/>
        <w:bidi w:val="0"/>
        <w:spacing w:line="36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五、严禁为了获取不正当的利益而损害国家利益、社会公共利益或者他人合法权益；</w:t>
      </w:r>
    </w:p>
    <w:p>
      <w:pPr>
        <w:pageBreakBefore w:val="0"/>
        <w:kinsoku/>
        <w:wordWrap/>
        <w:overflowPunct/>
        <w:bidi w:val="0"/>
        <w:spacing w:line="36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六、严禁向项目建设单位和相关职能部门及有关人员赠送礼金、有价证券、贵重物品或回扣、好处费、感谢费等，不直接或变相行贿搞商业贿赂；</w:t>
      </w:r>
    </w:p>
    <w:p>
      <w:pPr>
        <w:pageBreakBefore w:val="0"/>
        <w:kinsoku/>
        <w:wordWrap/>
        <w:overflowPunct/>
        <w:bidi w:val="0"/>
        <w:spacing w:line="36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七、加强内部监督，并自觉接受有关职能部门对工程建设情况的监督检查；</w:t>
      </w:r>
    </w:p>
    <w:p>
      <w:pPr>
        <w:pageBreakBefore w:val="0"/>
        <w:kinsoku/>
        <w:wordWrap/>
        <w:overflowPunct/>
        <w:bidi w:val="0"/>
        <w:spacing w:line="36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八、严格执行廉洁从业各项规定，并向县委、县政府作出廉洁自律承诺。</w:t>
      </w:r>
    </w:p>
    <w:p>
      <w:pPr>
        <w:pageBreakBefore w:val="0"/>
        <w:kinsoku/>
        <w:wordWrap/>
        <w:overflowPunct/>
        <w:bidi w:val="0"/>
        <w:spacing w:line="36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违反上述告知事项造成不良影响或严重后果的，按照国家有关法律法规予以处理；涉嫌犯罪的，移送司法机关依法追究刑事责任。</w:t>
      </w:r>
    </w:p>
    <w:p>
      <w:pPr>
        <w:pageBreakBefore w:val="0"/>
        <w:kinsoku/>
        <w:wordWrap/>
        <w:overflowPunct/>
        <w:bidi w:val="0"/>
        <w:spacing w:line="36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本人已认真阅读并充分理解以上条款，并代表所属单位严格遵守。</w:t>
      </w:r>
    </w:p>
    <w:p>
      <w:pPr>
        <w:pageBreakBefore w:val="0"/>
        <w:kinsoku/>
        <w:wordWrap/>
        <w:overflowPunct/>
        <w:bidi w:val="0"/>
        <w:spacing w:line="360" w:lineRule="auto"/>
        <w:ind w:left="0" w:leftChars="0" w:right="0" w:rightChars="0" w:firstLine="420" w:firstLineChars="200"/>
        <w:textAlignment w:val="auto"/>
        <w:rPr>
          <w:rFonts w:hint="eastAsia" w:ascii="宋体" w:hAnsi="宋体" w:eastAsia="宋体" w:cs="宋体"/>
          <w:bCs/>
          <w:color w:val="auto"/>
          <w:sz w:val="21"/>
          <w:szCs w:val="21"/>
          <w:highlight w:val="none"/>
        </w:rPr>
      </w:pPr>
    </w:p>
    <w:p>
      <w:pPr>
        <w:pageBreakBefore w:val="0"/>
        <w:kinsoku/>
        <w:wordWrap/>
        <w:overflowPunct/>
        <w:bidi w:val="0"/>
        <w:spacing w:line="360" w:lineRule="auto"/>
        <w:ind w:left="0" w:leftChars="0" w:right="0" w:rightChars="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法</w:t>
      </w:r>
      <w:r>
        <w:rPr>
          <w:rFonts w:hint="eastAsia" w:ascii="宋体" w:hAnsi="宋体" w:cs="宋体"/>
          <w:bCs/>
          <w:color w:val="auto"/>
          <w:sz w:val="21"/>
          <w:szCs w:val="21"/>
          <w:highlight w:val="none"/>
          <w:lang w:val="en-US" w:eastAsia="zh-CN"/>
        </w:rPr>
        <w:t>定</w:t>
      </w:r>
      <w:r>
        <w:rPr>
          <w:rFonts w:hint="eastAsia" w:ascii="宋体" w:hAnsi="宋体" w:eastAsia="宋体" w:cs="宋体"/>
          <w:bCs/>
          <w:color w:val="auto"/>
          <w:sz w:val="21"/>
          <w:szCs w:val="21"/>
          <w:highlight w:val="none"/>
        </w:rPr>
        <w:t xml:space="preserve">代表人（签字或电子签章）：         </w:t>
      </w:r>
    </w:p>
    <w:p>
      <w:pPr>
        <w:pageBreakBefore w:val="0"/>
        <w:kinsoku/>
        <w:wordWrap/>
        <w:overflowPunct/>
        <w:bidi w:val="0"/>
        <w:spacing w:line="360" w:lineRule="auto"/>
        <w:ind w:left="0" w:leftChars="0" w:right="0" w:rightChars="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单位（企业电子章）：           </w:t>
      </w:r>
    </w:p>
    <w:p>
      <w:pPr>
        <w:spacing w:line="220" w:lineRule="auto"/>
        <w:ind w:firstLine="420" w:firstLineChars="200"/>
        <w:rPr>
          <w:rFonts w:hint="default" w:ascii="宋体" w:hAnsi="宋体" w:eastAsia="宋体" w:cs="宋体"/>
          <w:sz w:val="21"/>
          <w:szCs w:val="21"/>
          <w:u w:val="none"/>
          <w:lang w:val="en-US" w:eastAsia="zh-CN"/>
        </w:rPr>
        <w:sectPr>
          <w:footerReference r:id="rId43" w:type="default"/>
          <w:pgSz w:w="11907" w:h="16841"/>
          <w:pgMar w:top="1428" w:right="1075" w:bottom="1216" w:left="1108" w:header="0" w:footer="1055" w:gutter="0"/>
          <w:pgNumType w:fmt="decimal"/>
          <w:cols w:space="720" w:num="1"/>
        </w:sectPr>
      </w:pPr>
      <w:r>
        <w:rPr>
          <w:rFonts w:hint="eastAsia" w:ascii="宋体" w:hAnsi="宋体" w:eastAsia="宋体" w:cs="宋体"/>
          <w:bCs/>
          <w:color w:val="auto"/>
          <w:sz w:val="21"/>
          <w:szCs w:val="21"/>
          <w:highlight w:val="none"/>
        </w:rPr>
        <w:t>日期：</w:t>
      </w:r>
      <w:r>
        <w:rPr>
          <w:rFonts w:hint="eastAsia" w:ascii="宋体" w:hAnsi="宋体" w:cs="宋体"/>
          <w:bCs/>
          <w:color w:val="auto"/>
          <w:sz w:val="21"/>
          <w:szCs w:val="21"/>
          <w:highlight w:val="none"/>
          <w:u w:val="single"/>
          <w:lang w:val="en-US" w:eastAsia="zh-CN"/>
        </w:rPr>
        <w:t xml:space="preserve">    </w:t>
      </w:r>
      <w:r>
        <w:rPr>
          <w:rFonts w:hint="eastAsia" w:ascii="宋体" w:hAnsi="宋体" w:cs="宋体"/>
          <w:bCs/>
          <w:color w:val="auto"/>
          <w:sz w:val="21"/>
          <w:szCs w:val="21"/>
          <w:highlight w:val="none"/>
          <w:u w:val="none"/>
          <w:lang w:val="en-US" w:eastAsia="zh-CN"/>
        </w:rPr>
        <w:t xml:space="preserve"> 年</w:t>
      </w:r>
      <w:r>
        <w:rPr>
          <w:rFonts w:hint="eastAsia" w:ascii="宋体" w:hAnsi="宋体" w:cs="宋体"/>
          <w:bCs/>
          <w:color w:val="auto"/>
          <w:sz w:val="21"/>
          <w:szCs w:val="21"/>
          <w:highlight w:val="none"/>
          <w:u w:val="single"/>
          <w:lang w:val="en-US" w:eastAsia="zh-CN"/>
        </w:rPr>
        <w:t xml:space="preserve">      </w:t>
      </w:r>
      <w:r>
        <w:rPr>
          <w:rFonts w:hint="eastAsia" w:ascii="宋体" w:hAnsi="宋体" w:cs="宋体"/>
          <w:bCs/>
          <w:color w:val="auto"/>
          <w:sz w:val="21"/>
          <w:szCs w:val="21"/>
          <w:highlight w:val="none"/>
          <w:u w:val="none"/>
          <w:lang w:val="en-US" w:eastAsia="zh-CN"/>
        </w:rPr>
        <w:t>月</w:t>
      </w:r>
      <w:r>
        <w:rPr>
          <w:rFonts w:hint="eastAsia" w:ascii="宋体" w:hAnsi="宋体" w:cs="宋体"/>
          <w:bCs/>
          <w:color w:val="auto"/>
          <w:sz w:val="21"/>
          <w:szCs w:val="21"/>
          <w:highlight w:val="none"/>
          <w:u w:val="single"/>
          <w:lang w:val="en-US" w:eastAsia="zh-CN"/>
        </w:rPr>
        <w:t xml:space="preserve">        </w:t>
      </w:r>
      <w:r>
        <w:rPr>
          <w:rFonts w:hint="eastAsia" w:ascii="宋体" w:hAnsi="宋体" w:cs="宋体"/>
          <w:bCs/>
          <w:color w:val="auto"/>
          <w:sz w:val="21"/>
          <w:szCs w:val="21"/>
          <w:highlight w:val="none"/>
          <w:u w:val="none"/>
          <w:lang w:val="en-US" w:eastAsia="zh-CN"/>
        </w:rPr>
        <w:t>日</w:t>
      </w:r>
    </w:p>
    <w:p>
      <w:pPr>
        <w:spacing w:before="91" w:line="220" w:lineRule="auto"/>
        <w:rPr>
          <w:rFonts w:ascii="宋体" w:hAnsi="宋体" w:eastAsia="宋体" w:cs="宋体"/>
          <w:spacing w:val="20"/>
          <w:sz w:val="28"/>
          <w:szCs w:val="28"/>
          <w14:textOutline w14:w="5094" w14:cap="flat" w14:cmpd="sng">
            <w14:solidFill>
              <w14:srgbClr w14:val="000000"/>
            </w14:solidFill>
            <w14:prstDash w14:val="solid"/>
            <w14:miter w14:val="0"/>
          </w14:textOutline>
        </w:rPr>
      </w:pPr>
      <w:r>
        <w:rPr>
          <w:rFonts w:ascii="宋体" w:hAnsi="宋体" w:eastAsia="宋体" w:cs="宋体"/>
          <w:spacing w:val="20"/>
          <w:sz w:val="28"/>
          <w:szCs w:val="28"/>
          <w14:textOutline w14:w="5094" w14:cap="flat" w14:cmpd="sng">
            <w14:solidFill>
              <w14:srgbClr w14:val="000000"/>
            </w14:solidFill>
            <w14:prstDash w14:val="solid"/>
            <w14:miter w14:val="0"/>
          </w14:textOutline>
        </w:rPr>
        <w:t>附件二</w:t>
      </w:r>
    </w:p>
    <w:p>
      <w:pPr>
        <w:spacing w:before="204" w:line="219" w:lineRule="auto"/>
        <w:ind w:left="3208"/>
        <w:rPr>
          <w:rFonts w:ascii="宋体" w:hAnsi="宋体" w:eastAsia="宋体" w:cs="宋体"/>
          <w:sz w:val="24"/>
          <w:szCs w:val="24"/>
          <w14:textOutline w14:w="4354" w14:cap="flat" w14:cmpd="sng">
            <w14:solidFill>
              <w14:srgbClr w14:val="000000"/>
            </w14:solidFill>
            <w14:prstDash w14:val="solid"/>
            <w14:miter w14:val="0"/>
          </w14:textOutline>
        </w:rPr>
      </w:pPr>
      <w:r>
        <w:rPr>
          <w:rFonts w:ascii="宋体" w:hAnsi="宋体" w:eastAsia="宋体" w:cs="宋体"/>
          <w:sz w:val="24"/>
          <w:szCs w:val="24"/>
          <w14:textOutline w14:w="4354" w14:cap="flat" w14:cmpd="sng">
            <w14:solidFill>
              <w14:srgbClr w14:val="000000"/>
            </w14:solidFill>
            <w14:prstDash w14:val="solid"/>
            <w14:miter w14:val="0"/>
          </w14:textOutline>
        </w:rPr>
        <w:t>洛阳市工程建设项目廉洁自律承诺书</w:t>
      </w:r>
    </w:p>
    <w:p>
      <w:pPr>
        <w:spacing w:before="204" w:line="219" w:lineRule="auto"/>
        <w:ind w:left="3208"/>
        <w:rPr>
          <w:rFonts w:ascii="宋体" w:hAnsi="宋体" w:eastAsia="宋体" w:cs="宋体"/>
          <w:sz w:val="24"/>
          <w:szCs w:val="24"/>
          <w14:textOutline w14:w="4354" w14:cap="flat" w14:cmpd="sng">
            <w14:solidFill>
              <w14:srgbClr w14:val="000000"/>
            </w14:solidFill>
            <w14:prstDash w14:val="solid"/>
            <w14:miter w14:val="0"/>
          </w14:textOutline>
        </w:rPr>
      </w:pPr>
    </w:p>
    <w:p>
      <w:pPr>
        <w:pageBreakBefore w:val="0"/>
        <w:kinsoku/>
        <w:wordWrap/>
        <w:overflowPunct/>
        <w:bidi w:val="0"/>
        <w:spacing w:line="36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为切实加强工程建设领域的党风廉政建设，督促相关单位严格遵守廉洁从业有关规定，有效预防和制止各种违法违纪行为和腐败问题的发生，确保把工程项目建设成为廉洁工程，促进经济社会科学发展，作为工程建设的相关单位，特向县委、县政府做出如下庄严承诺：</w:t>
      </w:r>
    </w:p>
    <w:p>
      <w:pPr>
        <w:pageBreakBefore w:val="0"/>
        <w:kinsoku/>
        <w:wordWrap/>
        <w:overflowPunct/>
        <w:bidi w:val="0"/>
        <w:spacing w:line="36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一、严格遵守党纪国法和各项规定，将廉政建设和廉洁从业的各项要求贯彻始终，不插手和干预工程建设项目正常开展或干扰正常的监管和执法活动，廉洁自律，加强监督，保证将工程建设成为廉洁工程。</w:t>
      </w:r>
    </w:p>
    <w:p>
      <w:pPr>
        <w:pageBreakBefore w:val="0"/>
        <w:kinsoku/>
        <w:wordWrap/>
        <w:overflowPunct/>
        <w:bidi w:val="0"/>
        <w:spacing w:line="36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二、严格遵守职业道德，坚持公开、公正、公平的原则，依法合规参与竞争，努力推进诚信建设，不从事任何不正当竞争和任何违法违纪行为。 </w:t>
      </w:r>
    </w:p>
    <w:p>
      <w:pPr>
        <w:pageBreakBefore w:val="0"/>
        <w:kinsoku/>
        <w:wordWrap/>
        <w:overflowPunct/>
        <w:bidi w:val="0"/>
        <w:spacing w:line="36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建立并落实党风廉政建设和廉洁从业责任制，健全行之有效的规章制度，在工程报批立项、招标投标、资金运用、物资采购、设计变更、预算决算、质量认证、工程验收和设计、施工、监理过程中不以任何形式以权谋私、以工程谋私、索贿受贿，直接或变相行贿搞商业贿赂。</w:t>
      </w:r>
    </w:p>
    <w:p>
      <w:pPr>
        <w:pageBreakBefore w:val="0"/>
        <w:kinsoku/>
        <w:wordWrap/>
        <w:overflowPunct/>
        <w:bidi w:val="0"/>
        <w:spacing w:line="36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 建立工程质量监管保证体系。严格按照国家各项相关法规和技术规范从事设计、施工、监理，确保工程设计、施工组织、质量监理全部依法合规。</w:t>
      </w:r>
    </w:p>
    <w:p>
      <w:pPr>
        <w:pageBreakBefore w:val="0"/>
        <w:kinsoku/>
        <w:wordWrap/>
        <w:overflowPunct/>
        <w:bidi w:val="0"/>
        <w:spacing w:line="36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五、建立安全生产监管保证体系。按照国家各项相关法律和技术规范，在工程建设中落实安全生产 “三同时”要求，确保施工人员和其他相关人员生命及人身安全，严防各类安全事故的发生。</w:t>
      </w:r>
    </w:p>
    <w:p>
      <w:pPr>
        <w:pageBreakBefore w:val="0"/>
        <w:kinsoku/>
        <w:wordWrap/>
        <w:overflowPunct/>
        <w:bidi w:val="0"/>
        <w:spacing w:line="36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六、遵守财经法规，厉行勤俭节约，杜绝铺张浪费，严格控制开支，最大限度地压缩工程费用，节约资金。</w:t>
      </w:r>
    </w:p>
    <w:p>
      <w:pPr>
        <w:pageBreakBefore w:val="0"/>
        <w:kinsoku/>
        <w:wordWrap/>
        <w:overflowPunct/>
        <w:bidi w:val="0"/>
        <w:spacing w:line="36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七、定期不定期地对工程建设中廉政建设和廉洁从业情况进行内部监督检查，同时主动接受有关部门依法依纪的监督检查，及时发现和整改存在的各种问题。</w:t>
      </w:r>
    </w:p>
    <w:p>
      <w:pPr>
        <w:pageBreakBefore w:val="0"/>
        <w:kinsoku/>
        <w:wordWrap/>
        <w:overflowPunct/>
        <w:bidi w:val="0"/>
        <w:spacing w:line="36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八、如在工程建设中发生违法违纪行为和腐败问题，自愿接受党纪、政纪处理直至追究法律责任。</w:t>
      </w:r>
    </w:p>
    <w:p>
      <w:pPr>
        <w:pageBreakBefore w:val="0"/>
        <w:kinsoku/>
        <w:wordWrap/>
        <w:overflowPunct/>
        <w:bidi w:val="0"/>
        <w:spacing w:line="360" w:lineRule="auto"/>
        <w:ind w:left="0" w:leftChars="0" w:right="0" w:rightChars="0" w:firstLine="3570" w:firstLineChars="1700"/>
        <w:textAlignment w:val="auto"/>
        <w:rPr>
          <w:rFonts w:hint="eastAsia" w:ascii="宋体" w:hAnsi="宋体" w:eastAsia="宋体" w:cs="宋体"/>
          <w:bCs/>
          <w:color w:val="auto"/>
          <w:sz w:val="21"/>
          <w:szCs w:val="21"/>
          <w:highlight w:val="none"/>
        </w:rPr>
      </w:pPr>
    </w:p>
    <w:p>
      <w:pPr>
        <w:pageBreakBefore w:val="0"/>
        <w:kinsoku/>
        <w:wordWrap/>
        <w:overflowPunct/>
        <w:bidi w:val="0"/>
        <w:spacing w:line="360" w:lineRule="auto"/>
        <w:ind w:left="0" w:leftChars="0" w:right="0" w:rightChars="0" w:firstLine="3570" w:firstLineChars="1700"/>
        <w:textAlignment w:val="auto"/>
        <w:rPr>
          <w:rFonts w:hint="eastAsia" w:ascii="宋体" w:hAnsi="宋体" w:eastAsia="宋体" w:cs="宋体"/>
          <w:bCs/>
          <w:color w:val="auto"/>
          <w:sz w:val="21"/>
          <w:szCs w:val="21"/>
          <w:highlight w:val="none"/>
        </w:rPr>
      </w:pPr>
    </w:p>
    <w:p>
      <w:pPr>
        <w:pageBreakBefore w:val="0"/>
        <w:kinsoku/>
        <w:wordWrap/>
        <w:overflowPunct/>
        <w:bidi w:val="0"/>
        <w:spacing w:line="360" w:lineRule="auto"/>
        <w:ind w:left="0" w:leftChars="0" w:right="0" w:rightChars="0" w:firstLine="3570" w:firstLineChars="17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承诺单位（企业电子章）：</w:t>
      </w:r>
    </w:p>
    <w:p>
      <w:pPr>
        <w:pageBreakBefore w:val="0"/>
        <w:kinsoku/>
        <w:wordWrap/>
        <w:overflowPunct/>
        <w:bidi w:val="0"/>
        <w:spacing w:line="360" w:lineRule="auto"/>
        <w:ind w:left="0" w:leftChars="0" w:right="0" w:rightChars="0" w:firstLine="3570" w:firstLineChars="17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法</w:t>
      </w:r>
      <w:r>
        <w:rPr>
          <w:rFonts w:hint="eastAsia" w:ascii="宋体" w:hAnsi="宋体" w:cs="宋体"/>
          <w:bCs/>
          <w:color w:val="auto"/>
          <w:sz w:val="21"/>
          <w:szCs w:val="21"/>
          <w:highlight w:val="none"/>
          <w:lang w:val="en-US" w:eastAsia="zh-CN"/>
        </w:rPr>
        <w:t>定</w:t>
      </w:r>
      <w:r>
        <w:rPr>
          <w:rFonts w:hint="eastAsia" w:ascii="宋体" w:hAnsi="宋体" w:eastAsia="宋体" w:cs="宋体"/>
          <w:bCs/>
          <w:color w:val="auto"/>
          <w:sz w:val="21"/>
          <w:szCs w:val="21"/>
          <w:highlight w:val="none"/>
        </w:rPr>
        <w:t>代表人（签字或电子签章）：</w:t>
      </w:r>
    </w:p>
    <w:p>
      <w:pPr>
        <w:spacing w:line="220" w:lineRule="auto"/>
        <w:jc w:val="center"/>
        <w:rPr>
          <w:rFonts w:ascii="宋体" w:hAnsi="宋体" w:eastAsia="宋体" w:cs="宋体"/>
          <w:sz w:val="21"/>
          <w:szCs w:val="21"/>
        </w:rPr>
        <w:sectPr>
          <w:footerReference r:id="rId44" w:type="default"/>
          <w:pgSz w:w="11907" w:h="16841"/>
          <w:pgMar w:top="1428" w:right="1070" w:bottom="1216" w:left="1108" w:header="0" w:footer="1055" w:gutter="0"/>
          <w:pgNumType w:fmt="decimal"/>
          <w:cols w:space="720" w:num="1"/>
        </w:sect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rPr>
        <w:t>时    间：     年   月   日</w:t>
      </w:r>
    </w:p>
    <w:p>
      <w:pPr>
        <w:spacing w:before="91" w:line="220" w:lineRule="auto"/>
        <w:rPr>
          <w:rFonts w:ascii="宋体" w:hAnsi="宋体" w:eastAsia="宋体" w:cs="宋体"/>
          <w:spacing w:val="20"/>
          <w:sz w:val="28"/>
          <w:szCs w:val="28"/>
          <w14:textOutline w14:w="5094" w14:cap="flat" w14:cmpd="sng">
            <w14:solidFill>
              <w14:srgbClr w14:val="000000"/>
            </w14:solidFill>
            <w14:prstDash w14:val="solid"/>
            <w14:miter w14:val="0"/>
          </w14:textOutline>
        </w:rPr>
      </w:pPr>
      <w:r>
        <w:rPr>
          <w:rFonts w:ascii="宋体" w:hAnsi="宋体" w:eastAsia="宋体" w:cs="宋体"/>
          <w:spacing w:val="20"/>
          <w:sz w:val="28"/>
          <w:szCs w:val="28"/>
          <w14:textOutline w14:w="5094" w14:cap="flat" w14:cmpd="sng">
            <w14:solidFill>
              <w14:srgbClr w14:val="000000"/>
            </w14:solidFill>
            <w14:prstDash w14:val="solid"/>
            <w14:miter w14:val="0"/>
          </w14:textOutline>
        </w:rPr>
        <w:t>附件三</w:t>
      </w:r>
    </w:p>
    <w:p>
      <w:pPr>
        <w:spacing w:before="204" w:line="219" w:lineRule="auto"/>
        <w:ind w:left="3842"/>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0"/>
          </w14:textOutline>
        </w:rPr>
        <w:t>不拖欠农民工工资承诺书</w:t>
      </w:r>
    </w:p>
    <w:p>
      <w:pPr>
        <w:tabs>
          <w:tab w:val="left" w:pos="1050"/>
        </w:tabs>
        <w:spacing w:before="196" w:line="221" w:lineRule="auto"/>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
          <w:sz w:val="21"/>
          <w:szCs w:val="21"/>
        </w:rPr>
        <w:t>（招标人名称</w:t>
      </w:r>
      <w:r>
        <w:rPr>
          <w:rFonts w:ascii="宋体" w:hAnsi="宋体" w:eastAsia="宋体" w:cs="宋体"/>
          <w:spacing w:val="-11"/>
          <w:sz w:val="21"/>
          <w:szCs w:val="21"/>
        </w:rPr>
        <w:t>）：</w:t>
      </w:r>
    </w:p>
    <w:p>
      <w:pPr>
        <w:spacing w:before="158" w:line="408" w:lineRule="exact"/>
        <w:jc w:val="right"/>
        <w:rPr>
          <w:rFonts w:ascii="宋体" w:hAnsi="宋体" w:eastAsia="宋体" w:cs="宋体"/>
          <w:sz w:val="21"/>
          <w:szCs w:val="21"/>
        </w:rPr>
      </w:pPr>
      <w:r>
        <w:rPr>
          <w:rFonts w:ascii="宋体" w:hAnsi="宋体" w:eastAsia="宋体" w:cs="宋体"/>
          <w:spacing w:val="2"/>
          <w:position w:val="15"/>
          <w:sz w:val="21"/>
          <w:szCs w:val="21"/>
        </w:rPr>
        <w:t>为贯彻落实《国务院办公厅关于切实解决建设领域拖欠工程款问题的通知》等文件</w:t>
      </w:r>
      <w:r>
        <w:rPr>
          <w:rFonts w:ascii="宋体" w:hAnsi="宋体" w:eastAsia="宋体" w:cs="宋体"/>
          <w:spacing w:val="1"/>
          <w:position w:val="15"/>
          <w:sz w:val="21"/>
          <w:szCs w:val="21"/>
        </w:rPr>
        <w:t>精神，切实保障农</w:t>
      </w:r>
    </w:p>
    <w:p>
      <w:pPr>
        <w:spacing w:before="1" w:line="220" w:lineRule="auto"/>
        <w:ind w:left="28"/>
        <w:rPr>
          <w:rFonts w:ascii="宋体" w:hAnsi="宋体" w:eastAsia="宋体" w:cs="宋体"/>
          <w:sz w:val="21"/>
          <w:szCs w:val="21"/>
        </w:rPr>
      </w:pPr>
      <w:r>
        <w:rPr>
          <w:rFonts w:ascii="宋体" w:hAnsi="宋体" w:eastAsia="宋体" w:cs="宋体"/>
          <w:sz w:val="21"/>
          <w:szCs w:val="21"/>
        </w:rPr>
        <w:t>民工的合法权益。我公司在参与</w:t>
      </w:r>
      <w:r>
        <w:rPr>
          <w:rFonts w:ascii="宋体" w:hAnsi="宋体" w:eastAsia="宋体" w:cs="宋体"/>
          <w:spacing w:val="-1"/>
          <w:sz w:val="21"/>
          <w:szCs w:val="21"/>
          <w:u w:val="single" w:color="auto"/>
        </w:rPr>
        <w:t>（项目名称）</w:t>
      </w:r>
      <w:r>
        <w:rPr>
          <w:rFonts w:ascii="宋体" w:hAnsi="宋体" w:eastAsia="宋体" w:cs="宋体"/>
          <w:spacing w:val="-1"/>
          <w:sz w:val="21"/>
          <w:szCs w:val="21"/>
        </w:rPr>
        <w:t>中承诺：</w:t>
      </w:r>
    </w:p>
    <w:p>
      <w:pPr>
        <w:spacing w:before="157" w:line="408" w:lineRule="exact"/>
        <w:ind w:left="444"/>
        <w:rPr>
          <w:rFonts w:ascii="宋体" w:hAnsi="宋体" w:eastAsia="宋体" w:cs="宋体"/>
          <w:sz w:val="21"/>
          <w:szCs w:val="21"/>
        </w:rPr>
      </w:pPr>
      <w:r>
        <w:rPr>
          <w:rFonts w:ascii="宋体" w:hAnsi="宋体" w:eastAsia="宋体" w:cs="宋体"/>
          <w:spacing w:val="-2"/>
          <w:position w:val="15"/>
          <w:sz w:val="21"/>
          <w:szCs w:val="21"/>
        </w:rPr>
        <w:t>1、在本项目投标截止之日，在以前所承建工程中不存在拖欠或克扣农民工工资的行为。</w:t>
      </w:r>
    </w:p>
    <w:p>
      <w:pPr>
        <w:spacing w:before="1" w:line="220" w:lineRule="auto"/>
        <w:ind w:left="424"/>
        <w:rPr>
          <w:rFonts w:ascii="宋体" w:hAnsi="宋体" w:eastAsia="宋体" w:cs="宋体"/>
          <w:sz w:val="21"/>
          <w:szCs w:val="21"/>
        </w:rPr>
      </w:pPr>
      <w:r>
        <w:rPr>
          <w:rFonts w:ascii="宋体" w:hAnsi="宋体" w:eastAsia="宋体" w:cs="宋体"/>
          <w:spacing w:val="-4"/>
          <w:sz w:val="21"/>
          <w:szCs w:val="21"/>
        </w:rPr>
        <w:t>2、中标后能够及时、足额发放农民工工资。</w:t>
      </w:r>
    </w:p>
    <w:p>
      <w:pPr>
        <w:spacing w:before="160" w:line="408" w:lineRule="exact"/>
        <w:jc w:val="center"/>
        <w:rPr>
          <w:rFonts w:ascii="宋体" w:hAnsi="宋体" w:eastAsia="宋体" w:cs="宋体"/>
          <w:sz w:val="21"/>
          <w:szCs w:val="21"/>
        </w:rPr>
      </w:pPr>
      <w:r>
        <w:rPr>
          <w:rFonts w:hint="eastAsia" w:ascii="宋体" w:hAnsi="宋体" w:cs="宋体"/>
          <w:spacing w:val="-2"/>
          <w:position w:val="14"/>
          <w:sz w:val="21"/>
          <w:szCs w:val="21"/>
          <w:lang w:val="en-US" w:eastAsia="zh-CN"/>
        </w:rPr>
        <w:t xml:space="preserve">  </w:t>
      </w:r>
      <w:r>
        <w:rPr>
          <w:rFonts w:ascii="宋体" w:hAnsi="宋体" w:eastAsia="宋体" w:cs="宋体"/>
          <w:spacing w:val="-2"/>
          <w:position w:val="14"/>
          <w:sz w:val="21"/>
          <w:szCs w:val="21"/>
        </w:rPr>
        <w:t>3、一旦其承包的交通工程项目中出现拖欠农民工工资情况的，可由交通行业主</w:t>
      </w:r>
      <w:r>
        <w:rPr>
          <w:rFonts w:ascii="宋体" w:hAnsi="宋体" w:eastAsia="宋体" w:cs="宋体"/>
          <w:spacing w:val="-3"/>
          <w:position w:val="14"/>
          <w:sz w:val="21"/>
          <w:szCs w:val="21"/>
        </w:rPr>
        <w:t>管部门从农民工工资保</w:t>
      </w:r>
    </w:p>
    <w:p>
      <w:pPr>
        <w:spacing w:before="1" w:line="220" w:lineRule="auto"/>
        <w:ind w:left="8"/>
        <w:rPr>
          <w:rFonts w:ascii="宋体" w:hAnsi="宋体" w:eastAsia="宋体" w:cs="宋体"/>
          <w:sz w:val="21"/>
          <w:szCs w:val="21"/>
        </w:rPr>
      </w:pPr>
      <w:r>
        <w:rPr>
          <w:rFonts w:ascii="宋体" w:hAnsi="宋体" w:eastAsia="宋体" w:cs="宋体"/>
          <w:spacing w:val="-1"/>
          <w:sz w:val="21"/>
          <w:szCs w:val="21"/>
        </w:rPr>
        <w:t>证金中预先划支。</w:t>
      </w:r>
    </w:p>
    <w:p>
      <w:pPr>
        <w:pStyle w:val="8"/>
        <w:spacing w:line="261" w:lineRule="auto"/>
      </w:pPr>
    </w:p>
    <w:p>
      <w:pPr>
        <w:pStyle w:val="8"/>
        <w:spacing w:line="261" w:lineRule="auto"/>
      </w:pPr>
    </w:p>
    <w:p>
      <w:pPr>
        <w:pStyle w:val="8"/>
        <w:spacing w:line="261" w:lineRule="auto"/>
      </w:pPr>
    </w:p>
    <w:p>
      <w:pPr>
        <w:pStyle w:val="8"/>
        <w:spacing w:line="262" w:lineRule="auto"/>
      </w:pPr>
    </w:p>
    <w:p>
      <w:pPr>
        <w:pStyle w:val="8"/>
        <w:spacing w:line="262" w:lineRule="auto"/>
      </w:pPr>
    </w:p>
    <w:p>
      <w:pPr>
        <w:spacing w:before="68" w:line="220" w:lineRule="auto"/>
        <w:ind w:left="3777"/>
        <w:rPr>
          <w:rFonts w:ascii="宋体" w:hAnsi="宋体" w:eastAsia="宋体" w:cs="宋体"/>
          <w:sz w:val="21"/>
          <w:szCs w:val="21"/>
        </w:rPr>
      </w:pPr>
      <w:r>
        <w:rPr>
          <w:rFonts w:ascii="宋体" w:hAnsi="宋体" w:eastAsia="宋体" w:cs="宋体"/>
          <w:spacing w:val="-22"/>
          <w:sz w:val="21"/>
          <w:szCs w:val="21"/>
        </w:rPr>
        <w:t>承诺单位（</w:t>
      </w:r>
      <w:r>
        <w:rPr>
          <w:rFonts w:hint="eastAsia" w:ascii="宋体" w:hAnsi="宋体" w:eastAsia="宋体" w:cs="宋体"/>
          <w:bCs/>
          <w:color w:val="auto"/>
          <w:sz w:val="21"/>
          <w:szCs w:val="21"/>
          <w:highlight w:val="none"/>
        </w:rPr>
        <w:t>企业电子章</w:t>
      </w:r>
      <w:r>
        <w:rPr>
          <w:rFonts w:ascii="宋体" w:hAnsi="宋体" w:eastAsia="宋体" w:cs="宋体"/>
          <w:spacing w:val="-10"/>
          <w:sz w:val="21"/>
          <w:szCs w:val="21"/>
        </w:rPr>
        <w:t>）：</w:t>
      </w:r>
    </w:p>
    <w:p>
      <w:pPr>
        <w:spacing w:before="158" w:line="408" w:lineRule="exact"/>
        <w:ind w:left="3778"/>
        <w:rPr>
          <w:rFonts w:ascii="宋体" w:hAnsi="宋体" w:eastAsia="宋体" w:cs="宋体"/>
          <w:sz w:val="21"/>
          <w:szCs w:val="21"/>
        </w:rPr>
      </w:pPr>
      <w:r>
        <w:rPr>
          <w:rFonts w:ascii="宋体" w:hAnsi="宋体" w:eastAsia="宋体" w:cs="宋体"/>
          <w:spacing w:val="-23"/>
          <w:position w:val="15"/>
          <w:sz w:val="21"/>
          <w:szCs w:val="21"/>
        </w:rPr>
        <w:t>法定代表人（签字或电子签章</w:t>
      </w:r>
      <w:r>
        <w:rPr>
          <w:rFonts w:ascii="宋体" w:hAnsi="宋体" w:eastAsia="宋体" w:cs="宋体"/>
          <w:spacing w:val="-22"/>
          <w:position w:val="15"/>
          <w:sz w:val="21"/>
          <w:szCs w:val="21"/>
        </w:rPr>
        <w:t>）：</w:t>
      </w:r>
    </w:p>
    <w:p>
      <w:pPr>
        <w:spacing w:before="1" w:line="220" w:lineRule="auto"/>
        <w:ind w:left="3787"/>
        <w:rPr>
          <w:rFonts w:ascii="宋体" w:hAnsi="宋体" w:eastAsia="宋体" w:cs="宋体"/>
          <w:sz w:val="21"/>
          <w:szCs w:val="21"/>
        </w:rPr>
      </w:pPr>
      <w:r>
        <w:rPr>
          <w:rFonts w:ascii="宋体" w:hAnsi="宋体" w:eastAsia="宋体" w:cs="宋体"/>
          <w:spacing w:val="-24"/>
          <w:sz w:val="21"/>
          <w:szCs w:val="21"/>
        </w:rPr>
        <w:t>时间：</w:t>
      </w:r>
      <w:r>
        <w:rPr>
          <w:rFonts w:hint="eastAsia" w:ascii="宋体" w:hAnsi="宋体" w:cs="宋体"/>
          <w:spacing w:val="-24"/>
          <w:sz w:val="21"/>
          <w:szCs w:val="21"/>
          <w:lang w:val="en-US" w:eastAsia="zh-CN"/>
        </w:rPr>
        <w:t xml:space="preserve">     </w:t>
      </w:r>
      <w:r>
        <w:rPr>
          <w:rFonts w:ascii="宋体" w:hAnsi="宋体" w:eastAsia="宋体" w:cs="宋体"/>
          <w:spacing w:val="-24"/>
          <w:sz w:val="21"/>
          <w:szCs w:val="21"/>
        </w:rPr>
        <w:t>年</w:t>
      </w:r>
      <w:r>
        <w:rPr>
          <w:rFonts w:hint="eastAsia" w:ascii="宋体" w:hAnsi="宋体" w:cs="宋体"/>
          <w:spacing w:val="-24"/>
          <w:sz w:val="21"/>
          <w:szCs w:val="21"/>
          <w:lang w:val="en-US" w:eastAsia="zh-CN"/>
        </w:rPr>
        <w:t xml:space="preserve">      </w:t>
      </w:r>
      <w:r>
        <w:rPr>
          <w:rFonts w:ascii="宋体" w:hAnsi="宋体" w:eastAsia="宋体" w:cs="宋体"/>
          <w:spacing w:val="-24"/>
          <w:sz w:val="21"/>
          <w:szCs w:val="21"/>
        </w:rPr>
        <w:t>月</w:t>
      </w:r>
      <w:r>
        <w:rPr>
          <w:rFonts w:hint="eastAsia" w:ascii="宋体" w:hAnsi="宋体" w:cs="宋体"/>
          <w:spacing w:val="-24"/>
          <w:sz w:val="21"/>
          <w:szCs w:val="21"/>
          <w:lang w:val="en-US" w:eastAsia="zh-CN"/>
        </w:rPr>
        <w:t xml:space="preserve">     </w:t>
      </w:r>
      <w:r>
        <w:rPr>
          <w:rFonts w:ascii="宋体" w:hAnsi="宋体" w:eastAsia="宋体" w:cs="宋体"/>
          <w:spacing w:val="-24"/>
          <w:sz w:val="21"/>
          <w:szCs w:val="21"/>
        </w:rPr>
        <w:t>日</w:t>
      </w:r>
    </w:p>
    <w:p>
      <w:pPr>
        <w:spacing w:line="220" w:lineRule="auto"/>
        <w:rPr>
          <w:rFonts w:ascii="宋体" w:hAnsi="宋体" w:eastAsia="宋体" w:cs="宋体"/>
          <w:sz w:val="21"/>
          <w:szCs w:val="21"/>
        </w:rPr>
        <w:sectPr>
          <w:footerReference r:id="rId45" w:type="default"/>
          <w:pgSz w:w="11907" w:h="16841"/>
          <w:pgMar w:top="1428" w:right="1072" w:bottom="1216" w:left="1080" w:header="0" w:footer="1055" w:gutter="0"/>
          <w:pgNumType w:fmt="decimal"/>
          <w:cols w:space="720" w:num="1"/>
        </w:sectPr>
      </w:pPr>
    </w:p>
    <w:p>
      <w:pPr>
        <w:spacing w:before="91" w:line="220" w:lineRule="auto"/>
        <w:rPr>
          <w:rFonts w:ascii="宋体" w:hAnsi="宋体" w:eastAsia="宋体" w:cs="宋体"/>
          <w:spacing w:val="20"/>
          <w:sz w:val="28"/>
          <w:szCs w:val="28"/>
          <w14:textOutline w14:w="5094" w14:cap="flat" w14:cmpd="sng">
            <w14:solidFill>
              <w14:srgbClr w14:val="000000"/>
            </w14:solidFill>
            <w14:prstDash w14:val="solid"/>
            <w14:miter w14:val="0"/>
          </w14:textOutline>
        </w:rPr>
      </w:pPr>
      <w:r>
        <w:rPr>
          <w:rFonts w:ascii="宋体" w:hAnsi="宋体" w:eastAsia="宋体" w:cs="宋体"/>
          <w:spacing w:val="20"/>
          <w:sz w:val="28"/>
          <w:szCs w:val="28"/>
          <w14:textOutline w14:w="5094" w14:cap="flat" w14:cmpd="sng">
            <w14:solidFill>
              <w14:srgbClr w14:val="000000"/>
            </w14:solidFill>
            <w14:prstDash w14:val="solid"/>
            <w14:miter w14:val="0"/>
          </w14:textOutline>
        </w:rPr>
        <w:t>附件四、中小企业声明函</w:t>
      </w:r>
    </w:p>
    <w:p>
      <w:pPr>
        <w:pStyle w:val="8"/>
        <w:spacing w:line="367" w:lineRule="auto"/>
      </w:pPr>
    </w:p>
    <w:p>
      <w:pPr>
        <w:pStyle w:val="38"/>
        <w:pageBreakBefore w:val="0"/>
        <w:kinsoku/>
        <w:overflowPunct/>
        <w:bidi w:val="0"/>
        <w:spacing w:line="360" w:lineRule="auto"/>
        <w:ind w:left="0" w:leftChars="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 xml:space="preserve"> </w:t>
      </w:r>
      <w:r>
        <w:rPr>
          <w:rFonts w:hint="eastAsia" w:ascii="宋体" w:hAnsi="宋体" w:eastAsia="宋体" w:cs="宋体"/>
          <w:b/>
          <w:bCs/>
          <w:color w:val="auto"/>
          <w:sz w:val="24"/>
          <w:szCs w:val="24"/>
          <w:highlight w:val="none"/>
        </w:rPr>
        <w:t>中小微企业声明函</w:t>
      </w:r>
    </w:p>
    <w:p>
      <w:pPr>
        <w:pStyle w:val="38"/>
        <w:pageBreakBefore w:val="0"/>
        <w:kinsoku/>
        <w:overflowPunct/>
        <w:bidi w:val="0"/>
        <w:spacing w:line="360" w:lineRule="auto"/>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本公司(联合体)郑重声明，根据《政府采购促进中小企业发展管理办法》(财库[2020]46号)的规定，本公司(联合体)参加</w:t>
      </w:r>
      <w:r>
        <w:rPr>
          <w:rFonts w:hint="eastAsia" w:ascii="宋体" w:hAnsi="宋体" w:eastAsia="宋体" w:cs="宋体"/>
          <w:color w:val="auto"/>
          <w:sz w:val="24"/>
          <w:szCs w:val="24"/>
          <w:highlight w:val="none"/>
          <w:u w:val="single"/>
        </w:rPr>
        <w:t>(单位名称)</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(项目名称)</w:t>
      </w:r>
      <w:r>
        <w:rPr>
          <w:rFonts w:hint="eastAsia" w:ascii="宋体" w:hAnsi="宋体" w:eastAsia="宋体" w:cs="宋体"/>
          <w:color w:val="auto"/>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38"/>
        <w:pageBreakBefore w:val="0"/>
        <w:kinsoku/>
        <w:overflowPunct/>
        <w:bidi w:val="0"/>
        <w:spacing w:line="360" w:lineRule="auto"/>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w:t>
      </w:r>
      <w:r>
        <w:rPr>
          <w:rFonts w:hint="eastAsia" w:ascii="宋体" w:hAnsi="宋体" w:eastAsia="宋体" w:cs="宋体"/>
          <w:color w:val="auto"/>
          <w:sz w:val="24"/>
          <w:szCs w:val="24"/>
          <w:highlight w:val="none"/>
          <w:u w:val="single"/>
        </w:rPr>
        <w:t>(标的名称)</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 xml:space="preserve">（采购文件中明确的所属行业） </w:t>
      </w:r>
      <w:r>
        <w:rPr>
          <w:rFonts w:hint="eastAsia" w:ascii="宋体" w:hAnsi="宋体" w:eastAsia="宋体" w:cs="宋体"/>
          <w:color w:val="auto"/>
          <w:sz w:val="24"/>
          <w:szCs w:val="24"/>
          <w:highlight w:val="none"/>
        </w:rPr>
        <w:t>承建(承接)企业为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(中型企业、小型企业、微型企业)</w:t>
      </w:r>
      <w:r>
        <w:rPr>
          <w:rFonts w:hint="eastAsia" w:ascii="宋体" w:hAnsi="宋体" w:eastAsia="宋体" w:cs="宋体"/>
          <w:color w:val="auto"/>
          <w:sz w:val="24"/>
          <w:szCs w:val="24"/>
          <w:highlight w:val="none"/>
        </w:rPr>
        <w:t>。</w:t>
      </w:r>
    </w:p>
    <w:p>
      <w:pPr>
        <w:pStyle w:val="38"/>
        <w:pageBreakBefore w:val="0"/>
        <w:kinsoku/>
        <w:overflowPunct/>
        <w:bidi w:val="0"/>
        <w:spacing w:line="360" w:lineRule="auto"/>
        <w:ind w:left="0" w:leftChars="0" w:right="0"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2.</w:t>
      </w:r>
      <w:r>
        <w:rPr>
          <w:rFonts w:hint="eastAsia" w:ascii="宋体" w:hAnsi="宋体" w:eastAsia="宋体" w:cs="宋体"/>
          <w:color w:val="auto"/>
          <w:sz w:val="24"/>
          <w:szCs w:val="24"/>
          <w:highlight w:val="none"/>
          <w:u w:val="single"/>
        </w:rPr>
        <w:t>(标的名称)</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 xml:space="preserve">（采购文件中明确的所属行业） </w:t>
      </w:r>
      <w:r>
        <w:rPr>
          <w:rFonts w:hint="eastAsia" w:ascii="宋体" w:hAnsi="宋体" w:eastAsia="宋体" w:cs="宋体"/>
          <w:color w:val="auto"/>
          <w:sz w:val="24"/>
          <w:szCs w:val="24"/>
          <w:highlight w:val="none"/>
        </w:rPr>
        <w:t>承建(承接)企业为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(中型企业、小型企业、微型企业)</w:t>
      </w:r>
      <w:r>
        <w:rPr>
          <w:rFonts w:hint="eastAsia" w:ascii="宋体" w:hAnsi="宋体" w:eastAsia="宋体" w:cs="宋体"/>
          <w:color w:val="auto"/>
          <w:sz w:val="24"/>
          <w:szCs w:val="24"/>
          <w:highlight w:val="none"/>
        </w:rPr>
        <w:t>。</w:t>
      </w:r>
    </w:p>
    <w:p>
      <w:pPr>
        <w:pStyle w:val="38"/>
        <w:pageBreakBefore w:val="0"/>
        <w:kinsoku/>
        <w:overflowPunct/>
        <w:bidi w:val="0"/>
        <w:spacing w:line="360" w:lineRule="auto"/>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pPr>
        <w:pStyle w:val="38"/>
        <w:pageBreakBefore w:val="0"/>
        <w:kinsoku/>
        <w:overflowPunct/>
        <w:bidi w:val="0"/>
        <w:spacing w:line="360" w:lineRule="auto"/>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以上企业，不属于大企业的分支机构，不存在控股股东为大企业的情形，也不存在与大企业的负责人为同一人的情形。</w:t>
      </w:r>
    </w:p>
    <w:p>
      <w:pPr>
        <w:pStyle w:val="38"/>
        <w:pageBreakBefore w:val="0"/>
        <w:kinsoku/>
        <w:overflowPunct/>
        <w:bidi w:val="0"/>
        <w:spacing w:line="360" w:lineRule="auto"/>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本企业对上述声明内容的真实性负责。如有虚假，将依法承担相应责任。</w:t>
      </w:r>
    </w:p>
    <w:p>
      <w:pPr>
        <w:pStyle w:val="38"/>
        <w:pageBreakBefore w:val="0"/>
        <w:kinsoku/>
        <w:overflowPunct/>
        <w:bidi w:val="0"/>
        <w:spacing w:line="360" w:lineRule="auto"/>
        <w:ind w:left="0" w:leftChars="0" w:right="0" w:firstLine="536" w:firstLineChars="200"/>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企业名称（</w:t>
      </w:r>
      <w:r>
        <w:rPr>
          <w:rFonts w:hint="eastAsia" w:ascii="宋体" w:hAnsi="宋体" w:eastAsia="宋体" w:cs="宋体"/>
          <w:color w:val="auto"/>
          <w:spacing w:val="14"/>
          <w:sz w:val="24"/>
          <w:szCs w:val="24"/>
          <w:highlight w:val="none"/>
          <w:lang w:eastAsia="zh-CN"/>
        </w:rPr>
        <w:t>企业电子章</w:t>
      </w:r>
      <w:r>
        <w:rPr>
          <w:rFonts w:hint="eastAsia" w:ascii="宋体" w:hAnsi="宋体" w:eastAsia="宋体" w:cs="宋体"/>
          <w:color w:val="auto"/>
          <w:spacing w:val="14"/>
          <w:sz w:val="24"/>
          <w:szCs w:val="24"/>
          <w:highlight w:val="none"/>
        </w:rPr>
        <w:t>）：</w:t>
      </w:r>
    </w:p>
    <w:p>
      <w:pPr>
        <w:pStyle w:val="38"/>
        <w:pageBreakBefore w:val="0"/>
        <w:kinsoku/>
        <w:overflowPunct/>
        <w:bidi w:val="0"/>
        <w:spacing w:line="360" w:lineRule="auto"/>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pPr>
        <w:spacing w:before="204" w:line="219" w:lineRule="auto"/>
        <w:rPr>
          <w:rFonts w:ascii="宋体" w:hAnsi="宋体" w:eastAsia="宋体" w:cs="宋体"/>
          <w:b w:val="0"/>
          <w:bCs w:val="0"/>
          <w:color w:val="000000"/>
          <w:sz w:val="21"/>
          <w:szCs w:val="21"/>
        </w:rPr>
      </w:pPr>
      <w:r>
        <w:rPr>
          <w:rFonts w:ascii="宋体" w:hAnsi="宋体" w:eastAsia="宋体" w:cs="宋体"/>
          <w:b w:val="0"/>
          <w:bCs w:val="0"/>
          <w:color w:val="000000"/>
          <w:sz w:val="21"/>
          <w:szCs w:val="21"/>
        </w:rPr>
        <w:t>注：1、从业人员、营业收入、资产总额填报上一年度数据，无上一年度数据的新成立企 业可不填报。</w:t>
      </w:r>
    </w:p>
    <w:p>
      <w:pPr>
        <w:spacing w:before="204" w:line="219" w:lineRule="auto"/>
        <w:rPr>
          <w:rFonts w:ascii="宋体" w:hAnsi="宋体" w:eastAsia="宋体" w:cs="宋体"/>
          <w:b w:val="0"/>
          <w:bCs w:val="0"/>
          <w:color w:val="000000"/>
          <w:sz w:val="21"/>
          <w:szCs w:val="21"/>
        </w:rPr>
      </w:pPr>
      <w:r>
        <w:rPr>
          <w:rFonts w:ascii="宋体" w:hAnsi="宋体" w:eastAsia="宋体" w:cs="宋体"/>
          <w:b w:val="0"/>
          <w:bCs w:val="0"/>
          <w:color w:val="000000"/>
          <w:sz w:val="21"/>
          <w:szCs w:val="21"/>
        </w:rPr>
        <w:t xml:space="preserve"> 2、中小企业划分标准见工业和信息化部国家统计局国家发展和改革委员财政部《关于印 发中小企业划型标准规定的通知》（工信部联企业〔2011〕300 号)。</w:t>
      </w:r>
    </w:p>
    <w:p>
      <w:pPr>
        <w:spacing w:before="204" w:line="219" w:lineRule="auto"/>
        <w:rPr>
          <w:rFonts w:ascii="宋体" w:hAnsi="宋体" w:eastAsia="宋体" w:cs="宋体"/>
          <w:b w:val="0"/>
          <w:bCs w:val="0"/>
          <w:color w:val="000000"/>
          <w:sz w:val="21"/>
          <w:szCs w:val="21"/>
        </w:rPr>
      </w:pPr>
    </w:p>
    <w:p>
      <w:pPr>
        <w:spacing w:before="204" w:line="219" w:lineRule="auto"/>
        <w:rPr>
          <w:rFonts w:ascii="宋体" w:hAnsi="宋体" w:eastAsia="宋体" w:cs="宋体"/>
          <w:b w:val="0"/>
          <w:bCs w:val="0"/>
          <w:color w:val="000000"/>
          <w:sz w:val="21"/>
          <w:szCs w:val="21"/>
        </w:rPr>
      </w:pPr>
    </w:p>
    <w:p>
      <w:pPr>
        <w:spacing w:before="204" w:line="219" w:lineRule="auto"/>
        <w:rPr>
          <w:rFonts w:ascii="宋体" w:hAnsi="宋体" w:eastAsia="宋体" w:cs="宋体"/>
          <w:b w:val="0"/>
          <w:bCs w:val="0"/>
          <w:color w:val="000000"/>
          <w:sz w:val="21"/>
          <w:szCs w:val="21"/>
        </w:rPr>
      </w:pPr>
    </w:p>
    <w:p>
      <w:pPr>
        <w:spacing w:before="204" w:line="219" w:lineRule="auto"/>
        <w:rPr>
          <w:rFonts w:ascii="宋体" w:hAnsi="宋体" w:eastAsia="宋体" w:cs="宋体"/>
          <w:b w:val="0"/>
          <w:bCs w:val="0"/>
          <w:color w:val="000000"/>
          <w:sz w:val="21"/>
          <w:szCs w:val="21"/>
        </w:rPr>
      </w:pPr>
    </w:p>
    <w:p>
      <w:pPr>
        <w:spacing w:before="204" w:line="219" w:lineRule="auto"/>
        <w:rPr>
          <w:rFonts w:ascii="宋体" w:hAnsi="宋体" w:eastAsia="宋体" w:cs="宋体"/>
          <w:b w:val="0"/>
          <w:bCs w:val="0"/>
          <w:color w:val="000000"/>
          <w:sz w:val="21"/>
          <w:szCs w:val="21"/>
        </w:rPr>
      </w:pPr>
    </w:p>
    <w:p>
      <w:pPr>
        <w:spacing w:before="204" w:line="219" w:lineRule="auto"/>
        <w:rPr>
          <w:rFonts w:ascii="宋体" w:hAnsi="宋体" w:eastAsia="宋体" w:cs="宋体"/>
          <w:b w:val="0"/>
          <w:bCs w:val="0"/>
          <w:color w:val="000000"/>
          <w:sz w:val="21"/>
          <w:szCs w:val="21"/>
        </w:rPr>
      </w:pPr>
    </w:p>
    <w:p>
      <w:pPr>
        <w:spacing w:before="204" w:line="219" w:lineRule="auto"/>
        <w:rPr>
          <w:rFonts w:ascii="宋体" w:hAnsi="宋体" w:eastAsia="宋体" w:cs="宋体"/>
          <w:b w:val="0"/>
          <w:bCs w:val="0"/>
          <w:color w:val="000000"/>
          <w:sz w:val="21"/>
          <w:szCs w:val="21"/>
        </w:rPr>
      </w:pPr>
    </w:p>
    <w:p>
      <w:pPr>
        <w:spacing w:before="204" w:line="219" w:lineRule="auto"/>
        <w:rPr>
          <w:rFonts w:ascii="宋体" w:hAnsi="宋体" w:eastAsia="宋体" w:cs="宋体"/>
          <w:b w:val="0"/>
          <w:bCs w:val="0"/>
          <w:color w:val="000000"/>
          <w:sz w:val="21"/>
          <w:szCs w:val="21"/>
        </w:rPr>
      </w:pPr>
    </w:p>
    <w:p>
      <w:pPr>
        <w:spacing w:before="204" w:line="219" w:lineRule="auto"/>
        <w:rPr>
          <w:rFonts w:ascii="宋体" w:hAnsi="宋体" w:eastAsia="宋体" w:cs="宋体"/>
          <w:b w:val="0"/>
          <w:bCs w:val="0"/>
          <w:color w:val="000000"/>
          <w:sz w:val="21"/>
          <w:szCs w:val="21"/>
        </w:rPr>
      </w:pPr>
    </w:p>
    <w:p>
      <w:pPr>
        <w:spacing w:before="204" w:line="219" w:lineRule="auto"/>
        <w:rPr>
          <w:rFonts w:ascii="宋体" w:hAnsi="宋体" w:eastAsia="宋体" w:cs="宋体"/>
          <w:b w:val="0"/>
          <w:bCs w:val="0"/>
          <w:color w:val="000000"/>
          <w:sz w:val="21"/>
          <w:szCs w:val="21"/>
        </w:rPr>
      </w:pPr>
    </w:p>
    <w:p>
      <w:pPr>
        <w:spacing w:before="204" w:line="219" w:lineRule="auto"/>
        <w:rPr>
          <w:rFonts w:ascii="宋体" w:hAnsi="宋体" w:eastAsia="宋体" w:cs="宋体"/>
          <w:sz w:val="24"/>
          <w:szCs w:val="24"/>
          <w14:textOutline w14:w="4354" w14:cap="flat" w14:cmpd="sng">
            <w14:solidFill>
              <w14:srgbClr w14:val="000000"/>
            </w14:solidFill>
            <w14:prstDash w14:val="solid"/>
            <w14:miter w14:val="0"/>
          </w14:textOutline>
        </w:rPr>
      </w:pPr>
      <w:r>
        <w:rPr>
          <w:rFonts w:ascii="宋体" w:hAnsi="宋体" w:eastAsia="宋体" w:cs="宋体"/>
          <w:sz w:val="24"/>
          <w:szCs w:val="24"/>
          <w14:textOutline w14:w="4354" w14:cap="flat" w14:cmpd="sng">
            <w14:solidFill>
              <w14:srgbClr w14:val="000000"/>
            </w14:solidFill>
            <w14:prstDash w14:val="solid"/>
            <w14:miter w14:val="0"/>
          </w14:textOutline>
        </w:rPr>
        <w:t>附件五、残疾人福利性单位声明函（如有）</w:t>
      </w:r>
    </w:p>
    <w:p>
      <w:pPr>
        <w:spacing w:before="204" w:line="219" w:lineRule="auto"/>
        <w:ind w:left="3208"/>
        <w:rPr>
          <w:rFonts w:ascii="宋体" w:hAnsi="宋体" w:eastAsia="宋体" w:cs="宋体"/>
          <w:sz w:val="24"/>
          <w:szCs w:val="24"/>
          <w14:textOutline w14:w="4354" w14:cap="flat" w14:cmpd="sng">
            <w14:solidFill>
              <w14:srgbClr w14:val="000000"/>
            </w14:solidFill>
            <w14:prstDash w14:val="solid"/>
            <w14:miter w14:val="0"/>
          </w14:textOutline>
        </w:rPr>
      </w:pPr>
    </w:p>
    <w:p>
      <w:pPr>
        <w:spacing w:before="204" w:line="219" w:lineRule="auto"/>
        <w:ind w:left="3208"/>
        <w:rPr>
          <w:rFonts w:ascii="宋体" w:hAnsi="宋体" w:eastAsia="宋体" w:cs="宋体"/>
          <w:sz w:val="24"/>
          <w:szCs w:val="24"/>
          <w14:textOutline w14:w="4354" w14:cap="flat" w14:cmpd="sng">
            <w14:solidFill>
              <w14:srgbClr w14:val="000000"/>
            </w14:solidFill>
            <w14:prstDash w14:val="solid"/>
            <w14:miter w14:val="0"/>
          </w14:textOutline>
        </w:rPr>
      </w:pPr>
      <w:r>
        <w:rPr>
          <w:rFonts w:ascii="宋体" w:hAnsi="宋体" w:eastAsia="宋体" w:cs="宋体"/>
          <w:sz w:val="24"/>
          <w:szCs w:val="24"/>
          <w14:textOutline w14:w="4354" w14:cap="flat" w14:cmpd="sng">
            <w14:solidFill>
              <w14:srgbClr w14:val="000000"/>
            </w14:solidFill>
            <w14:prstDash w14:val="solid"/>
            <w14:miter w14:val="0"/>
          </w14:textOutline>
        </w:rPr>
        <w:t>残疾人福利性单位声明函</w:t>
      </w:r>
    </w:p>
    <w:p>
      <w:pPr>
        <w:pStyle w:val="8"/>
        <w:spacing w:line="340" w:lineRule="auto"/>
      </w:pPr>
    </w:p>
    <w:p>
      <w:pPr>
        <w:spacing w:before="68" w:line="360" w:lineRule="auto"/>
        <w:ind w:firstLine="422"/>
        <w:jc w:val="both"/>
        <w:rPr>
          <w:rFonts w:ascii="宋体" w:hAnsi="宋体" w:eastAsia="宋体" w:cs="宋体"/>
          <w:sz w:val="21"/>
          <w:szCs w:val="21"/>
        </w:rPr>
      </w:pPr>
      <w:r>
        <w:rPr>
          <w:rFonts w:ascii="宋体" w:hAnsi="宋体" w:eastAsia="宋体" w:cs="宋体"/>
          <w:spacing w:val="20"/>
          <w:sz w:val="21"/>
          <w:szCs w:val="21"/>
        </w:rPr>
        <w:t>本单位郑重声明，根据《财政部民政部中国残疾人联合会关于促进残疾人就业政府采购</w:t>
      </w:r>
      <w:r>
        <w:rPr>
          <w:rFonts w:ascii="宋体" w:hAnsi="宋体" w:eastAsia="宋体" w:cs="宋体"/>
          <w:spacing w:val="13"/>
          <w:sz w:val="21"/>
          <w:szCs w:val="21"/>
        </w:rPr>
        <w:t>政策的通知》（财库〔2017〕141号）的规定，本单位为符合条件的残疾人福利性单位，且本</w:t>
      </w:r>
    </w:p>
    <w:p>
      <w:pPr>
        <w:spacing w:before="1" w:line="219" w:lineRule="auto"/>
        <w:ind w:left="2"/>
        <w:rPr>
          <w:rFonts w:ascii="宋体" w:hAnsi="宋体" w:eastAsia="宋体" w:cs="宋体"/>
          <w:sz w:val="21"/>
          <w:szCs w:val="21"/>
        </w:rPr>
      </w:pPr>
      <w:r>
        <w:rPr>
          <w:rFonts w:ascii="宋体" w:hAnsi="宋体" w:eastAsia="宋体" w:cs="宋体"/>
          <w:spacing w:val="12"/>
          <w:sz w:val="21"/>
          <w:szCs w:val="21"/>
        </w:rPr>
        <w:t>单位参加单位的项目采购活动，由本企业承担工程。</w:t>
      </w:r>
    </w:p>
    <w:p>
      <w:pPr>
        <w:spacing w:before="157" w:line="220" w:lineRule="auto"/>
        <w:ind w:left="422"/>
        <w:rPr>
          <w:rFonts w:ascii="宋体" w:hAnsi="宋体" w:eastAsia="宋体" w:cs="宋体"/>
          <w:sz w:val="21"/>
          <w:szCs w:val="21"/>
        </w:rPr>
      </w:pPr>
      <w:r>
        <w:rPr>
          <w:rFonts w:ascii="宋体" w:hAnsi="宋体" w:eastAsia="宋体" w:cs="宋体"/>
          <w:spacing w:val="23"/>
          <w:sz w:val="21"/>
          <w:szCs w:val="21"/>
        </w:rPr>
        <w:t>本单位对上述声明的真实性负责。如有虚假，将依法承担相应责任。</w:t>
      </w:r>
    </w:p>
    <w:p>
      <w:pPr>
        <w:pStyle w:val="8"/>
        <w:spacing w:line="307" w:lineRule="auto"/>
      </w:pPr>
    </w:p>
    <w:p>
      <w:pPr>
        <w:pStyle w:val="8"/>
        <w:spacing w:line="307" w:lineRule="auto"/>
      </w:pPr>
    </w:p>
    <w:p>
      <w:pPr>
        <w:pStyle w:val="8"/>
        <w:spacing w:line="308" w:lineRule="auto"/>
      </w:pPr>
    </w:p>
    <w:p>
      <w:pPr>
        <w:spacing w:before="69" w:line="461" w:lineRule="exact"/>
        <w:ind w:left="479"/>
        <w:rPr>
          <w:rFonts w:ascii="宋体" w:hAnsi="宋体" w:eastAsia="宋体" w:cs="宋体"/>
          <w:sz w:val="21"/>
          <w:szCs w:val="21"/>
        </w:rPr>
      </w:pPr>
      <w:r>
        <w:rPr>
          <w:rFonts w:ascii="宋体" w:hAnsi="宋体" w:eastAsia="宋体" w:cs="宋体"/>
          <w:spacing w:val="23"/>
          <w:position w:val="19"/>
          <w:sz w:val="21"/>
          <w:szCs w:val="21"/>
        </w:rPr>
        <w:t>投标人（</w:t>
      </w:r>
      <w:r>
        <w:rPr>
          <w:rFonts w:hint="eastAsia" w:ascii="宋体" w:hAnsi="宋体" w:cs="宋体"/>
          <w:spacing w:val="23"/>
          <w:position w:val="19"/>
          <w:sz w:val="21"/>
          <w:szCs w:val="21"/>
          <w:lang w:eastAsia="zh-CN"/>
        </w:rPr>
        <w:t>企业电子章</w:t>
      </w:r>
      <w:r>
        <w:rPr>
          <w:rFonts w:ascii="宋体" w:hAnsi="宋体" w:eastAsia="宋体" w:cs="宋体"/>
          <w:spacing w:val="-2"/>
          <w:position w:val="19"/>
          <w:sz w:val="21"/>
          <w:szCs w:val="21"/>
        </w:rPr>
        <w:t>）：</w:t>
      </w:r>
    </w:p>
    <w:p>
      <w:pPr>
        <w:spacing w:line="221" w:lineRule="auto"/>
        <w:ind w:left="512"/>
        <w:rPr>
          <w:rFonts w:ascii="宋体" w:hAnsi="宋体" w:eastAsia="宋体" w:cs="宋体"/>
          <w:sz w:val="21"/>
          <w:szCs w:val="21"/>
        </w:rPr>
      </w:pPr>
      <w:r>
        <w:rPr>
          <w:rFonts w:ascii="宋体" w:hAnsi="宋体" w:eastAsia="宋体" w:cs="宋体"/>
          <w:spacing w:val="-7"/>
          <w:sz w:val="21"/>
          <w:szCs w:val="21"/>
        </w:rPr>
        <w:t>日期：</w:t>
      </w:r>
    </w:p>
    <w:p>
      <w:pPr>
        <w:spacing w:line="221" w:lineRule="auto"/>
        <w:rPr>
          <w:rFonts w:ascii="宋体" w:hAnsi="宋体" w:eastAsia="宋体" w:cs="宋体"/>
          <w:sz w:val="21"/>
          <w:szCs w:val="21"/>
        </w:rPr>
        <w:sectPr>
          <w:footerReference r:id="rId46" w:type="default"/>
          <w:pgSz w:w="11907" w:h="16841"/>
          <w:pgMar w:top="1428" w:right="1108" w:bottom="1216" w:left="1087" w:header="0" w:footer="1055" w:gutter="0"/>
          <w:pgNumType w:fmt="decimal"/>
          <w:cols w:space="720" w:num="1"/>
        </w:sectPr>
      </w:pPr>
    </w:p>
    <w:p>
      <w:pPr>
        <w:spacing w:before="204" w:line="219" w:lineRule="auto"/>
        <w:rPr>
          <w:rFonts w:ascii="宋体" w:hAnsi="宋体" w:eastAsia="宋体" w:cs="宋体"/>
          <w:sz w:val="24"/>
          <w:szCs w:val="24"/>
          <w14:textOutline w14:w="4354" w14:cap="flat" w14:cmpd="sng">
            <w14:solidFill>
              <w14:srgbClr w14:val="000000"/>
            </w14:solidFill>
            <w14:prstDash w14:val="solid"/>
            <w14:miter w14:val="0"/>
          </w14:textOutline>
        </w:rPr>
      </w:pPr>
      <w:r>
        <w:rPr>
          <w:rFonts w:ascii="宋体" w:hAnsi="宋体" w:eastAsia="宋体" w:cs="宋体"/>
          <w:sz w:val="24"/>
          <w:szCs w:val="24"/>
          <w14:textOutline w14:w="4354" w14:cap="flat" w14:cmpd="sng">
            <w14:solidFill>
              <w14:srgbClr w14:val="000000"/>
            </w14:solidFill>
            <w14:prstDash w14:val="solid"/>
            <w14:miter w14:val="0"/>
          </w14:textOutline>
        </w:rPr>
        <w:t>附件六、监狱企业证明文件（如有）</w:t>
      </w:r>
    </w:p>
    <w:p>
      <w:pPr>
        <w:spacing w:before="204" w:line="219" w:lineRule="auto"/>
        <w:rPr>
          <w:rFonts w:ascii="宋体" w:hAnsi="宋体" w:eastAsia="宋体" w:cs="宋体"/>
          <w:sz w:val="24"/>
          <w:szCs w:val="24"/>
          <w14:textOutline w14:w="4354" w14:cap="flat" w14:cmpd="sng">
            <w14:solidFill>
              <w14:srgbClr w14:val="000000"/>
            </w14:solidFill>
            <w14:prstDash w14:val="solid"/>
            <w14:miter w14:val="0"/>
          </w14:textOutline>
        </w:rPr>
      </w:pPr>
    </w:p>
    <w:p>
      <w:pPr>
        <w:spacing w:before="204" w:line="219" w:lineRule="auto"/>
        <w:jc w:val="center"/>
        <w:rPr>
          <w:rFonts w:ascii="宋体" w:hAnsi="宋体" w:eastAsia="宋体" w:cs="宋体"/>
          <w:sz w:val="24"/>
          <w:szCs w:val="24"/>
          <w14:textOutline w14:w="4354" w14:cap="flat" w14:cmpd="sng">
            <w14:solidFill>
              <w14:srgbClr w14:val="000000"/>
            </w14:solidFill>
            <w14:prstDash w14:val="solid"/>
            <w14:miter w14:val="0"/>
          </w14:textOutline>
        </w:rPr>
      </w:pPr>
      <w:r>
        <w:rPr>
          <w:rFonts w:ascii="宋体" w:hAnsi="宋体" w:eastAsia="宋体" w:cs="宋体"/>
          <w:sz w:val="24"/>
          <w:szCs w:val="24"/>
          <w14:textOutline w14:w="4354" w14:cap="flat" w14:cmpd="sng">
            <w14:solidFill>
              <w14:srgbClr w14:val="000000"/>
            </w14:solidFill>
            <w14:prstDash w14:val="solid"/>
            <w14:miter w14:val="0"/>
          </w14:textOutline>
        </w:rPr>
        <w:t>监狱企业证明文件</w:t>
      </w:r>
    </w:p>
    <w:p>
      <w:pPr>
        <w:pStyle w:val="8"/>
        <w:spacing w:line="316" w:lineRule="auto"/>
      </w:pPr>
    </w:p>
    <w:p>
      <w:pPr>
        <w:pStyle w:val="8"/>
        <w:spacing w:line="316" w:lineRule="auto"/>
      </w:pPr>
    </w:p>
    <w:p>
      <w:pPr>
        <w:spacing w:before="68" w:line="408" w:lineRule="exact"/>
        <w:jc w:val="right"/>
        <w:rPr>
          <w:rFonts w:ascii="宋体" w:hAnsi="宋体" w:eastAsia="宋体" w:cs="宋体"/>
          <w:sz w:val="21"/>
          <w:szCs w:val="21"/>
        </w:rPr>
      </w:pPr>
      <w:r>
        <w:rPr>
          <w:rFonts w:ascii="宋体" w:hAnsi="宋体" w:eastAsia="宋体" w:cs="宋体"/>
          <w:spacing w:val="14"/>
          <w:position w:val="15"/>
          <w:sz w:val="21"/>
          <w:szCs w:val="21"/>
        </w:rPr>
        <w:t>（监狱企业参加政府采购活动时，应当提供由省级以上监狱管理局、戒毒管理局(含新疆生</w:t>
      </w:r>
    </w:p>
    <w:p>
      <w:pPr>
        <w:spacing w:line="220" w:lineRule="auto"/>
        <w:rPr>
          <w:rFonts w:ascii="宋体" w:hAnsi="宋体" w:eastAsia="宋体" w:cs="宋体"/>
          <w:sz w:val="21"/>
          <w:szCs w:val="21"/>
        </w:rPr>
      </w:pPr>
      <w:r>
        <w:rPr>
          <w:rFonts w:ascii="宋体" w:hAnsi="宋体" w:eastAsia="宋体" w:cs="宋体"/>
          <w:spacing w:val="18"/>
          <w:sz w:val="21"/>
          <w:szCs w:val="21"/>
        </w:rPr>
        <w:t>产建设兵团)出具的属于监狱企业的证明文</w:t>
      </w:r>
      <w:r>
        <w:rPr>
          <w:rFonts w:ascii="宋体" w:hAnsi="宋体" w:eastAsia="宋体" w:cs="宋体"/>
          <w:spacing w:val="17"/>
          <w:sz w:val="21"/>
          <w:szCs w:val="21"/>
        </w:rPr>
        <w:t>件。</w:t>
      </w:r>
    </w:p>
    <w:p>
      <w:pPr>
        <w:pStyle w:val="8"/>
        <w:spacing w:line="300" w:lineRule="auto"/>
      </w:pPr>
    </w:p>
    <w:p>
      <w:pPr>
        <w:pStyle w:val="8"/>
        <w:spacing w:line="301" w:lineRule="auto"/>
      </w:pPr>
    </w:p>
    <w:p>
      <w:pPr>
        <w:pStyle w:val="8"/>
        <w:spacing w:line="301" w:lineRule="auto"/>
      </w:pPr>
    </w:p>
    <w:p>
      <w:pPr>
        <w:spacing w:before="68" w:line="220" w:lineRule="auto"/>
        <w:rPr>
          <w:rFonts w:ascii="宋体" w:hAnsi="宋体" w:eastAsia="宋体" w:cs="宋体"/>
          <w:sz w:val="21"/>
          <w:szCs w:val="21"/>
        </w:rPr>
      </w:pPr>
      <w:r>
        <w:rPr>
          <w:rFonts w:ascii="宋体" w:hAnsi="宋体" w:eastAsia="宋体" w:cs="宋体"/>
          <w:spacing w:val="21"/>
          <w:sz w:val="21"/>
          <w:szCs w:val="21"/>
        </w:rPr>
        <w:t>注：在投标文件中附扫描件</w:t>
      </w:r>
    </w:p>
    <w:p>
      <w:pPr>
        <w:spacing w:line="220" w:lineRule="auto"/>
        <w:rPr>
          <w:rFonts w:ascii="宋体" w:hAnsi="宋体" w:eastAsia="宋体" w:cs="宋体"/>
          <w:sz w:val="21"/>
          <w:szCs w:val="21"/>
        </w:rPr>
        <w:sectPr>
          <w:footerReference r:id="rId47" w:type="default"/>
          <w:pgSz w:w="11907" w:h="16841"/>
          <w:pgMar w:top="1428" w:right="1104" w:bottom="1216" w:left="1088" w:header="0" w:footer="1055" w:gutter="0"/>
          <w:pgNumType w:fmt="decimal"/>
          <w:cols w:space="720" w:num="1"/>
        </w:sectPr>
      </w:pPr>
    </w:p>
    <w:p>
      <w:pPr>
        <w:pStyle w:val="8"/>
        <w:spacing w:line="258" w:lineRule="auto"/>
      </w:pPr>
    </w:p>
    <w:p>
      <w:pPr>
        <w:pStyle w:val="8"/>
        <w:spacing w:line="258" w:lineRule="auto"/>
      </w:pPr>
    </w:p>
    <w:p>
      <w:pPr>
        <w:pStyle w:val="8"/>
        <w:spacing w:line="258" w:lineRule="auto"/>
      </w:pPr>
    </w:p>
    <w:p>
      <w:pPr>
        <w:pStyle w:val="8"/>
        <w:spacing w:line="258" w:lineRule="auto"/>
      </w:pPr>
    </w:p>
    <w:p>
      <w:pPr>
        <w:pStyle w:val="8"/>
        <w:spacing w:line="259" w:lineRule="auto"/>
      </w:pPr>
    </w:p>
    <w:p>
      <w:pPr>
        <w:tabs>
          <w:tab w:val="left" w:pos="3503"/>
        </w:tabs>
        <w:spacing w:before="139" w:line="224" w:lineRule="auto"/>
        <w:ind w:left="1735"/>
        <w:rPr>
          <w:rFonts w:ascii="宋体" w:hAnsi="宋体" w:eastAsia="宋体" w:cs="宋体"/>
          <w:sz w:val="43"/>
          <w:szCs w:val="43"/>
        </w:rPr>
      </w:pPr>
      <w:r>
        <w:rPr>
          <w:rFonts w:ascii="宋体" w:hAnsi="宋体" w:eastAsia="宋体" w:cs="宋体"/>
          <w:sz w:val="43"/>
          <w:szCs w:val="43"/>
          <w:u w:val="single" w:color="auto"/>
        </w:rPr>
        <w:tab/>
      </w:r>
      <w:r>
        <w:rPr>
          <w:rFonts w:ascii="宋体" w:hAnsi="宋体" w:eastAsia="宋体" w:cs="宋体"/>
          <w:spacing w:val="1"/>
          <w:sz w:val="43"/>
          <w:szCs w:val="43"/>
          <w14:textOutline w14:w="7968" w14:cap="flat" w14:cmpd="sng">
            <w14:solidFill>
              <w14:srgbClr w14:val="000000"/>
            </w14:solidFill>
            <w14:prstDash w14:val="solid"/>
            <w14:miter w14:val="0"/>
          </w14:textOutline>
        </w:rPr>
        <w:t>(项目名称)施工招标</w:t>
      </w:r>
    </w:p>
    <w:p>
      <w:pPr>
        <w:pStyle w:val="8"/>
        <w:spacing w:line="249" w:lineRule="auto"/>
      </w:pPr>
    </w:p>
    <w:p>
      <w:pPr>
        <w:pStyle w:val="8"/>
        <w:spacing w:line="249" w:lineRule="auto"/>
      </w:pPr>
    </w:p>
    <w:p>
      <w:pPr>
        <w:pStyle w:val="8"/>
        <w:spacing w:line="249" w:lineRule="auto"/>
      </w:pPr>
    </w:p>
    <w:p>
      <w:pPr>
        <w:pStyle w:val="8"/>
        <w:spacing w:line="249" w:lineRule="auto"/>
      </w:pPr>
    </w:p>
    <w:p>
      <w:pPr>
        <w:pStyle w:val="8"/>
        <w:spacing w:line="249" w:lineRule="auto"/>
      </w:pPr>
    </w:p>
    <w:p>
      <w:pPr>
        <w:pStyle w:val="8"/>
        <w:spacing w:line="249" w:lineRule="auto"/>
      </w:pPr>
    </w:p>
    <w:p>
      <w:pPr>
        <w:pStyle w:val="8"/>
        <w:spacing w:line="249" w:lineRule="auto"/>
      </w:pPr>
    </w:p>
    <w:p>
      <w:pPr>
        <w:pStyle w:val="8"/>
        <w:spacing w:line="249" w:lineRule="auto"/>
      </w:pPr>
    </w:p>
    <w:p>
      <w:pPr>
        <w:pStyle w:val="8"/>
        <w:spacing w:line="249" w:lineRule="auto"/>
      </w:pPr>
    </w:p>
    <w:p>
      <w:pPr>
        <w:pStyle w:val="8"/>
        <w:spacing w:line="249" w:lineRule="auto"/>
      </w:pPr>
    </w:p>
    <w:p>
      <w:pPr>
        <w:pStyle w:val="8"/>
        <w:spacing w:line="250" w:lineRule="auto"/>
      </w:pPr>
    </w:p>
    <w:p>
      <w:pPr>
        <w:pStyle w:val="8"/>
        <w:spacing w:line="250" w:lineRule="auto"/>
      </w:pPr>
    </w:p>
    <w:p>
      <w:pPr>
        <w:pStyle w:val="8"/>
        <w:spacing w:line="250" w:lineRule="auto"/>
      </w:pPr>
    </w:p>
    <w:p>
      <w:pPr>
        <w:spacing w:before="273" w:line="220" w:lineRule="auto"/>
        <w:ind w:left="2616"/>
        <w:rPr>
          <w:rFonts w:ascii="宋体" w:hAnsi="宋体" w:eastAsia="宋体" w:cs="宋体"/>
          <w:sz w:val="84"/>
          <w:szCs w:val="84"/>
        </w:rPr>
      </w:pPr>
      <w:bookmarkStart w:id="216" w:name="bookmark57"/>
      <w:bookmarkEnd w:id="216"/>
      <w:r>
        <w:rPr>
          <w:rFonts w:ascii="宋体" w:hAnsi="宋体" w:eastAsia="宋体" w:cs="宋体"/>
          <w:spacing w:val="-30"/>
          <w:sz w:val="84"/>
          <w:szCs w:val="84"/>
          <w14:textOutline w14:w="15240" w14:cap="flat" w14:cmpd="sng">
            <w14:solidFill>
              <w14:srgbClr w14:val="000000"/>
            </w14:solidFill>
            <w14:prstDash w14:val="solid"/>
            <w14:miter w14:val="0"/>
          </w14:textOutline>
        </w:rPr>
        <w:t>投标文件</w:t>
      </w:r>
    </w:p>
    <w:p>
      <w:pPr>
        <w:spacing w:before="280" w:line="218" w:lineRule="auto"/>
        <w:ind w:left="3468"/>
        <w:rPr>
          <w:rFonts w:ascii="宋体" w:hAnsi="宋体" w:eastAsia="宋体" w:cs="宋体"/>
          <w:sz w:val="36"/>
          <w:szCs w:val="36"/>
        </w:rPr>
      </w:pPr>
      <w:r>
        <w:rPr>
          <w:rFonts w:ascii="宋体" w:hAnsi="宋体" w:eastAsia="宋体" w:cs="宋体"/>
          <w:spacing w:val="-3"/>
          <w:sz w:val="36"/>
          <w:szCs w:val="36"/>
          <w14:textOutline w14:w="6531" w14:cap="flat" w14:cmpd="sng">
            <w14:solidFill>
              <w14:srgbClr w14:val="000000"/>
            </w14:solidFill>
            <w14:prstDash w14:val="solid"/>
            <w14:miter w14:val="0"/>
          </w14:textOutline>
        </w:rPr>
        <w:t>（报价文件）</w:t>
      </w:r>
    </w:p>
    <w:p>
      <w:pPr>
        <w:pStyle w:val="8"/>
        <w:spacing w:line="243" w:lineRule="auto"/>
      </w:pPr>
    </w:p>
    <w:p>
      <w:pPr>
        <w:pStyle w:val="8"/>
        <w:spacing w:line="243" w:lineRule="auto"/>
      </w:pPr>
    </w:p>
    <w:p>
      <w:pPr>
        <w:pStyle w:val="8"/>
        <w:spacing w:line="243" w:lineRule="auto"/>
      </w:pPr>
    </w:p>
    <w:p>
      <w:pPr>
        <w:pStyle w:val="8"/>
        <w:spacing w:line="243" w:lineRule="auto"/>
      </w:pPr>
    </w:p>
    <w:p>
      <w:pPr>
        <w:pStyle w:val="8"/>
        <w:spacing w:line="243" w:lineRule="auto"/>
      </w:pPr>
    </w:p>
    <w:p>
      <w:pPr>
        <w:pStyle w:val="8"/>
        <w:spacing w:line="243" w:lineRule="auto"/>
      </w:pPr>
    </w:p>
    <w:p>
      <w:pPr>
        <w:pStyle w:val="8"/>
        <w:spacing w:line="244" w:lineRule="auto"/>
      </w:pPr>
    </w:p>
    <w:p>
      <w:pPr>
        <w:pStyle w:val="8"/>
        <w:spacing w:line="244" w:lineRule="auto"/>
      </w:pPr>
    </w:p>
    <w:p>
      <w:pPr>
        <w:pStyle w:val="8"/>
        <w:spacing w:line="244" w:lineRule="auto"/>
      </w:pPr>
    </w:p>
    <w:p>
      <w:pPr>
        <w:pStyle w:val="8"/>
        <w:spacing w:line="244" w:lineRule="auto"/>
      </w:pPr>
    </w:p>
    <w:p>
      <w:pPr>
        <w:pStyle w:val="8"/>
        <w:spacing w:line="244" w:lineRule="auto"/>
      </w:pPr>
    </w:p>
    <w:p>
      <w:pPr>
        <w:pStyle w:val="8"/>
        <w:spacing w:line="244" w:lineRule="auto"/>
      </w:pPr>
    </w:p>
    <w:p>
      <w:pPr>
        <w:spacing w:before="91" w:line="478" w:lineRule="auto"/>
        <w:ind w:left="2081"/>
        <w:rPr>
          <w:rFonts w:ascii="宋体" w:hAnsi="宋体" w:eastAsia="宋体" w:cs="宋体"/>
          <w:sz w:val="28"/>
          <w:szCs w:val="28"/>
        </w:rPr>
      </w:pPr>
      <w:r>
        <w:rPr>
          <w:rFonts w:ascii="宋体" w:hAnsi="宋体" w:eastAsia="宋体" w:cs="宋体"/>
          <w:spacing w:val="-32"/>
          <w:sz w:val="28"/>
          <w:szCs w:val="28"/>
        </w:rPr>
        <w:t>投标人</w:t>
      </w:r>
      <w:r>
        <w:rPr>
          <w:rFonts w:ascii="宋体" w:hAnsi="宋体" w:eastAsia="宋体" w:cs="宋体"/>
          <w:spacing w:val="3"/>
          <w:sz w:val="28"/>
          <w:szCs w:val="28"/>
        </w:rPr>
        <w:t>：</w:t>
      </w:r>
      <w:r>
        <w:rPr>
          <w:rFonts w:hint="eastAsia" w:ascii="宋体" w:hAnsi="宋体" w:cs="宋体"/>
          <w:spacing w:val="3"/>
          <w:sz w:val="28"/>
          <w:szCs w:val="28"/>
          <w:u w:val="single"/>
          <w:lang w:val="en-US" w:eastAsia="zh-CN"/>
        </w:rPr>
        <w:t xml:space="preserve">            </w:t>
      </w:r>
      <w:r>
        <w:rPr>
          <w:rFonts w:ascii="宋体" w:hAnsi="宋体" w:eastAsia="宋体" w:cs="宋体"/>
          <w:spacing w:val="3"/>
          <w:sz w:val="28"/>
          <w:szCs w:val="28"/>
        </w:rPr>
        <w:t>（</w:t>
      </w:r>
      <w:r>
        <w:rPr>
          <w:rFonts w:hint="eastAsia" w:ascii="宋体" w:hAnsi="宋体" w:cs="宋体"/>
          <w:spacing w:val="-32"/>
          <w:sz w:val="28"/>
          <w:szCs w:val="28"/>
          <w:lang w:eastAsia="zh-CN"/>
        </w:rPr>
        <w:t>企业电子章</w:t>
      </w:r>
      <w:r>
        <w:rPr>
          <w:rFonts w:ascii="宋体" w:hAnsi="宋体" w:eastAsia="宋体" w:cs="宋体"/>
          <w:spacing w:val="-32"/>
          <w:sz w:val="28"/>
          <w:szCs w:val="28"/>
        </w:rPr>
        <w:t>）</w:t>
      </w:r>
    </w:p>
    <w:p>
      <w:pPr>
        <w:tabs>
          <w:tab w:val="left" w:pos="3696"/>
        </w:tabs>
        <w:spacing w:line="220" w:lineRule="auto"/>
        <w:ind w:left="2926"/>
        <w:rPr>
          <w:rFonts w:ascii="宋体" w:hAnsi="宋体" w:eastAsia="宋体" w:cs="宋体"/>
          <w:sz w:val="28"/>
          <w:szCs w:val="28"/>
        </w:rPr>
      </w:pPr>
      <w:r>
        <w:rPr>
          <w:rFonts w:ascii="宋体" w:hAnsi="宋体" w:eastAsia="宋体" w:cs="宋体"/>
          <w:sz w:val="28"/>
          <w:szCs w:val="28"/>
          <w:u w:val="single" w:color="auto"/>
        </w:rPr>
        <w:tab/>
      </w:r>
      <w:r>
        <w:rPr>
          <w:rFonts w:ascii="宋体" w:hAnsi="宋体" w:eastAsia="宋体" w:cs="宋体"/>
          <w:spacing w:val="-10"/>
          <w:sz w:val="28"/>
          <w:szCs w:val="28"/>
        </w:rPr>
        <w:t>年</w:t>
      </w:r>
      <w:r>
        <w:rPr>
          <w:rFonts w:hint="eastAsia" w:ascii="宋体" w:hAnsi="宋体" w:cs="宋体"/>
          <w:spacing w:val="-10"/>
          <w:sz w:val="28"/>
          <w:szCs w:val="28"/>
          <w:u w:val="single"/>
          <w:lang w:val="en-US" w:eastAsia="zh-CN"/>
        </w:rPr>
        <w:t xml:space="preserve">      </w:t>
      </w:r>
      <w:r>
        <w:rPr>
          <w:rFonts w:ascii="宋体" w:hAnsi="宋体" w:eastAsia="宋体" w:cs="宋体"/>
          <w:spacing w:val="-10"/>
          <w:sz w:val="28"/>
          <w:szCs w:val="28"/>
        </w:rPr>
        <w:t>月</w:t>
      </w:r>
      <w:r>
        <w:rPr>
          <w:rFonts w:hint="eastAsia" w:ascii="宋体" w:hAnsi="宋体" w:cs="宋体"/>
          <w:spacing w:val="-10"/>
          <w:sz w:val="28"/>
          <w:szCs w:val="28"/>
          <w:u w:val="single"/>
          <w:lang w:val="en-US" w:eastAsia="zh-CN"/>
        </w:rPr>
        <w:t xml:space="preserve">      </w:t>
      </w:r>
      <w:r>
        <w:rPr>
          <w:rFonts w:ascii="宋体" w:hAnsi="宋体" w:eastAsia="宋体" w:cs="宋体"/>
          <w:spacing w:val="-10"/>
          <w:sz w:val="28"/>
          <w:szCs w:val="28"/>
        </w:rPr>
        <w:t>日</w:t>
      </w:r>
    </w:p>
    <w:p>
      <w:pPr>
        <w:spacing w:line="220" w:lineRule="auto"/>
        <w:rPr>
          <w:rFonts w:ascii="宋体" w:hAnsi="宋体" w:eastAsia="宋体" w:cs="宋体"/>
          <w:sz w:val="28"/>
          <w:szCs w:val="28"/>
        </w:rPr>
        <w:sectPr>
          <w:footerReference r:id="rId48" w:type="default"/>
          <w:pgSz w:w="11907" w:h="16841"/>
          <w:pgMar w:top="1431" w:right="1785" w:bottom="1216" w:left="1785" w:header="0" w:footer="1055" w:gutter="0"/>
          <w:pgNumType w:fmt="decimal"/>
          <w:cols w:space="720" w:num="1"/>
        </w:sectPr>
      </w:pPr>
    </w:p>
    <w:p>
      <w:pPr>
        <w:spacing w:before="41" w:line="223" w:lineRule="auto"/>
        <w:ind w:left="4416"/>
        <w:rPr>
          <w:rFonts w:ascii="宋体" w:hAnsi="宋体" w:eastAsia="宋体" w:cs="宋体"/>
          <w:sz w:val="21"/>
          <w:szCs w:val="21"/>
        </w:rPr>
      </w:pPr>
      <w:r>
        <w:rPr>
          <w:rFonts w:ascii="宋体" w:hAnsi="宋体" w:eastAsia="宋体" w:cs="宋体"/>
          <w:spacing w:val="-24"/>
          <w:sz w:val="21"/>
          <w:szCs w:val="21"/>
          <w14:textOutline w14:w="3831" w14:cap="flat" w14:cmpd="sng">
            <w14:solidFill>
              <w14:srgbClr w14:val="000000"/>
            </w14:solidFill>
            <w14:prstDash w14:val="solid"/>
            <w14:miter w14:val="0"/>
          </w14:textOutline>
        </w:rPr>
        <w:t>目录</w:t>
      </w:r>
    </w:p>
    <w:p>
      <w:pPr>
        <w:pStyle w:val="8"/>
        <w:spacing w:line="245" w:lineRule="auto"/>
      </w:pPr>
    </w:p>
    <w:p>
      <w:pPr>
        <w:pStyle w:val="8"/>
        <w:spacing w:line="246" w:lineRule="auto"/>
      </w:pPr>
    </w:p>
    <w:p>
      <w:pPr>
        <w:spacing w:before="68" w:line="221" w:lineRule="auto"/>
        <w:ind w:left="3"/>
        <w:rPr>
          <w:rFonts w:ascii="宋体" w:hAnsi="宋体" w:eastAsia="宋体" w:cs="宋体"/>
          <w:sz w:val="21"/>
          <w:szCs w:val="21"/>
        </w:rPr>
      </w:pPr>
      <w:r>
        <w:rPr>
          <w:rFonts w:ascii="宋体" w:hAnsi="宋体" w:eastAsia="宋体" w:cs="宋体"/>
          <w:spacing w:val="-5"/>
          <w:sz w:val="21"/>
          <w:szCs w:val="21"/>
        </w:rPr>
        <w:t>一、投标函</w:t>
      </w:r>
    </w:p>
    <w:p>
      <w:pPr>
        <w:spacing w:before="158" w:line="408" w:lineRule="exact"/>
        <w:ind w:left="3"/>
        <w:rPr>
          <w:rFonts w:ascii="宋体" w:hAnsi="宋体" w:eastAsia="宋体" w:cs="宋体"/>
          <w:sz w:val="21"/>
          <w:szCs w:val="21"/>
        </w:rPr>
      </w:pPr>
      <w:r>
        <w:rPr>
          <w:rFonts w:ascii="宋体" w:hAnsi="宋体" w:eastAsia="宋体" w:cs="宋体"/>
          <w:spacing w:val="-1"/>
          <w:position w:val="15"/>
          <w:sz w:val="21"/>
          <w:szCs w:val="21"/>
        </w:rPr>
        <w:t>二、已标价工程量清单</w:t>
      </w:r>
    </w:p>
    <w:p>
      <w:pPr>
        <w:spacing w:line="219" w:lineRule="auto"/>
        <w:rPr>
          <w:rFonts w:ascii="宋体" w:hAnsi="宋体" w:eastAsia="宋体" w:cs="宋体"/>
          <w:sz w:val="21"/>
          <w:szCs w:val="21"/>
        </w:rPr>
        <w:sectPr>
          <w:footerReference r:id="rId49" w:type="default"/>
          <w:pgSz w:w="11907" w:h="16841"/>
          <w:pgMar w:top="1427" w:right="1785" w:bottom="1216" w:left="1508" w:header="0" w:footer="1055" w:gutter="0"/>
          <w:pgNumType w:fmt="decimal"/>
          <w:cols w:space="720" w:num="1"/>
        </w:sectPr>
      </w:pPr>
      <w:r>
        <w:rPr>
          <w:rFonts w:ascii="宋体" w:hAnsi="宋体" w:eastAsia="宋体" w:cs="宋体"/>
          <w:spacing w:val="-2"/>
          <w:sz w:val="21"/>
          <w:szCs w:val="21"/>
        </w:rPr>
        <w:t>三、合同用款估算表</w:t>
      </w:r>
    </w:p>
    <w:p>
      <w:pPr>
        <w:spacing w:before="68" w:line="221" w:lineRule="auto"/>
        <w:ind w:left="4539"/>
        <w:outlineLvl w:val="1"/>
        <w:rPr>
          <w:rFonts w:ascii="宋体" w:hAnsi="宋体" w:eastAsia="宋体" w:cs="宋体"/>
          <w:sz w:val="21"/>
          <w:szCs w:val="21"/>
        </w:rPr>
      </w:pPr>
      <w:bookmarkStart w:id="217" w:name="bookmark58"/>
      <w:bookmarkEnd w:id="217"/>
      <w:bookmarkStart w:id="218" w:name="_Toc6142"/>
      <w:r>
        <w:rPr>
          <w:rFonts w:ascii="宋体" w:hAnsi="宋体" w:eastAsia="宋体" w:cs="宋体"/>
          <w:spacing w:val="-5"/>
          <w:sz w:val="21"/>
          <w:szCs w:val="21"/>
          <w14:textOutline w14:w="3831" w14:cap="flat" w14:cmpd="sng">
            <w14:solidFill>
              <w14:srgbClr w14:val="000000"/>
            </w14:solidFill>
            <w14:prstDash w14:val="solid"/>
            <w14:miter w14:val="0"/>
          </w14:textOutline>
        </w:rPr>
        <w:t>一、投标函</w:t>
      </w:r>
      <w:bookmarkEnd w:id="218"/>
    </w:p>
    <w:p>
      <w:pPr>
        <w:pStyle w:val="8"/>
        <w:spacing w:line="409" w:lineRule="auto"/>
      </w:pPr>
    </w:p>
    <w:p>
      <w:pPr>
        <w:pStyle w:val="8"/>
        <w:tabs>
          <w:tab w:val="left" w:pos="3264"/>
        </w:tabs>
        <w:spacing w:before="74" w:beforeLines="0" w:afterLines="0"/>
        <w:ind w:left="384"/>
        <w:rPr>
          <w:rFonts w:hint="eastAsia" w:ascii="宋体" w:hAnsi="宋体" w:eastAsia="宋体" w:cs="宋体"/>
          <w:color w:val="auto"/>
          <w:sz w:val="21"/>
          <w:szCs w:val="21"/>
        </w:rPr>
      </w:pP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rPr>
        <w:t>（招标人名称</w:t>
      </w:r>
      <w:r>
        <w:rPr>
          <w:rFonts w:hint="eastAsia" w:ascii="宋体" w:hAnsi="宋体" w:eastAsia="宋体" w:cs="宋体"/>
          <w:color w:val="auto"/>
          <w:spacing w:val="-120"/>
          <w:sz w:val="21"/>
          <w:szCs w:val="21"/>
        </w:rPr>
        <w:t>）</w:t>
      </w:r>
      <w:r>
        <w:rPr>
          <w:rFonts w:hint="eastAsia" w:ascii="宋体" w:hAnsi="宋体" w:eastAsia="宋体" w:cs="宋体"/>
          <w:color w:val="auto"/>
          <w:sz w:val="21"/>
          <w:szCs w:val="21"/>
        </w:rPr>
        <w:t>：</w:t>
      </w:r>
    </w:p>
    <w:p>
      <w:pPr>
        <w:pStyle w:val="8"/>
        <w:tabs>
          <w:tab w:val="left" w:pos="3716"/>
          <w:tab w:val="left" w:pos="4796"/>
          <w:tab w:val="left" w:pos="4964"/>
          <w:tab w:val="left" w:pos="7494"/>
        </w:tabs>
        <w:spacing w:before="214" w:beforeLines="0" w:afterLines="0" w:line="312" w:lineRule="auto"/>
        <w:ind w:left="264" w:right="445" w:firstLine="479"/>
        <w:rPr>
          <w:rFonts w:hint="eastAsia" w:ascii="宋体" w:hAnsi="宋体" w:eastAsia="宋体" w:cs="宋体"/>
          <w:color w:val="auto"/>
          <w:sz w:val="21"/>
          <w:szCs w:val="21"/>
        </w:rPr>
      </w:pPr>
      <w:r>
        <w:rPr>
          <w:rFonts w:hint="eastAsia" w:ascii="宋体" w:hAnsi="宋体" w:eastAsia="宋体" w:cs="宋体"/>
          <w:color w:val="auto"/>
          <w:sz w:val="21"/>
          <w:szCs w:val="21"/>
        </w:rPr>
        <w:t>1．我方已仔细研究</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ab/>
      </w:r>
      <w:r>
        <w:rPr>
          <w:rFonts w:hint="eastAsia" w:ascii="宋体" w:hAnsi="宋体" w:eastAsia="宋体" w:cs="宋体"/>
          <w:color w:val="auto"/>
          <w:sz w:val="21"/>
          <w:szCs w:val="21"/>
        </w:rPr>
        <w:t>（项目名称）施工招标文件的全部内</w:t>
      </w:r>
      <w:r>
        <w:rPr>
          <w:rFonts w:hint="eastAsia" w:ascii="宋体" w:hAnsi="宋体" w:eastAsia="宋体" w:cs="宋体"/>
          <w:color w:val="auto"/>
          <w:spacing w:val="-29"/>
          <w:sz w:val="21"/>
          <w:szCs w:val="21"/>
        </w:rPr>
        <w:t>容</w:t>
      </w:r>
      <w:r>
        <w:rPr>
          <w:rFonts w:hint="eastAsia" w:ascii="宋体" w:hAnsi="宋体" w:eastAsia="宋体" w:cs="宋体"/>
          <w:color w:val="auto"/>
          <w:sz w:val="21"/>
          <w:szCs w:val="21"/>
        </w:rPr>
        <w:t>（含补遗书</w:t>
      </w:r>
      <w:r>
        <w:rPr>
          <w:rFonts w:hint="eastAsia" w:ascii="宋体" w:hAnsi="宋体" w:eastAsia="宋体" w:cs="宋体"/>
          <w:color w:val="auto"/>
          <w:spacing w:val="-75"/>
          <w:sz w:val="21"/>
          <w:szCs w:val="21"/>
        </w:rPr>
        <w:t>），</w:t>
      </w:r>
      <w:r>
        <w:rPr>
          <w:rFonts w:hint="eastAsia" w:ascii="宋体" w:hAnsi="宋体" w:eastAsia="宋体" w:cs="宋体"/>
          <w:color w:val="auto"/>
          <w:sz w:val="21"/>
          <w:szCs w:val="21"/>
        </w:rPr>
        <w:t>在考察工程现场后</w:t>
      </w:r>
      <w:r>
        <w:rPr>
          <w:rFonts w:hint="eastAsia" w:ascii="宋体" w:hAnsi="宋体" w:eastAsia="宋体" w:cs="宋体"/>
          <w:color w:val="auto"/>
          <w:spacing w:val="-29"/>
          <w:sz w:val="21"/>
          <w:szCs w:val="21"/>
        </w:rPr>
        <w:t>，</w:t>
      </w:r>
      <w:r>
        <w:rPr>
          <w:rFonts w:hint="eastAsia" w:ascii="宋体" w:hAnsi="宋体" w:eastAsia="宋体" w:cs="宋体"/>
          <w:color w:val="auto"/>
          <w:sz w:val="21"/>
          <w:szCs w:val="21"/>
        </w:rPr>
        <w:t>愿意以人民币</w:t>
      </w:r>
    </w:p>
    <w:p>
      <w:pPr>
        <w:pStyle w:val="8"/>
        <w:tabs>
          <w:tab w:val="left" w:pos="2556"/>
          <w:tab w:val="left" w:pos="4124"/>
          <w:tab w:val="left" w:pos="5929"/>
        </w:tabs>
        <w:spacing w:beforeLines="0" w:afterLines="0" w:line="312" w:lineRule="auto"/>
        <w:ind w:left="264" w:right="446"/>
        <w:jc w:val="both"/>
        <w:rPr>
          <w:rFonts w:hint="eastAsia" w:ascii="宋体" w:hAnsi="宋体" w:eastAsia="宋体" w:cs="宋体"/>
          <w:color w:val="auto"/>
          <w:sz w:val="21"/>
          <w:szCs w:val="21"/>
        </w:rPr>
      </w:pPr>
      <w:r>
        <w:rPr>
          <w:rFonts w:hint="eastAsia" w:ascii="宋体" w:hAnsi="宋体" w:eastAsia="宋体" w:cs="宋体"/>
          <w:color w:val="auto"/>
          <w:sz w:val="21"/>
          <w:szCs w:val="21"/>
        </w:rPr>
        <w:t>（大写）</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rPr>
        <w:t>元（¥</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rPr>
        <w:t>）的投标总报价（或根据招标文件规定修正核实后确</w:t>
      </w:r>
      <w:r>
        <w:rPr>
          <w:rFonts w:hint="eastAsia" w:ascii="宋体" w:hAnsi="宋体" w:eastAsia="宋体" w:cs="宋体"/>
          <w:color w:val="auto"/>
          <w:spacing w:val="1"/>
          <w:sz w:val="21"/>
          <w:szCs w:val="21"/>
        </w:rPr>
        <w:t>定</w:t>
      </w:r>
      <w:r>
        <w:rPr>
          <w:rFonts w:hint="eastAsia" w:ascii="宋体" w:hAnsi="宋体" w:eastAsia="宋体" w:cs="宋体"/>
          <w:color w:val="auto"/>
          <w:sz w:val="21"/>
          <w:szCs w:val="21"/>
        </w:rPr>
        <w:t>的</w:t>
      </w:r>
      <w:r>
        <w:rPr>
          <w:rFonts w:hint="eastAsia" w:ascii="宋体" w:hAnsi="宋体" w:eastAsia="宋体" w:cs="宋体"/>
          <w:color w:val="auto"/>
          <w:spacing w:val="1"/>
          <w:sz w:val="21"/>
          <w:szCs w:val="21"/>
        </w:rPr>
        <w:t>另</w:t>
      </w:r>
      <w:r>
        <w:rPr>
          <w:rFonts w:hint="eastAsia" w:ascii="宋体" w:hAnsi="宋体" w:eastAsia="宋体" w:cs="宋体"/>
          <w:color w:val="auto"/>
          <w:sz w:val="21"/>
          <w:szCs w:val="21"/>
        </w:rPr>
        <w:t>一金</w:t>
      </w:r>
      <w:r>
        <w:rPr>
          <w:rFonts w:hint="eastAsia" w:ascii="宋体" w:hAnsi="宋体" w:eastAsia="宋体" w:cs="宋体"/>
          <w:color w:val="auto"/>
          <w:spacing w:val="2"/>
          <w:sz w:val="21"/>
          <w:szCs w:val="21"/>
        </w:rPr>
        <w:t>额</w:t>
      </w:r>
      <w:r>
        <w:rPr>
          <w:rFonts w:hint="eastAsia" w:ascii="宋体" w:hAnsi="宋体" w:eastAsia="宋体" w:cs="宋体"/>
          <w:color w:val="auto"/>
          <w:spacing w:val="1"/>
          <w:sz w:val="21"/>
          <w:szCs w:val="21"/>
        </w:rPr>
        <w:t>，</w:t>
      </w:r>
      <w:r>
        <w:rPr>
          <w:rFonts w:hint="eastAsia" w:ascii="宋体" w:hAnsi="宋体" w:eastAsia="宋体" w:cs="宋体"/>
          <w:color w:val="auto"/>
          <w:sz w:val="21"/>
          <w:szCs w:val="21"/>
        </w:rPr>
        <w:t>其中，</w:t>
      </w:r>
      <w:r>
        <w:rPr>
          <w:rFonts w:hint="eastAsia" w:ascii="宋体" w:hAnsi="宋体" w:eastAsia="宋体" w:cs="宋体"/>
          <w:color w:val="auto"/>
          <w:spacing w:val="1"/>
          <w:sz w:val="21"/>
          <w:szCs w:val="21"/>
        </w:rPr>
        <w:t>增</w:t>
      </w:r>
      <w:r>
        <w:rPr>
          <w:rFonts w:hint="eastAsia" w:ascii="宋体" w:hAnsi="宋体" w:eastAsia="宋体" w:cs="宋体"/>
          <w:color w:val="auto"/>
          <w:sz w:val="21"/>
          <w:szCs w:val="21"/>
        </w:rPr>
        <w:t>值</w:t>
      </w:r>
      <w:r>
        <w:rPr>
          <w:rFonts w:hint="eastAsia" w:ascii="宋体" w:hAnsi="宋体" w:eastAsia="宋体" w:cs="宋体"/>
          <w:color w:val="auto"/>
          <w:spacing w:val="1"/>
          <w:sz w:val="21"/>
          <w:szCs w:val="21"/>
        </w:rPr>
        <w:t>税</w:t>
      </w:r>
      <w:r>
        <w:rPr>
          <w:rFonts w:hint="eastAsia" w:ascii="宋体" w:hAnsi="宋体" w:eastAsia="宋体" w:cs="宋体"/>
          <w:color w:val="auto"/>
          <w:sz w:val="21"/>
          <w:szCs w:val="21"/>
        </w:rPr>
        <w:t>税率</w:t>
      </w:r>
      <w:r>
        <w:rPr>
          <w:rFonts w:hint="eastAsia" w:ascii="宋体" w:hAnsi="宋体" w:eastAsia="宋体" w:cs="宋体"/>
          <w:color w:val="auto"/>
          <w:spacing w:val="1"/>
          <w:sz w:val="21"/>
          <w:szCs w:val="21"/>
        </w:rPr>
        <w:t>为</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pacing w:val="-120"/>
          <w:sz w:val="21"/>
          <w:szCs w:val="21"/>
        </w:rPr>
        <w:t>）</w:t>
      </w:r>
      <w:r>
        <w:rPr>
          <w:rFonts w:hint="eastAsia" w:ascii="宋体" w:hAnsi="宋体" w:eastAsia="宋体" w:cs="宋体"/>
          <w:color w:val="auto"/>
          <w:spacing w:val="1"/>
          <w:sz w:val="21"/>
          <w:szCs w:val="21"/>
        </w:rPr>
        <w:t>，</w:t>
      </w:r>
      <w:r>
        <w:rPr>
          <w:rFonts w:hint="eastAsia" w:ascii="宋体" w:hAnsi="宋体" w:eastAsia="宋体" w:cs="宋体"/>
          <w:color w:val="auto"/>
          <w:sz w:val="21"/>
          <w:szCs w:val="21"/>
        </w:rPr>
        <w:t>按合</w:t>
      </w:r>
      <w:r>
        <w:rPr>
          <w:rFonts w:hint="eastAsia" w:ascii="宋体" w:hAnsi="宋体" w:eastAsia="宋体" w:cs="宋体"/>
          <w:color w:val="auto"/>
          <w:spacing w:val="1"/>
          <w:sz w:val="21"/>
          <w:szCs w:val="21"/>
        </w:rPr>
        <w:t>同</w:t>
      </w:r>
      <w:r>
        <w:rPr>
          <w:rFonts w:hint="eastAsia" w:ascii="宋体" w:hAnsi="宋体" w:eastAsia="宋体" w:cs="宋体"/>
          <w:color w:val="auto"/>
          <w:sz w:val="21"/>
          <w:szCs w:val="21"/>
        </w:rPr>
        <w:t>约</w:t>
      </w:r>
      <w:r>
        <w:rPr>
          <w:rFonts w:hint="eastAsia" w:ascii="宋体" w:hAnsi="宋体" w:eastAsia="宋体" w:cs="宋体"/>
          <w:color w:val="auto"/>
          <w:spacing w:val="1"/>
          <w:sz w:val="21"/>
          <w:szCs w:val="21"/>
        </w:rPr>
        <w:t>定</w:t>
      </w:r>
      <w:r>
        <w:rPr>
          <w:rFonts w:hint="eastAsia" w:ascii="宋体" w:hAnsi="宋体" w:eastAsia="宋体" w:cs="宋体"/>
          <w:color w:val="auto"/>
          <w:sz w:val="21"/>
          <w:szCs w:val="21"/>
        </w:rPr>
        <w:t>实施和</w:t>
      </w:r>
      <w:r>
        <w:rPr>
          <w:rFonts w:hint="eastAsia" w:ascii="宋体" w:hAnsi="宋体" w:eastAsia="宋体" w:cs="宋体"/>
          <w:color w:val="auto"/>
          <w:spacing w:val="1"/>
          <w:sz w:val="21"/>
          <w:szCs w:val="21"/>
        </w:rPr>
        <w:t>完</w:t>
      </w:r>
      <w:r>
        <w:rPr>
          <w:rFonts w:hint="eastAsia" w:ascii="宋体" w:hAnsi="宋体" w:eastAsia="宋体" w:cs="宋体"/>
          <w:color w:val="auto"/>
          <w:sz w:val="21"/>
          <w:szCs w:val="21"/>
        </w:rPr>
        <w:t>成承包工程，修补工程中的任何缺陷。</w:t>
      </w:r>
    </w:p>
    <w:p>
      <w:pPr>
        <w:pStyle w:val="8"/>
        <w:spacing w:before="1" w:beforeLines="0" w:afterLines="0" w:line="312" w:lineRule="auto"/>
        <w:ind w:left="264" w:right="446" w:firstLine="479"/>
        <w:rPr>
          <w:rFonts w:hint="eastAsia" w:ascii="宋体" w:hAnsi="宋体" w:eastAsia="宋体" w:cs="宋体"/>
          <w:color w:val="auto"/>
          <w:sz w:val="21"/>
          <w:szCs w:val="21"/>
        </w:rPr>
      </w:pPr>
      <w:r>
        <w:rPr>
          <w:rFonts w:hint="eastAsia" w:ascii="宋体" w:hAnsi="宋体" w:eastAsia="宋体" w:cs="宋体"/>
          <w:color w:val="auto"/>
          <w:spacing w:val="-22"/>
          <w:sz w:val="21"/>
          <w:szCs w:val="21"/>
        </w:rPr>
        <w:t>2</w:t>
      </w:r>
      <w:r>
        <w:rPr>
          <w:rFonts w:hint="eastAsia" w:ascii="宋体" w:hAnsi="宋体" w:eastAsia="宋体" w:cs="宋体"/>
          <w:color w:val="auto"/>
          <w:spacing w:val="-8"/>
          <w:sz w:val="21"/>
          <w:szCs w:val="21"/>
        </w:rPr>
        <w:t>．在合同协议书正式签署生效之前，本投标函连同你方的中标通知书将构成我们双方之间共同遵守的文件，对双方具有约束力。</w:t>
      </w:r>
    </w:p>
    <w:p>
      <w:pPr>
        <w:pStyle w:val="8"/>
        <w:tabs>
          <w:tab w:val="left" w:pos="5785"/>
        </w:tabs>
        <w:spacing w:beforeLines="0" w:afterLines="0" w:line="307" w:lineRule="exact"/>
        <w:ind w:left="744"/>
        <w:rPr>
          <w:rFonts w:hint="eastAsia" w:ascii="宋体" w:hAnsi="宋体" w:eastAsia="宋体" w:cs="宋体"/>
          <w:color w:val="auto"/>
          <w:sz w:val="21"/>
          <w:szCs w:val="21"/>
        </w:rPr>
      </w:pPr>
      <w:r>
        <w:rPr>
          <w:rFonts w:hint="eastAsia" w:ascii="宋体" w:hAnsi="宋体" w:eastAsia="宋体" w:cs="宋体"/>
          <w:color w:val="auto"/>
          <w:sz w:val="21"/>
          <w:szCs w:val="21"/>
        </w:rPr>
        <w:t>3．</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rPr>
        <w:t>（其他补充说明</w:t>
      </w:r>
      <w:r>
        <w:rPr>
          <w:rFonts w:hint="eastAsia" w:ascii="宋体" w:hAnsi="宋体" w:eastAsia="宋体" w:cs="宋体"/>
          <w:color w:val="auto"/>
          <w:spacing w:val="-120"/>
          <w:sz w:val="21"/>
          <w:szCs w:val="21"/>
        </w:rPr>
        <w:t>）</w:t>
      </w:r>
      <w:r>
        <w:rPr>
          <w:rFonts w:hint="eastAsia" w:ascii="宋体" w:hAnsi="宋体" w:eastAsia="宋体" w:cs="宋体"/>
          <w:color w:val="auto"/>
          <w:sz w:val="21"/>
          <w:szCs w:val="21"/>
        </w:rPr>
        <w:t>。</w:t>
      </w:r>
    </w:p>
    <w:p>
      <w:pPr>
        <w:pStyle w:val="8"/>
        <w:spacing w:before="7" w:beforeLines="0" w:afterLines="0"/>
        <w:rPr>
          <w:rFonts w:hint="eastAsia" w:ascii="宋体" w:hAnsi="宋体" w:eastAsia="宋体" w:cs="宋体"/>
          <w:color w:val="auto"/>
          <w:sz w:val="21"/>
          <w:szCs w:val="21"/>
        </w:rPr>
      </w:pPr>
    </w:p>
    <w:p>
      <w:pPr>
        <w:pStyle w:val="8"/>
        <w:tabs>
          <w:tab w:val="left" w:pos="4404"/>
          <w:tab w:val="left" w:pos="7390"/>
          <w:tab w:val="left" w:pos="8101"/>
          <w:tab w:val="left" w:pos="8996"/>
        </w:tabs>
        <w:spacing w:beforeLines="0" w:afterLines="0" w:line="312" w:lineRule="auto"/>
        <w:ind w:left="3685" w:right="322"/>
        <w:rPr>
          <w:rFonts w:hint="eastAsia" w:ascii="宋体" w:hAnsi="宋体" w:eastAsia="宋体" w:cs="宋体"/>
          <w:color w:val="auto"/>
          <w:spacing w:val="-5"/>
          <w:sz w:val="21"/>
          <w:szCs w:val="21"/>
        </w:rPr>
      </w:pPr>
      <w:r>
        <w:rPr>
          <w:rFonts w:hint="eastAsia" w:ascii="宋体" w:hAnsi="宋体" w:eastAsia="宋体" w:cs="宋体"/>
          <w:color w:val="auto"/>
          <w:sz w:val="21"/>
          <w:szCs w:val="21"/>
        </w:rPr>
        <w:t>投 标 人</w:t>
      </w:r>
      <w:r>
        <w:rPr>
          <w:rFonts w:hint="eastAsia" w:ascii="宋体" w:hAnsi="宋体" w:eastAsia="宋体" w:cs="宋体"/>
          <w:color w:val="auto"/>
          <w:spacing w:val="-8"/>
          <w:sz w:val="21"/>
          <w:szCs w:val="21"/>
        </w:rPr>
        <w:t>：</w:t>
      </w:r>
      <w:r>
        <w:rPr>
          <w:rFonts w:hint="eastAsia" w:ascii="宋体" w:hAnsi="宋体" w:eastAsia="宋体" w:cs="宋体"/>
          <w:color w:val="auto"/>
          <w:spacing w:val="-8"/>
          <w:sz w:val="21"/>
          <w:szCs w:val="21"/>
          <w:u w:val="single"/>
        </w:rPr>
        <w:t xml:space="preserve"> </w:t>
      </w:r>
      <w:r>
        <w:rPr>
          <w:rFonts w:hint="eastAsia" w:ascii="宋体" w:hAnsi="宋体" w:eastAsia="宋体" w:cs="宋体"/>
          <w:color w:val="auto"/>
          <w:spacing w:val="-8"/>
          <w:sz w:val="21"/>
          <w:szCs w:val="21"/>
          <w:u w:val="single"/>
        </w:rPr>
        <w:tab/>
      </w:r>
      <w:r>
        <w:rPr>
          <w:rFonts w:hint="eastAsia" w:ascii="宋体" w:hAnsi="宋体" w:eastAsia="宋体" w:cs="宋体"/>
          <w:color w:val="auto"/>
          <w:sz w:val="21"/>
          <w:szCs w:val="21"/>
        </w:rPr>
        <w:t>（</w:t>
      </w:r>
      <w:r>
        <w:rPr>
          <w:rFonts w:hint="eastAsia" w:ascii="宋体" w:eastAsia="宋体" w:cs="宋体"/>
          <w:color w:val="auto"/>
          <w:sz w:val="21"/>
          <w:szCs w:val="21"/>
          <w:lang w:eastAsia="zh-CN"/>
        </w:rPr>
        <w:t>企业电子章</w:t>
      </w:r>
      <w:r>
        <w:rPr>
          <w:rFonts w:hint="eastAsia" w:ascii="宋体" w:hAnsi="宋体" w:eastAsia="宋体" w:cs="宋体"/>
          <w:color w:val="auto"/>
          <w:spacing w:val="-5"/>
          <w:sz w:val="21"/>
          <w:szCs w:val="21"/>
        </w:rPr>
        <w:t>）</w:t>
      </w:r>
    </w:p>
    <w:p>
      <w:pPr>
        <w:pStyle w:val="8"/>
        <w:tabs>
          <w:tab w:val="left" w:pos="4404"/>
          <w:tab w:val="left" w:pos="7390"/>
          <w:tab w:val="left" w:pos="8101"/>
          <w:tab w:val="left" w:pos="8996"/>
        </w:tabs>
        <w:spacing w:beforeLines="0" w:afterLines="0" w:line="312" w:lineRule="auto"/>
        <w:ind w:left="3685" w:right="322"/>
        <w:rPr>
          <w:rFonts w:hint="eastAsia" w:ascii="宋体" w:hAnsi="宋体" w:eastAsia="宋体" w:cs="宋体"/>
          <w:color w:val="auto"/>
          <w:sz w:val="21"/>
          <w:szCs w:val="21"/>
        </w:rPr>
      </w:pPr>
      <w:r>
        <w:rPr>
          <w:rFonts w:hint="eastAsia" w:ascii="宋体" w:hAnsi="宋体" w:eastAsia="宋体" w:cs="宋体"/>
          <w:color w:val="auto"/>
          <w:spacing w:val="-5"/>
          <w:position w:val="11"/>
          <w:sz w:val="21"/>
          <w:szCs w:val="21"/>
        </w:rPr>
        <w:t xml:space="preserve"> </w:t>
      </w:r>
      <w:r>
        <w:rPr>
          <w:rFonts w:hint="eastAsia" w:ascii="宋体" w:hAnsi="宋体" w:eastAsia="宋体" w:cs="宋体"/>
          <w:color w:val="auto"/>
          <w:sz w:val="21"/>
          <w:szCs w:val="21"/>
        </w:rPr>
        <w:t>法定代表人或其委托代理人</w:t>
      </w:r>
      <w:r>
        <w:rPr>
          <w:rFonts w:hint="eastAsia" w:ascii="宋体" w:hAnsi="宋体" w:eastAsia="宋体" w:cs="宋体"/>
          <w:color w:val="auto"/>
          <w:spacing w:val="-12"/>
          <w:sz w:val="21"/>
          <w:szCs w:val="21"/>
        </w:rPr>
        <w:t>：</w:t>
      </w:r>
      <w:r>
        <w:rPr>
          <w:rFonts w:hint="eastAsia" w:ascii="宋体" w:hAnsi="宋体" w:eastAsia="宋体" w:cs="宋体"/>
          <w:color w:val="auto"/>
          <w:spacing w:val="-12"/>
          <w:sz w:val="21"/>
          <w:szCs w:val="21"/>
          <w:u w:val="single"/>
        </w:rPr>
        <w:t xml:space="preserve"> </w:t>
      </w:r>
      <w:r>
        <w:rPr>
          <w:rFonts w:hint="eastAsia" w:ascii="宋体" w:hAnsi="宋体" w:eastAsia="宋体" w:cs="宋体"/>
          <w:color w:val="auto"/>
          <w:spacing w:val="-12"/>
          <w:sz w:val="21"/>
          <w:szCs w:val="21"/>
          <w:u w:val="single"/>
        </w:rPr>
        <w:tab/>
      </w:r>
      <w:r>
        <w:rPr>
          <w:rFonts w:hint="eastAsia" w:ascii="宋体" w:hAnsi="宋体" w:eastAsia="宋体" w:cs="宋体"/>
          <w:color w:val="auto"/>
          <w:sz w:val="21"/>
          <w:szCs w:val="21"/>
        </w:rPr>
        <w:t xml:space="preserve">（签字或电子签章） </w:t>
      </w:r>
    </w:p>
    <w:p>
      <w:pPr>
        <w:pStyle w:val="8"/>
        <w:tabs>
          <w:tab w:val="left" w:pos="4404"/>
          <w:tab w:val="left" w:pos="7390"/>
          <w:tab w:val="left" w:pos="8101"/>
          <w:tab w:val="left" w:pos="8996"/>
        </w:tabs>
        <w:spacing w:beforeLines="0" w:afterLines="0" w:line="312" w:lineRule="auto"/>
        <w:ind w:left="3685" w:right="322"/>
        <w:rPr>
          <w:rFonts w:hint="eastAsia" w:ascii="宋体" w:hAnsi="宋体" w:eastAsia="宋体" w:cs="宋体"/>
          <w:color w:val="auto"/>
          <w:sz w:val="21"/>
          <w:szCs w:val="21"/>
          <w:u w:val="single"/>
        </w:rPr>
      </w:pPr>
      <w:r>
        <w:rPr>
          <w:rFonts w:hint="eastAsia" w:ascii="宋体" w:hAnsi="宋体" w:eastAsia="宋体" w:cs="宋体"/>
          <w:color w:val="auto"/>
          <w:sz w:val="21"/>
          <w:szCs w:val="21"/>
        </w:rPr>
        <w:t>地</w:t>
      </w:r>
      <w:r>
        <w:rPr>
          <w:rFonts w:hint="eastAsia" w:ascii="宋体" w:hAnsi="宋体" w:eastAsia="宋体" w:cs="宋体"/>
          <w:color w:val="auto"/>
          <w:sz w:val="21"/>
          <w:szCs w:val="21"/>
        </w:rPr>
        <w:tab/>
      </w:r>
      <w:r>
        <w:rPr>
          <w:rFonts w:hint="eastAsia" w:ascii="宋体" w:hAnsi="宋体" w:eastAsia="宋体" w:cs="宋体"/>
          <w:color w:val="auto"/>
          <w:sz w:val="21"/>
          <w:szCs w:val="21"/>
        </w:rPr>
        <w:t>址：</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 xml:space="preserve"> </w:t>
      </w:r>
    </w:p>
    <w:p>
      <w:pPr>
        <w:pStyle w:val="8"/>
        <w:tabs>
          <w:tab w:val="left" w:pos="4404"/>
          <w:tab w:val="left" w:pos="7390"/>
          <w:tab w:val="left" w:pos="8101"/>
          <w:tab w:val="left" w:pos="8996"/>
        </w:tabs>
        <w:spacing w:beforeLines="0" w:afterLines="0" w:line="312" w:lineRule="auto"/>
        <w:ind w:left="3685" w:right="322"/>
        <w:rPr>
          <w:rFonts w:hint="eastAsia" w:ascii="宋体" w:hAnsi="宋体" w:eastAsia="宋体" w:cs="宋体"/>
          <w:color w:val="auto"/>
          <w:sz w:val="21"/>
          <w:szCs w:val="21"/>
          <w:u w:val="single"/>
        </w:rPr>
      </w:pPr>
      <w:r>
        <w:rPr>
          <w:rFonts w:hint="eastAsia" w:ascii="宋体" w:hAnsi="宋体" w:eastAsia="宋体" w:cs="宋体"/>
          <w:color w:val="auto"/>
          <w:sz w:val="21"/>
          <w:szCs w:val="21"/>
        </w:rPr>
        <w:t>网</w:t>
      </w:r>
      <w:r>
        <w:rPr>
          <w:rFonts w:hint="eastAsia" w:ascii="宋体" w:hAnsi="宋体" w:eastAsia="宋体" w:cs="宋体"/>
          <w:color w:val="auto"/>
          <w:sz w:val="21"/>
          <w:szCs w:val="21"/>
        </w:rPr>
        <w:tab/>
      </w:r>
      <w:r>
        <w:rPr>
          <w:rFonts w:hint="eastAsia" w:ascii="宋体" w:hAnsi="宋体" w:eastAsia="宋体" w:cs="宋体"/>
          <w:color w:val="auto"/>
          <w:sz w:val="21"/>
          <w:szCs w:val="21"/>
        </w:rPr>
        <w:t>址：</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 xml:space="preserve"> </w:t>
      </w:r>
    </w:p>
    <w:p>
      <w:pPr>
        <w:pStyle w:val="8"/>
        <w:tabs>
          <w:tab w:val="left" w:pos="4404"/>
          <w:tab w:val="left" w:pos="7390"/>
          <w:tab w:val="left" w:pos="8101"/>
          <w:tab w:val="left" w:pos="8996"/>
        </w:tabs>
        <w:spacing w:beforeLines="0" w:afterLines="0" w:line="312" w:lineRule="auto"/>
        <w:ind w:left="3685" w:right="322"/>
        <w:rPr>
          <w:rFonts w:hint="eastAsia" w:ascii="宋体" w:hAnsi="宋体" w:eastAsia="宋体" w:cs="宋体"/>
          <w:color w:val="auto"/>
          <w:sz w:val="21"/>
          <w:szCs w:val="21"/>
          <w:u w:val="single"/>
        </w:rPr>
      </w:pPr>
      <w:r>
        <w:rPr>
          <w:rFonts w:hint="eastAsia" w:ascii="宋体" w:hAnsi="宋体" w:eastAsia="宋体" w:cs="宋体"/>
          <w:color w:val="auto"/>
          <w:sz w:val="21"/>
          <w:szCs w:val="21"/>
        </w:rPr>
        <w:t>电</w:t>
      </w:r>
      <w:r>
        <w:rPr>
          <w:rFonts w:hint="eastAsia" w:ascii="宋体" w:hAnsi="宋体" w:eastAsia="宋体" w:cs="宋体"/>
          <w:color w:val="auto"/>
          <w:sz w:val="21"/>
          <w:szCs w:val="21"/>
        </w:rPr>
        <w:tab/>
      </w:r>
      <w:r>
        <w:rPr>
          <w:rFonts w:hint="eastAsia" w:ascii="宋体" w:hAnsi="宋体" w:eastAsia="宋体" w:cs="宋体"/>
          <w:color w:val="auto"/>
          <w:sz w:val="21"/>
          <w:szCs w:val="21"/>
        </w:rPr>
        <w:t>话：</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 xml:space="preserve"> </w:t>
      </w:r>
    </w:p>
    <w:p>
      <w:pPr>
        <w:pStyle w:val="8"/>
        <w:tabs>
          <w:tab w:val="left" w:pos="4404"/>
          <w:tab w:val="left" w:pos="7390"/>
          <w:tab w:val="left" w:pos="8101"/>
          <w:tab w:val="left" w:pos="8996"/>
        </w:tabs>
        <w:spacing w:beforeLines="0" w:afterLines="0" w:line="312" w:lineRule="auto"/>
        <w:ind w:left="3685" w:right="322"/>
        <w:rPr>
          <w:rFonts w:hint="eastAsia" w:ascii="宋体" w:hAnsi="宋体" w:eastAsia="宋体" w:cs="宋体"/>
          <w:color w:val="auto"/>
          <w:sz w:val="21"/>
          <w:szCs w:val="21"/>
          <w:u w:val="single"/>
        </w:rPr>
      </w:pPr>
      <w:r>
        <w:rPr>
          <w:rFonts w:hint="eastAsia" w:ascii="宋体" w:hAnsi="宋体" w:eastAsia="宋体" w:cs="宋体"/>
          <w:color w:val="auto"/>
          <w:sz w:val="21"/>
          <w:szCs w:val="21"/>
        </w:rPr>
        <w:t>传</w:t>
      </w:r>
      <w:r>
        <w:rPr>
          <w:rFonts w:hint="eastAsia" w:ascii="宋体" w:hAnsi="宋体" w:eastAsia="宋体" w:cs="宋体"/>
          <w:color w:val="auto"/>
          <w:sz w:val="21"/>
          <w:szCs w:val="21"/>
        </w:rPr>
        <w:tab/>
      </w:r>
      <w:r>
        <w:rPr>
          <w:rFonts w:hint="eastAsia" w:ascii="宋体" w:hAnsi="宋体" w:eastAsia="宋体" w:cs="宋体"/>
          <w:color w:val="auto"/>
          <w:sz w:val="21"/>
          <w:szCs w:val="21"/>
        </w:rPr>
        <w:t>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 xml:space="preserve"> </w:t>
      </w:r>
    </w:p>
    <w:p>
      <w:pPr>
        <w:pStyle w:val="8"/>
        <w:tabs>
          <w:tab w:val="left" w:pos="4404"/>
          <w:tab w:val="left" w:pos="7390"/>
          <w:tab w:val="left" w:pos="8101"/>
          <w:tab w:val="left" w:pos="8996"/>
        </w:tabs>
        <w:spacing w:beforeLines="0" w:afterLines="0" w:line="312" w:lineRule="auto"/>
        <w:ind w:left="3685" w:right="322"/>
        <w:rPr>
          <w:rFonts w:hint="eastAsia" w:ascii="宋体" w:hAnsi="宋体" w:eastAsia="宋体" w:cs="宋体"/>
          <w:color w:val="auto"/>
          <w:sz w:val="21"/>
          <w:szCs w:val="21"/>
        </w:rPr>
      </w:pPr>
      <w:r>
        <w:rPr>
          <w:rFonts w:hint="eastAsia" w:ascii="宋体" w:hAnsi="宋体" w:eastAsia="宋体" w:cs="宋体"/>
          <w:color w:val="auto"/>
          <w:sz w:val="21"/>
          <w:szCs w:val="21"/>
        </w:rPr>
        <w:t>邮政编码：</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ab/>
      </w:r>
    </w:p>
    <w:p>
      <w:pPr>
        <w:pStyle w:val="8"/>
        <w:spacing w:before="5" w:beforeLines="0" w:afterLines="0"/>
        <w:rPr>
          <w:rFonts w:hint="eastAsia" w:ascii="宋体" w:hAnsi="宋体" w:eastAsia="宋体" w:cs="宋体"/>
          <w:color w:val="auto"/>
          <w:sz w:val="21"/>
          <w:szCs w:val="21"/>
        </w:rPr>
      </w:pPr>
    </w:p>
    <w:p>
      <w:pPr>
        <w:tabs>
          <w:tab w:val="left" w:pos="6515"/>
        </w:tabs>
        <w:spacing w:before="159" w:line="221" w:lineRule="auto"/>
        <w:ind w:left="5886"/>
        <w:rPr>
          <w:rFonts w:ascii="宋体" w:hAnsi="宋体" w:eastAsia="宋体" w:cs="宋体"/>
          <w:color w:val="auto"/>
          <w:sz w:val="21"/>
          <w:szCs w:val="21"/>
        </w:rPr>
      </w:pP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rPr>
        <w:t>日</w:t>
      </w:r>
    </w:p>
    <w:p>
      <w:pPr>
        <w:spacing w:line="221" w:lineRule="auto"/>
        <w:rPr>
          <w:rFonts w:ascii="宋体" w:hAnsi="宋体" w:eastAsia="宋体" w:cs="宋体"/>
          <w:sz w:val="21"/>
          <w:szCs w:val="21"/>
        </w:rPr>
        <w:sectPr>
          <w:footerReference r:id="rId50" w:type="default"/>
          <w:pgSz w:w="11907" w:h="16841"/>
          <w:pgMar w:top="1431" w:right="1015" w:bottom="1216" w:left="1080" w:header="0" w:footer="1055" w:gutter="0"/>
          <w:pgNumType w:fmt="decimal"/>
          <w:cols w:space="720" w:num="1"/>
        </w:sectPr>
      </w:pPr>
    </w:p>
    <w:p>
      <w:pPr>
        <w:spacing w:before="178" w:line="219" w:lineRule="auto"/>
        <w:ind w:left="4062"/>
        <w:outlineLvl w:val="1"/>
        <w:rPr>
          <w:rFonts w:ascii="宋体" w:hAnsi="宋体" w:eastAsia="宋体" w:cs="宋体"/>
          <w:sz w:val="21"/>
          <w:szCs w:val="21"/>
        </w:rPr>
      </w:pPr>
      <w:bookmarkStart w:id="219" w:name="bookmark59"/>
      <w:bookmarkEnd w:id="219"/>
      <w:bookmarkStart w:id="220" w:name="_Toc28409"/>
      <w:r>
        <w:rPr>
          <w:rFonts w:ascii="宋体" w:hAnsi="宋体" w:eastAsia="宋体" w:cs="宋体"/>
          <w:spacing w:val="-1"/>
          <w:sz w:val="21"/>
          <w:szCs w:val="21"/>
          <w14:textOutline w14:w="3831" w14:cap="flat" w14:cmpd="sng">
            <w14:solidFill>
              <w14:srgbClr w14:val="000000"/>
            </w14:solidFill>
            <w14:prstDash w14:val="solid"/>
            <w14:miter w14:val="0"/>
          </w14:textOutline>
        </w:rPr>
        <w:t>二、已标价工程量清单</w:t>
      </w:r>
      <w:bookmarkEnd w:id="220"/>
    </w:p>
    <w:p>
      <w:pPr>
        <w:pStyle w:val="8"/>
        <w:spacing w:line="411" w:lineRule="auto"/>
      </w:pPr>
    </w:p>
    <w:p>
      <w:pPr>
        <w:spacing w:before="69" w:line="410" w:lineRule="exact"/>
        <w:jc w:val="right"/>
        <w:rPr>
          <w:rFonts w:ascii="宋体" w:hAnsi="宋体" w:eastAsia="宋体" w:cs="宋体"/>
          <w:sz w:val="21"/>
          <w:szCs w:val="21"/>
        </w:rPr>
      </w:pPr>
      <w:r>
        <w:rPr>
          <w:rFonts w:ascii="宋体" w:hAnsi="宋体" w:eastAsia="宋体" w:cs="宋体"/>
          <w:spacing w:val="-3"/>
          <w:position w:val="15"/>
          <w:sz w:val="21"/>
          <w:szCs w:val="21"/>
        </w:rPr>
        <w:t>投标人应按照第五章“工程量清单”的要求逐项填报工程量清单，包括工程量清单说明、投标报价说</w:t>
      </w:r>
    </w:p>
    <w:p>
      <w:pPr>
        <w:spacing w:line="219" w:lineRule="auto"/>
        <w:ind w:left="17"/>
        <w:rPr>
          <w:rFonts w:ascii="宋体" w:hAnsi="宋体" w:eastAsia="宋体" w:cs="宋体"/>
          <w:sz w:val="21"/>
          <w:szCs w:val="21"/>
        </w:rPr>
      </w:pPr>
      <w:r>
        <w:rPr>
          <w:rFonts w:ascii="宋体" w:hAnsi="宋体" w:eastAsia="宋体" w:cs="宋体"/>
          <w:spacing w:val="-1"/>
          <w:sz w:val="21"/>
          <w:szCs w:val="21"/>
        </w:rPr>
        <w:t>明、计日工说明、其他说明及已标价的工程量清单表格。</w:t>
      </w:r>
    </w:p>
    <w:p>
      <w:pPr>
        <w:spacing w:before="158" w:line="408" w:lineRule="exact"/>
        <w:jc w:val="right"/>
        <w:rPr>
          <w:rFonts w:ascii="宋体" w:hAnsi="宋体" w:eastAsia="宋体" w:cs="宋体"/>
          <w:sz w:val="21"/>
          <w:szCs w:val="21"/>
        </w:rPr>
      </w:pPr>
      <w:r>
        <w:rPr>
          <w:rFonts w:ascii="宋体" w:hAnsi="宋体" w:eastAsia="宋体" w:cs="宋体"/>
          <w:spacing w:val="-2"/>
          <w:position w:val="15"/>
          <w:sz w:val="21"/>
          <w:szCs w:val="21"/>
        </w:rPr>
        <w:t>投标人应依据最终发布的固化工程量清单为准，逐项填写工程</w:t>
      </w:r>
      <w:r>
        <w:rPr>
          <w:rFonts w:ascii="宋体" w:hAnsi="宋体" w:eastAsia="宋体" w:cs="宋体"/>
          <w:spacing w:val="-3"/>
          <w:position w:val="15"/>
          <w:sz w:val="21"/>
          <w:szCs w:val="21"/>
        </w:rPr>
        <w:t>量清单，并以固化工程量清单为准制作</w:t>
      </w:r>
    </w:p>
    <w:p>
      <w:pPr>
        <w:spacing w:line="219" w:lineRule="auto"/>
        <w:rPr>
          <w:rFonts w:ascii="宋体" w:hAnsi="宋体" w:eastAsia="宋体" w:cs="宋体"/>
          <w:sz w:val="21"/>
          <w:szCs w:val="21"/>
        </w:rPr>
      </w:pPr>
      <w:r>
        <w:rPr>
          <w:rFonts w:ascii="宋体" w:hAnsi="宋体" w:eastAsia="宋体" w:cs="宋体"/>
          <w:spacing w:val="-1"/>
          <w:sz w:val="21"/>
          <w:szCs w:val="21"/>
        </w:rPr>
        <w:t>投标文件的已标价的工程量清单，填写投标报价。</w:t>
      </w:r>
    </w:p>
    <w:p>
      <w:pPr>
        <w:spacing w:line="219" w:lineRule="auto"/>
        <w:rPr>
          <w:rFonts w:ascii="宋体" w:hAnsi="宋体" w:eastAsia="宋体" w:cs="宋体"/>
          <w:sz w:val="21"/>
          <w:szCs w:val="21"/>
        </w:rPr>
        <w:sectPr>
          <w:footerReference r:id="rId51" w:type="default"/>
          <w:pgSz w:w="11907" w:h="16841"/>
          <w:pgMar w:top="1431" w:right="1157" w:bottom="1216" w:left="1090" w:header="0" w:footer="1055" w:gutter="0"/>
          <w:pgNumType w:fmt="decimal"/>
          <w:cols w:space="720" w:num="1"/>
        </w:sectPr>
      </w:pPr>
    </w:p>
    <w:p>
      <w:pPr>
        <w:pStyle w:val="8"/>
        <w:spacing w:line="376" w:lineRule="auto"/>
      </w:pPr>
    </w:p>
    <w:p>
      <w:pPr>
        <w:spacing w:before="68" w:line="219" w:lineRule="auto"/>
        <w:ind w:left="4105"/>
        <w:outlineLvl w:val="1"/>
        <w:rPr>
          <w:rFonts w:ascii="宋体" w:hAnsi="宋体" w:eastAsia="宋体" w:cs="宋体"/>
          <w:sz w:val="21"/>
          <w:szCs w:val="21"/>
        </w:rPr>
      </w:pPr>
      <w:bookmarkStart w:id="221" w:name="bookmark60"/>
      <w:bookmarkEnd w:id="221"/>
      <w:bookmarkStart w:id="222" w:name="_Toc9903"/>
      <w:r>
        <w:rPr>
          <w:rFonts w:ascii="宋体" w:hAnsi="宋体" w:eastAsia="宋体" w:cs="宋体"/>
          <w:sz w:val="21"/>
          <w:szCs w:val="21"/>
          <w14:textOutline w14:w="3831" w14:cap="flat" w14:cmpd="sng">
            <w14:solidFill>
              <w14:srgbClr w14:val="000000"/>
            </w14:solidFill>
            <w14:prstDash w14:val="solid"/>
            <w14:miter w14:val="0"/>
          </w14:textOutline>
        </w:rPr>
        <w:t>三、合同用款估算表</w:t>
      </w:r>
      <w:bookmarkEnd w:id="222"/>
    </w:p>
    <w:p>
      <w:pPr>
        <w:spacing w:before="91"/>
      </w:pPr>
    </w:p>
    <w:tbl>
      <w:tblPr>
        <w:tblStyle w:val="68"/>
        <w:tblW w:w="8845" w:type="dxa"/>
        <w:tblInd w:w="4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8"/>
        <w:gridCol w:w="1675"/>
        <w:gridCol w:w="1600"/>
        <w:gridCol w:w="1665"/>
        <w:gridCol w:w="1667"/>
        <w:gridCol w:w="16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2243" w:type="dxa"/>
            <w:gridSpan w:val="2"/>
            <w:vMerge w:val="restart"/>
            <w:tcBorders>
              <w:bottom w:val="nil"/>
            </w:tcBorders>
            <w:vAlign w:val="top"/>
          </w:tcPr>
          <w:p>
            <w:pPr>
              <w:keepNext w:val="0"/>
              <w:keepLines w:val="0"/>
              <w:suppressLineNumbers w:val="0"/>
              <w:spacing w:before="0" w:beforeAutospacing="0" w:after="0" w:afterAutospacing="0" w:line="380" w:lineRule="auto"/>
              <w:ind w:left="0" w:right="0"/>
              <w:rPr>
                <w:rFonts w:hint="default" w:ascii="Arial"/>
                <w:sz w:val="21"/>
              </w:rPr>
            </w:pPr>
          </w:p>
          <w:p>
            <w:pPr>
              <w:pStyle w:val="72"/>
              <w:keepNext w:val="0"/>
              <w:keepLines w:val="0"/>
              <w:suppressLineNumbers w:val="0"/>
              <w:spacing w:before="69" w:beforeAutospacing="0" w:after="0" w:afterAutospacing="0" w:line="221" w:lineRule="auto"/>
              <w:ind w:left="183" w:right="0"/>
              <w:rPr>
                <w:rFonts w:hint="default"/>
              </w:rPr>
            </w:pPr>
            <w:r>
              <w:rPr>
                <w:rFonts w:hint="default"/>
                <w:spacing w:val="-1"/>
              </w:rPr>
              <w:t>从开工月算起的时间</w:t>
            </w:r>
          </w:p>
          <w:p>
            <w:pPr>
              <w:pStyle w:val="72"/>
              <w:keepNext w:val="0"/>
              <w:keepLines w:val="0"/>
              <w:suppressLineNumbers w:val="0"/>
              <w:spacing w:before="19" w:beforeAutospacing="0" w:after="0" w:afterAutospacing="0" w:line="221" w:lineRule="auto"/>
              <w:ind w:left="818" w:right="0"/>
              <w:rPr>
                <w:rFonts w:hint="default"/>
              </w:rPr>
            </w:pPr>
            <w:r>
              <w:rPr>
                <w:rFonts w:hint="default"/>
                <w:spacing w:val="-6"/>
              </w:rPr>
              <w:t>（月）</w:t>
            </w:r>
          </w:p>
        </w:tc>
        <w:tc>
          <w:tcPr>
            <w:tcW w:w="6602" w:type="dxa"/>
            <w:gridSpan w:val="4"/>
            <w:vAlign w:val="top"/>
          </w:tcPr>
          <w:p>
            <w:pPr>
              <w:pStyle w:val="72"/>
              <w:keepNext w:val="0"/>
              <w:keepLines w:val="0"/>
              <w:suppressLineNumbers w:val="0"/>
              <w:spacing w:before="125" w:beforeAutospacing="0" w:after="0" w:afterAutospacing="0" w:line="219" w:lineRule="auto"/>
              <w:ind w:left="2676" w:right="0"/>
              <w:rPr>
                <w:rFonts w:hint="default"/>
              </w:rPr>
            </w:pPr>
            <w:r>
              <w:rPr>
                <w:rFonts w:hint="default"/>
                <w:spacing w:val="-2"/>
              </w:rPr>
              <w:t>投标人的估算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2243" w:type="dxa"/>
            <w:gridSpan w:val="2"/>
            <w:vMerge w:val="continue"/>
            <w:tcBorders>
              <w:top w:val="nil"/>
              <w:bottom w:val="nil"/>
            </w:tcBorders>
            <w:vAlign w:val="top"/>
          </w:tcPr>
          <w:p>
            <w:pPr>
              <w:keepNext w:val="0"/>
              <w:keepLines w:val="0"/>
              <w:suppressLineNumbers w:val="0"/>
              <w:spacing w:before="0" w:beforeAutospacing="0" w:after="0" w:afterAutospacing="0"/>
              <w:ind w:left="0" w:right="0"/>
              <w:rPr>
                <w:rFonts w:hint="default" w:ascii="Arial"/>
                <w:sz w:val="21"/>
              </w:rPr>
            </w:pPr>
          </w:p>
        </w:tc>
        <w:tc>
          <w:tcPr>
            <w:tcW w:w="3265" w:type="dxa"/>
            <w:gridSpan w:val="2"/>
            <w:vAlign w:val="top"/>
          </w:tcPr>
          <w:p>
            <w:pPr>
              <w:pStyle w:val="72"/>
              <w:keepNext w:val="0"/>
              <w:keepLines w:val="0"/>
              <w:suppressLineNumbers w:val="0"/>
              <w:spacing w:before="118" w:beforeAutospacing="0" w:after="0" w:afterAutospacing="0" w:line="221" w:lineRule="auto"/>
              <w:ind w:left="1430" w:right="0"/>
              <w:rPr>
                <w:rFonts w:hint="default"/>
              </w:rPr>
            </w:pPr>
            <w:r>
              <w:rPr>
                <w:rFonts w:hint="default"/>
                <w:spacing w:val="-3"/>
              </w:rPr>
              <w:t>分期</w:t>
            </w:r>
          </w:p>
        </w:tc>
        <w:tc>
          <w:tcPr>
            <w:tcW w:w="3337" w:type="dxa"/>
            <w:gridSpan w:val="2"/>
            <w:vAlign w:val="top"/>
          </w:tcPr>
          <w:p>
            <w:pPr>
              <w:pStyle w:val="72"/>
              <w:keepNext w:val="0"/>
              <w:keepLines w:val="0"/>
              <w:suppressLineNumbers w:val="0"/>
              <w:spacing w:before="118" w:beforeAutospacing="0" w:after="0" w:afterAutospacing="0" w:line="222" w:lineRule="auto"/>
              <w:ind w:left="1471" w:right="0"/>
              <w:rPr>
                <w:rFonts w:hint="default"/>
              </w:rPr>
            </w:pPr>
            <w:r>
              <w:rPr>
                <w:rFonts w:hint="default"/>
                <w:spacing w:val="-4"/>
              </w:rPr>
              <w:t>累计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243" w:type="dxa"/>
            <w:gridSpan w:val="2"/>
            <w:vMerge w:val="continue"/>
            <w:tcBorders>
              <w:top w:val="nil"/>
            </w:tcBorders>
            <w:vAlign w:val="top"/>
          </w:tcPr>
          <w:p>
            <w:pPr>
              <w:keepNext w:val="0"/>
              <w:keepLines w:val="0"/>
              <w:suppressLineNumbers w:val="0"/>
              <w:spacing w:before="0" w:beforeAutospacing="0" w:after="0" w:afterAutospacing="0"/>
              <w:ind w:left="0" w:right="0"/>
              <w:rPr>
                <w:rFonts w:hint="default" w:ascii="Arial"/>
                <w:sz w:val="21"/>
              </w:rPr>
            </w:pPr>
          </w:p>
        </w:tc>
        <w:tc>
          <w:tcPr>
            <w:tcW w:w="1600" w:type="dxa"/>
            <w:vAlign w:val="top"/>
          </w:tcPr>
          <w:p>
            <w:pPr>
              <w:pStyle w:val="72"/>
              <w:keepNext w:val="0"/>
              <w:keepLines w:val="0"/>
              <w:suppressLineNumbers w:val="0"/>
              <w:spacing w:before="120" w:beforeAutospacing="0" w:after="0" w:afterAutospacing="0" w:line="221" w:lineRule="auto"/>
              <w:ind w:left="280" w:right="0"/>
              <w:rPr>
                <w:rFonts w:hint="default"/>
              </w:rPr>
            </w:pPr>
            <w:r>
              <w:rPr>
                <w:rFonts w:hint="default"/>
                <w:spacing w:val="-5"/>
              </w:rPr>
              <w:t>金额（元）</w:t>
            </w:r>
          </w:p>
        </w:tc>
        <w:tc>
          <w:tcPr>
            <w:tcW w:w="1665" w:type="dxa"/>
            <w:vAlign w:val="top"/>
          </w:tcPr>
          <w:p>
            <w:pPr>
              <w:pStyle w:val="72"/>
              <w:keepNext w:val="0"/>
              <w:keepLines w:val="0"/>
              <w:suppressLineNumbers w:val="0"/>
              <w:spacing w:before="120" w:beforeAutospacing="0" w:after="0" w:afterAutospacing="0" w:line="233" w:lineRule="auto"/>
              <w:ind w:left="583" w:right="0"/>
              <w:rPr>
                <w:rFonts w:hint="default"/>
              </w:rPr>
            </w:pPr>
            <w:r>
              <w:rPr>
                <w:rFonts w:hint="default"/>
                <w:spacing w:val="-5"/>
              </w:rPr>
              <w:t>（%）</w:t>
            </w:r>
          </w:p>
        </w:tc>
        <w:tc>
          <w:tcPr>
            <w:tcW w:w="1667" w:type="dxa"/>
            <w:vAlign w:val="top"/>
          </w:tcPr>
          <w:p>
            <w:pPr>
              <w:pStyle w:val="72"/>
              <w:keepNext w:val="0"/>
              <w:keepLines w:val="0"/>
              <w:suppressLineNumbers w:val="0"/>
              <w:spacing w:before="120" w:beforeAutospacing="0" w:after="0" w:afterAutospacing="0" w:line="221" w:lineRule="auto"/>
              <w:ind w:left="315" w:right="0"/>
              <w:rPr>
                <w:rFonts w:hint="default"/>
              </w:rPr>
            </w:pPr>
            <w:r>
              <w:rPr>
                <w:rFonts w:hint="default"/>
                <w:spacing w:val="-5"/>
              </w:rPr>
              <w:t>金额（元）</w:t>
            </w:r>
          </w:p>
        </w:tc>
        <w:tc>
          <w:tcPr>
            <w:tcW w:w="1670" w:type="dxa"/>
            <w:vAlign w:val="top"/>
          </w:tcPr>
          <w:p>
            <w:pPr>
              <w:pStyle w:val="72"/>
              <w:keepNext w:val="0"/>
              <w:keepLines w:val="0"/>
              <w:suppressLineNumbers w:val="0"/>
              <w:spacing w:before="120" w:beforeAutospacing="0" w:after="0" w:afterAutospacing="0" w:line="233" w:lineRule="auto"/>
              <w:ind w:left="583" w:right="0"/>
              <w:rPr>
                <w:rFonts w:hint="default"/>
              </w:rPr>
            </w:pPr>
            <w:r>
              <w:rPr>
                <w:rFonts w:hint="default"/>
                <w:spacing w:val="-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2243" w:type="dxa"/>
            <w:gridSpan w:val="2"/>
            <w:vAlign w:val="top"/>
          </w:tcPr>
          <w:p>
            <w:pPr>
              <w:pStyle w:val="72"/>
              <w:keepNext w:val="0"/>
              <w:keepLines w:val="0"/>
              <w:suppressLineNumbers w:val="0"/>
              <w:spacing w:before="117" w:beforeAutospacing="0" w:after="0" w:afterAutospacing="0" w:line="221" w:lineRule="auto"/>
              <w:ind w:left="286" w:right="0"/>
              <w:rPr>
                <w:rFonts w:hint="default"/>
              </w:rPr>
            </w:pPr>
            <w:r>
              <w:rPr>
                <w:rFonts w:hint="default"/>
                <w:spacing w:val="-1"/>
              </w:rPr>
              <w:t>第一次开工预付款</w:t>
            </w:r>
          </w:p>
        </w:tc>
        <w:tc>
          <w:tcPr>
            <w:tcW w:w="1600" w:type="dxa"/>
            <w:vAlign w:val="top"/>
          </w:tcPr>
          <w:p>
            <w:pPr>
              <w:keepNext w:val="0"/>
              <w:keepLines w:val="0"/>
              <w:suppressLineNumbers w:val="0"/>
              <w:spacing w:before="0" w:beforeAutospacing="0" w:after="0" w:afterAutospacing="0"/>
              <w:ind w:left="0" w:right="0"/>
              <w:rPr>
                <w:rFonts w:hint="default" w:ascii="Arial"/>
                <w:sz w:val="21"/>
              </w:rPr>
            </w:pPr>
          </w:p>
        </w:tc>
        <w:tc>
          <w:tcPr>
            <w:tcW w:w="1665" w:type="dxa"/>
            <w:vAlign w:val="top"/>
          </w:tcPr>
          <w:p>
            <w:pPr>
              <w:keepNext w:val="0"/>
              <w:keepLines w:val="0"/>
              <w:suppressLineNumbers w:val="0"/>
              <w:spacing w:before="0" w:beforeAutospacing="0" w:after="0" w:afterAutospacing="0"/>
              <w:ind w:left="0" w:right="0"/>
              <w:rPr>
                <w:rFonts w:hint="default" w:ascii="Arial"/>
                <w:sz w:val="21"/>
              </w:rPr>
            </w:pPr>
          </w:p>
        </w:tc>
        <w:tc>
          <w:tcPr>
            <w:tcW w:w="1667" w:type="dxa"/>
            <w:vAlign w:val="top"/>
          </w:tcPr>
          <w:p>
            <w:pPr>
              <w:keepNext w:val="0"/>
              <w:keepLines w:val="0"/>
              <w:suppressLineNumbers w:val="0"/>
              <w:spacing w:before="0" w:beforeAutospacing="0" w:after="0" w:afterAutospacing="0"/>
              <w:ind w:left="0" w:right="0"/>
              <w:rPr>
                <w:rFonts w:hint="default" w:ascii="Arial"/>
                <w:sz w:val="21"/>
              </w:rPr>
            </w:pPr>
          </w:p>
        </w:tc>
        <w:tc>
          <w:tcPr>
            <w:tcW w:w="167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243" w:type="dxa"/>
            <w:gridSpan w:val="2"/>
            <w:vAlign w:val="top"/>
          </w:tcPr>
          <w:p>
            <w:pPr>
              <w:pStyle w:val="72"/>
              <w:keepNext w:val="0"/>
              <w:keepLines w:val="0"/>
              <w:suppressLineNumbers w:val="0"/>
              <w:spacing w:before="120" w:beforeAutospacing="0" w:after="0" w:afterAutospacing="0" w:line="241" w:lineRule="auto"/>
              <w:ind w:left="933" w:right="0"/>
              <w:rPr>
                <w:rFonts w:hint="default"/>
              </w:rPr>
            </w:pPr>
            <w:r>
              <w:rPr>
                <w:rFonts w:hint="default"/>
                <w:spacing w:val="-8"/>
              </w:rPr>
              <w:t>1～3</w:t>
            </w:r>
          </w:p>
        </w:tc>
        <w:tc>
          <w:tcPr>
            <w:tcW w:w="1600" w:type="dxa"/>
            <w:vAlign w:val="top"/>
          </w:tcPr>
          <w:p>
            <w:pPr>
              <w:keepNext w:val="0"/>
              <w:keepLines w:val="0"/>
              <w:suppressLineNumbers w:val="0"/>
              <w:spacing w:before="0" w:beforeAutospacing="0" w:after="0" w:afterAutospacing="0"/>
              <w:ind w:left="0" w:right="0"/>
              <w:rPr>
                <w:rFonts w:hint="default" w:ascii="Arial"/>
                <w:sz w:val="21"/>
              </w:rPr>
            </w:pPr>
          </w:p>
        </w:tc>
        <w:tc>
          <w:tcPr>
            <w:tcW w:w="1665" w:type="dxa"/>
            <w:vAlign w:val="top"/>
          </w:tcPr>
          <w:p>
            <w:pPr>
              <w:keepNext w:val="0"/>
              <w:keepLines w:val="0"/>
              <w:suppressLineNumbers w:val="0"/>
              <w:spacing w:before="0" w:beforeAutospacing="0" w:after="0" w:afterAutospacing="0"/>
              <w:ind w:left="0" w:right="0"/>
              <w:rPr>
                <w:rFonts w:hint="default" w:ascii="Arial"/>
                <w:sz w:val="21"/>
              </w:rPr>
            </w:pPr>
          </w:p>
        </w:tc>
        <w:tc>
          <w:tcPr>
            <w:tcW w:w="1667" w:type="dxa"/>
            <w:vAlign w:val="top"/>
          </w:tcPr>
          <w:p>
            <w:pPr>
              <w:keepNext w:val="0"/>
              <w:keepLines w:val="0"/>
              <w:suppressLineNumbers w:val="0"/>
              <w:spacing w:before="0" w:beforeAutospacing="0" w:after="0" w:afterAutospacing="0"/>
              <w:ind w:left="0" w:right="0"/>
              <w:rPr>
                <w:rFonts w:hint="default" w:ascii="Arial"/>
                <w:sz w:val="21"/>
              </w:rPr>
            </w:pPr>
          </w:p>
        </w:tc>
        <w:tc>
          <w:tcPr>
            <w:tcW w:w="167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2243" w:type="dxa"/>
            <w:gridSpan w:val="2"/>
            <w:vAlign w:val="top"/>
          </w:tcPr>
          <w:p>
            <w:pPr>
              <w:pStyle w:val="72"/>
              <w:keepNext w:val="0"/>
              <w:keepLines w:val="0"/>
              <w:suppressLineNumbers w:val="0"/>
              <w:spacing w:before="118" w:beforeAutospacing="0" w:after="0" w:afterAutospacing="0" w:line="241" w:lineRule="auto"/>
              <w:ind w:left="916" w:right="0"/>
              <w:rPr>
                <w:rFonts w:hint="default"/>
              </w:rPr>
            </w:pPr>
            <w:r>
              <w:rPr>
                <w:rFonts w:hint="default"/>
                <w:spacing w:val="-2"/>
              </w:rPr>
              <w:t>4～6</w:t>
            </w:r>
          </w:p>
        </w:tc>
        <w:tc>
          <w:tcPr>
            <w:tcW w:w="1600" w:type="dxa"/>
            <w:vAlign w:val="top"/>
          </w:tcPr>
          <w:p>
            <w:pPr>
              <w:keepNext w:val="0"/>
              <w:keepLines w:val="0"/>
              <w:suppressLineNumbers w:val="0"/>
              <w:spacing w:before="0" w:beforeAutospacing="0" w:after="0" w:afterAutospacing="0"/>
              <w:ind w:left="0" w:right="0"/>
              <w:rPr>
                <w:rFonts w:hint="default" w:ascii="Arial"/>
                <w:sz w:val="21"/>
              </w:rPr>
            </w:pPr>
          </w:p>
        </w:tc>
        <w:tc>
          <w:tcPr>
            <w:tcW w:w="1665" w:type="dxa"/>
            <w:vAlign w:val="top"/>
          </w:tcPr>
          <w:p>
            <w:pPr>
              <w:keepNext w:val="0"/>
              <w:keepLines w:val="0"/>
              <w:suppressLineNumbers w:val="0"/>
              <w:spacing w:before="0" w:beforeAutospacing="0" w:after="0" w:afterAutospacing="0"/>
              <w:ind w:left="0" w:right="0"/>
              <w:rPr>
                <w:rFonts w:hint="default" w:ascii="Arial"/>
                <w:sz w:val="21"/>
              </w:rPr>
            </w:pPr>
          </w:p>
        </w:tc>
        <w:tc>
          <w:tcPr>
            <w:tcW w:w="1667" w:type="dxa"/>
            <w:vAlign w:val="top"/>
          </w:tcPr>
          <w:p>
            <w:pPr>
              <w:keepNext w:val="0"/>
              <w:keepLines w:val="0"/>
              <w:suppressLineNumbers w:val="0"/>
              <w:spacing w:before="0" w:beforeAutospacing="0" w:after="0" w:afterAutospacing="0"/>
              <w:ind w:left="0" w:right="0"/>
              <w:rPr>
                <w:rFonts w:hint="default" w:ascii="Arial"/>
                <w:sz w:val="21"/>
              </w:rPr>
            </w:pPr>
          </w:p>
        </w:tc>
        <w:tc>
          <w:tcPr>
            <w:tcW w:w="167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243" w:type="dxa"/>
            <w:gridSpan w:val="2"/>
            <w:vAlign w:val="top"/>
          </w:tcPr>
          <w:p>
            <w:pPr>
              <w:pStyle w:val="72"/>
              <w:keepNext w:val="0"/>
              <w:keepLines w:val="0"/>
              <w:suppressLineNumbers w:val="0"/>
              <w:spacing w:before="121" w:beforeAutospacing="0" w:after="0" w:afterAutospacing="0" w:line="241" w:lineRule="auto"/>
              <w:ind w:left="922" w:right="0"/>
              <w:rPr>
                <w:rFonts w:hint="default"/>
              </w:rPr>
            </w:pPr>
            <w:r>
              <w:rPr>
                <w:rFonts w:hint="default"/>
                <w:spacing w:val="-4"/>
              </w:rPr>
              <w:t>7～9</w:t>
            </w:r>
          </w:p>
        </w:tc>
        <w:tc>
          <w:tcPr>
            <w:tcW w:w="1600" w:type="dxa"/>
            <w:vAlign w:val="top"/>
          </w:tcPr>
          <w:p>
            <w:pPr>
              <w:keepNext w:val="0"/>
              <w:keepLines w:val="0"/>
              <w:suppressLineNumbers w:val="0"/>
              <w:spacing w:before="0" w:beforeAutospacing="0" w:after="0" w:afterAutospacing="0"/>
              <w:ind w:left="0" w:right="0"/>
              <w:rPr>
                <w:rFonts w:hint="default" w:ascii="Arial"/>
                <w:sz w:val="21"/>
              </w:rPr>
            </w:pPr>
          </w:p>
        </w:tc>
        <w:tc>
          <w:tcPr>
            <w:tcW w:w="1665" w:type="dxa"/>
            <w:vAlign w:val="top"/>
          </w:tcPr>
          <w:p>
            <w:pPr>
              <w:keepNext w:val="0"/>
              <w:keepLines w:val="0"/>
              <w:suppressLineNumbers w:val="0"/>
              <w:spacing w:before="0" w:beforeAutospacing="0" w:after="0" w:afterAutospacing="0"/>
              <w:ind w:left="0" w:right="0"/>
              <w:rPr>
                <w:rFonts w:hint="default" w:ascii="Arial"/>
                <w:sz w:val="21"/>
              </w:rPr>
            </w:pPr>
          </w:p>
        </w:tc>
        <w:tc>
          <w:tcPr>
            <w:tcW w:w="1667" w:type="dxa"/>
            <w:vAlign w:val="top"/>
          </w:tcPr>
          <w:p>
            <w:pPr>
              <w:keepNext w:val="0"/>
              <w:keepLines w:val="0"/>
              <w:suppressLineNumbers w:val="0"/>
              <w:spacing w:before="0" w:beforeAutospacing="0" w:after="0" w:afterAutospacing="0"/>
              <w:ind w:left="0" w:right="0"/>
              <w:rPr>
                <w:rFonts w:hint="default" w:ascii="Arial"/>
                <w:sz w:val="21"/>
              </w:rPr>
            </w:pPr>
          </w:p>
        </w:tc>
        <w:tc>
          <w:tcPr>
            <w:tcW w:w="167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2243" w:type="dxa"/>
            <w:gridSpan w:val="2"/>
            <w:vAlign w:val="top"/>
          </w:tcPr>
          <w:p>
            <w:pPr>
              <w:pStyle w:val="72"/>
              <w:keepNext w:val="0"/>
              <w:keepLines w:val="0"/>
              <w:suppressLineNumbers w:val="0"/>
              <w:spacing w:before="119" w:beforeAutospacing="0" w:after="0" w:afterAutospacing="0" w:line="241" w:lineRule="auto"/>
              <w:ind w:left="827" w:right="0"/>
              <w:rPr>
                <w:rFonts w:hint="default"/>
              </w:rPr>
            </w:pPr>
            <w:r>
              <w:rPr>
                <w:rFonts w:hint="default"/>
                <w:spacing w:val="-5"/>
              </w:rPr>
              <w:t>10～12</w:t>
            </w:r>
          </w:p>
        </w:tc>
        <w:tc>
          <w:tcPr>
            <w:tcW w:w="1600" w:type="dxa"/>
            <w:vAlign w:val="top"/>
          </w:tcPr>
          <w:p>
            <w:pPr>
              <w:keepNext w:val="0"/>
              <w:keepLines w:val="0"/>
              <w:suppressLineNumbers w:val="0"/>
              <w:spacing w:before="0" w:beforeAutospacing="0" w:after="0" w:afterAutospacing="0"/>
              <w:ind w:left="0" w:right="0"/>
              <w:rPr>
                <w:rFonts w:hint="default" w:ascii="Arial"/>
                <w:sz w:val="21"/>
              </w:rPr>
            </w:pPr>
          </w:p>
        </w:tc>
        <w:tc>
          <w:tcPr>
            <w:tcW w:w="1665" w:type="dxa"/>
            <w:vAlign w:val="top"/>
          </w:tcPr>
          <w:p>
            <w:pPr>
              <w:keepNext w:val="0"/>
              <w:keepLines w:val="0"/>
              <w:suppressLineNumbers w:val="0"/>
              <w:spacing w:before="0" w:beforeAutospacing="0" w:after="0" w:afterAutospacing="0"/>
              <w:ind w:left="0" w:right="0"/>
              <w:rPr>
                <w:rFonts w:hint="default" w:ascii="Arial"/>
                <w:sz w:val="21"/>
              </w:rPr>
            </w:pPr>
          </w:p>
        </w:tc>
        <w:tc>
          <w:tcPr>
            <w:tcW w:w="1667" w:type="dxa"/>
            <w:vAlign w:val="top"/>
          </w:tcPr>
          <w:p>
            <w:pPr>
              <w:keepNext w:val="0"/>
              <w:keepLines w:val="0"/>
              <w:suppressLineNumbers w:val="0"/>
              <w:spacing w:before="0" w:beforeAutospacing="0" w:after="0" w:afterAutospacing="0"/>
              <w:ind w:left="0" w:right="0"/>
              <w:rPr>
                <w:rFonts w:hint="default" w:ascii="Arial"/>
                <w:sz w:val="21"/>
              </w:rPr>
            </w:pPr>
          </w:p>
        </w:tc>
        <w:tc>
          <w:tcPr>
            <w:tcW w:w="167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243" w:type="dxa"/>
            <w:gridSpan w:val="2"/>
            <w:vAlign w:val="top"/>
          </w:tcPr>
          <w:p>
            <w:pPr>
              <w:pStyle w:val="72"/>
              <w:keepNext w:val="0"/>
              <w:keepLines w:val="0"/>
              <w:suppressLineNumbers w:val="0"/>
              <w:spacing w:before="123" w:beforeAutospacing="0" w:after="0" w:afterAutospacing="0" w:line="324" w:lineRule="exact"/>
              <w:ind w:left="930" w:right="0"/>
              <w:rPr>
                <w:rFonts w:hint="default"/>
              </w:rPr>
            </w:pPr>
            <w:r>
              <w:rPr>
                <w:rFonts w:hint="default"/>
                <w:spacing w:val="-5"/>
                <w:position w:val="2"/>
              </w:rPr>
              <w:t>……</w:t>
            </w:r>
          </w:p>
        </w:tc>
        <w:tc>
          <w:tcPr>
            <w:tcW w:w="1600" w:type="dxa"/>
            <w:vAlign w:val="top"/>
          </w:tcPr>
          <w:p>
            <w:pPr>
              <w:keepNext w:val="0"/>
              <w:keepLines w:val="0"/>
              <w:suppressLineNumbers w:val="0"/>
              <w:spacing w:before="0" w:beforeAutospacing="0" w:after="0" w:afterAutospacing="0"/>
              <w:ind w:left="0" w:right="0"/>
              <w:rPr>
                <w:rFonts w:hint="default" w:ascii="Arial"/>
                <w:sz w:val="21"/>
              </w:rPr>
            </w:pPr>
          </w:p>
        </w:tc>
        <w:tc>
          <w:tcPr>
            <w:tcW w:w="1665" w:type="dxa"/>
            <w:vAlign w:val="top"/>
          </w:tcPr>
          <w:p>
            <w:pPr>
              <w:keepNext w:val="0"/>
              <w:keepLines w:val="0"/>
              <w:suppressLineNumbers w:val="0"/>
              <w:spacing w:before="0" w:beforeAutospacing="0" w:after="0" w:afterAutospacing="0"/>
              <w:ind w:left="0" w:right="0"/>
              <w:rPr>
                <w:rFonts w:hint="default" w:ascii="Arial"/>
                <w:sz w:val="21"/>
              </w:rPr>
            </w:pPr>
          </w:p>
        </w:tc>
        <w:tc>
          <w:tcPr>
            <w:tcW w:w="1667" w:type="dxa"/>
            <w:vAlign w:val="top"/>
          </w:tcPr>
          <w:p>
            <w:pPr>
              <w:keepNext w:val="0"/>
              <w:keepLines w:val="0"/>
              <w:suppressLineNumbers w:val="0"/>
              <w:spacing w:before="0" w:beforeAutospacing="0" w:after="0" w:afterAutospacing="0"/>
              <w:ind w:left="0" w:right="0"/>
              <w:rPr>
                <w:rFonts w:hint="default" w:ascii="Arial"/>
                <w:sz w:val="21"/>
              </w:rPr>
            </w:pPr>
          </w:p>
        </w:tc>
        <w:tc>
          <w:tcPr>
            <w:tcW w:w="167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2243" w:type="dxa"/>
            <w:gridSpan w:val="2"/>
            <w:vAlign w:val="top"/>
          </w:tcPr>
          <w:p>
            <w:pPr>
              <w:pStyle w:val="72"/>
              <w:keepNext w:val="0"/>
              <w:keepLines w:val="0"/>
              <w:suppressLineNumbers w:val="0"/>
              <w:spacing w:before="120" w:beforeAutospacing="0" w:after="0" w:afterAutospacing="0" w:line="325" w:lineRule="exact"/>
              <w:ind w:left="930" w:right="0"/>
              <w:rPr>
                <w:rFonts w:hint="default"/>
              </w:rPr>
            </w:pPr>
            <w:r>
              <w:rPr>
                <w:rFonts w:hint="default"/>
                <w:spacing w:val="-5"/>
                <w:position w:val="2"/>
              </w:rPr>
              <w:t>……</w:t>
            </w:r>
          </w:p>
        </w:tc>
        <w:tc>
          <w:tcPr>
            <w:tcW w:w="1600" w:type="dxa"/>
            <w:vAlign w:val="top"/>
          </w:tcPr>
          <w:p>
            <w:pPr>
              <w:keepNext w:val="0"/>
              <w:keepLines w:val="0"/>
              <w:suppressLineNumbers w:val="0"/>
              <w:spacing w:before="0" w:beforeAutospacing="0" w:after="0" w:afterAutospacing="0"/>
              <w:ind w:left="0" w:right="0"/>
              <w:rPr>
                <w:rFonts w:hint="default" w:ascii="Arial"/>
                <w:sz w:val="21"/>
              </w:rPr>
            </w:pPr>
          </w:p>
        </w:tc>
        <w:tc>
          <w:tcPr>
            <w:tcW w:w="1665" w:type="dxa"/>
            <w:vAlign w:val="top"/>
          </w:tcPr>
          <w:p>
            <w:pPr>
              <w:keepNext w:val="0"/>
              <w:keepLines w:val="0"/>
              <w:suppressLineNumbers w:val="0"/>
              <w:spacing w:before="0" w:beforeAutospacing="0" w:after="0" w:afterAutospacing="0"/>
              <w:ind w:left="0" w:right="0"/>
              <w:rPr>
                <w:rFonts w:hint="default" w:ascii="Arial"/>
                <w:sz w:val="21"/>
              </w:rPr>
            </w:pPr>
          </w:p>
        </w:tc>
        <w:tc>
          <w:tcPr>
            <w:tcW w:w="1667" w:type="dxa"/>
            <w:vAlign w:val="top"/>
          </w:tcPr>
          <w:p>
            <w:pPr>
              <w:keepNext w:val="0"/>
              <w:keepLines w:val="0"/>
              <w:suppressLineNumbers w:val="0"/>
              <w:spacing w:before="0" w:beforeAutospacing="0" w:after="0" w:afterAutospacing="0"/>
              <w:ind w:left="0" w:right="0"/>
              <w:rPr>
                <w:rFonts w:hint="default" w:ascii="Arial"/>
                <w:sz w:val="21"/>
              </w:rPr>
            </w:pPr>
          </w:p>
        </w:tc>
        <w:tc>
          <w:tcPr>
            <w:tcW w:w="167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243" w:type="dxa"/>
            <w:gridSpan w:val="2"/>
            <w:vAlign w:val="top"/>
          </w:tcPr>
          <w:p>
            <w:pPr>
              <w:pStyle w:val="72"/>
              <w:keepNext w:val="0"/>
              <w:keepLines w:val="0"/>
              <w:suppressLineNumbers w:val="0"/>
              <w:spacing w:before="124" w:beforeAutospacing="0" w:after="0" w:afterAutospacing="0" w:line="323" w:lineRule="exact"/>
              <w:ind w:left="930" w:right="0"/>
              <w:rPr>
                <w:rFonts w:hint="default"/>
              </w:rPr>
            </w:pPr>
            <w:r>
              <w:rPr>
                <w:rFonts w:hint="default"/>
                <w:spacing w:val="-5"/>
                <w:position w:val="2"/>
              </w:rPr>
              <w:t>……</w:t>
            </w:r>
          </w:p>
        </w:tc>
        <w:tc>
          <w:tcPr>
            <w:tcW w:w="1600" w:type="dxa"/>
            <w:vAlign w:val="top"/>
          </w:tcPr>
          <w:p>
            <w:pPr>
              <w:keepNext w:val="0"/>
              <w:keepLines w:val="0"/>
              <w:suppressLineNumbers w:val="0"/>
              <w:spacing w:before="0" w:beforeAutospacing="0" w:after="0" w:afterAutospacing="0"/>
              <w:ind w:left="0" w:right="0"/>
              <w:rPr>
                <w:rFonts w:hint="default" w:ascii="Arial"/>
                <w:sz w:val="21"/>
              </w:rPr>
            </w:pPr>
          </w:p>
        </w:tc>
        <w:tc>
          <w:tcPr>
            <w:tcW w:w="1665" w:type="dxa"/>
            <w:vAlign w:val="top"/>
          </w:tcPr>
          <w:p>
            <w:pPr>
              <w:keepNext w:val="0"/>
              <w:keepLines w:val="0"/>
              <w:suppressLineNumbers w:val="0"/>
              <w:spacing w:before="0" w:beforeAutospacing="0" w:after="0" w:afterAutospacing="0"/>
              <w:ind w:left="0" w:right="0"/>
              <w:rPr>
                <w:rFonts w:hint="default" w:ascii="Arial"/>
                <w:sz w:val="21"/>
              </w:rPr>
            </w:pPr>
          </w:p>
        </w:tc>
        <w:tc>
          <w:tcPr>
            <w:tcW w:w="1667" w:type="dxa"/>
            <w:vAlign w:val="top"/>
          </w:tcPr>
          <w:p>
            <w:pPr>
              <w:keepNext w:val="0"/>
              <w:keepLines w:val="0"/>
              <w:suppressLineNumbers w:val="0"/>
              <w:spacing w:before="0" w:beforeAutospacing="0" w:after="0" w:afterAutospacing="0"/>
              <w:ind w:left="0" w:right="0"/>
              <w:rPr>
                <w:rFonts w:hint="default" w:ascii="Arial"/>
                <w:sz w:val="21"/>
              </w:rPr>
            </w:pPr>
          </w:p>
        </w:tc>
        <w:tc>
          <w:tcPr>
            <w:tcW w:w="167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2243" w:type="dxa"/>
            <w:gridSpan w:val="2"/>
            <w:vAlign w:val="top"/>
          </w:tcPr>
          <w:p>
            <w:pPr>
              <w:keepNext w:val="0"/>
              <w:keepLines w:val="0"/>
              <w:suppressLineNumbers w:val="0"/>
              <w:spacing w:before="0" w:beforeAutospacing="0" w:after="0" w:afterAutospacing="0"/>
              <w:ind w:left="0" w:right="0"/>
              <w:rPr>
                <w:rFonts w:hint="default" w:ascii="Arial"/>
                <w:sz w:val="21"/>
              </w:rPr>
            </w:pPr>
          </w:p>
        </w:tc>
        <w:tc>
          <w:tcPr>
            <w:tcW w:w="1600" w:type="dxa"/>
            <w:vAlign w:val="top"/>
          </w:tcPr>
          <w:p>
            <w:pPr>
              <w:keepNext w:val="0"/>
              <w:keepLines w:val="0"/>
              <w:suppressLineNumbers w:val="0"/>
              <w:spacing w:before="0" w:beforeAutospacing="0" w:after="0" w:afterAutospacing="0"/>
              <w:ind w:left="0" w:right="0"/>
              <w:rPr>
                <w:rFonts w:hint="default" w:ascii="Arial"/>
                <w:sz w:val="21"/>
              </w:rPr>
            </w:pPr>
          </w:p>
        </w:tc>
        <w:tc>
          <w:tcPr>
            <w:tcW w:w="1665" w:type="dxa"/>
            <w:vAlign w:val="top"/>
          </w:tcPr>
          <w:p>
            <w:pPr>
              <w:keepNext w:val="0"/>
              <w:keepLines w:val="0"/>
              <w:suppressLineNumbers w:val="0"/>
              <w:spacing w:before="0" w:beforeAutospacing="0" w:after="0" w:afterAutospacing="0"/>
              <w:ind w:left="0" w:right="0"/>
              <w:rPr>
                <w:rFonts w:hint="default" w:ascii="Arial"/>
                <w:sz w:val="21"/>
              </w:rPr>
            </w:pPr>
          </w:p>
        </w:tc>
        <w:tc>
          <w:tcPr>
            <w:tcW w:w="1667" w:type="dxa"/>
            <w:vAlign w:val="top"/>
          </w:tcPr>
          <w:p>
            <w:pPr>
              <w:keepNext w:val="0"/>
              <w:keepLines w:val="0"/>
              <w:suppressLineNumbers w:val="0"/>
              <w:spacing w:before="0" w:beforeAutospacing="0" w:after="0" w:afterAutospacing="0"/>
              <w:ind w:left="0" w:right="0"/>
              <w:rPr>
                <w:rFonts w:hint="default" w:ascii="Arial"/>
                <w:sz w:val="21"/>
              </w:rPr>
            </w:pPr>
          </w:p>
        </w:tc>
        <w:tc>
          <w:tcPr>
            <w:tcW w:w="167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243" w:type="dxa"/>
            <w:gridSpan w:val="2"/>
            <w:vAlign w:val="top"/>
          </w:tcPr>
          <w:p>
            <w:pPr>
              <w:pStyle w:val="72"/>
              <w:keepNext w:val="0"/>
              <w:keepLines w:val="0"/>
              <w:suppressLineNumbers w:val="0"/>
              <w:spacing w:before="124" w:beforeAutospacing="0" w:after="0" w:afterAutospacing="0" w:line="221" w:lineRule="auto"/>
              <w:ind w:left="600" w:right="0"/>
              <w:rPr>
                <w:rFonts w:hint="default"/>
              </w:rPr>
            </w:pPr>
            <w:r>
              <w:rPr>
                <w:rFonts w:hint="default"/>
                <w:spacing w:val="-1"/>
              </w:rPr>
              <w:t>缺陷责任期</w:t>
            </w:r>
          </w:p>
        </w:tc>
        <w:tc>
          <w:tcPr>
            <w:tcW w:w="1600" w:type="dxa"/>
            <w:vAlign w:val="top"/>
          </w:tcPr>
          <w:p>
            <w:pPr>
              <w:keepNext w:val="0"/>
              <w:keepLines w:val="0"/>
              <w:suppressLineNumbers w:val="0"/>
              <w:spacing w:before="0" w:beforeAutospacing="0" w:after="0" w:afterAutospacing="0"/>
              <w:ind w:left="0" w:right="0"/>
              <w:rPr>
                <w:rFonts w:hint="default" w:ascii="Arial"/>
                <w:sz w:val="21"/>
              </w:rPr>
            </w:pPr>
          </w:p>
        </w:tc>
        <w:tc>
          <w:tcPr>
            <w:tcW w:w="1665" w:type="dxa"/>
            <w:vAlign w:val="top"/>
          </w:tcPr>
          <w:p>
            <w:pPr>
              <w:keepNext w:val="0"/>
              <w:keepLines w:val="0"/>
              <w:suppressLineNumbers w:val="0"/>
              <w:spacing w:before="0" w:beforeAutospacing="0" w:after="0" w:afterAutospacing="0"/>
              <w:ind w:left="0" w:right="0"/>
              <w:rPr>
                <w:rFonts w:hint="default" w:ascii="Arial"/>
                <w:sz w:val="21"/>
              </w:rPr>
            </w:pPr>
          </w:p>
        </w:tc>
        <w:tc>
          <w:tcPr>
            <w:tcW w:w="1667" w:type="dxa"/>
            <w:vAlign w:val="top"/>
          </w:tcPr>
          <w:p>
            <w:pPr>
              <w:keepNext w:val="0"/>
              <w:keepLines w:val="0"/>
              <w:suppressLineNumbers w:val="0"/>
              <w:spacing w:before="0" w:beforeAutospacing="0" w:after="0" w:afterAutospacing="0"/>
              <w:ind w:left="0" w:right="0"/>
              <w:rPr>
                <w:rFonts w:hint="default" w:ascii="Arial"/>
                <w:sz w:val="21"/>
              </w:rPr>
            </w:pPr>
          </w:p>
        </w:tc>
        <w:tc>
          <w:tcPr>
            <w:tcW w:w="167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2243" w:type="dxa"/>
            <w:gridSpan w:val="2"/>
            <w:vAlign w:val="top"/>
          </w:tcPr>
          <w:p>
            <w:pPr>
              <w:pStyle w:val="72"/>
              <w:keepNext w:val="0"/>
              <w:keepLines w:val="0"/>
              <w:suppressLineNumbers w:val="0"/>
              <w:spacing w:before="122" w:beforeAutospacing="0" w:after="0" w:afterAutospacing="0" w:line="222" w:lineRule="auto"/>
              <w:ind w:left="923" w:right="0"/>
              <w:rPr>
                <w:rFonts w:hint="default"/>
              </w:rPr>
            </w:pPr>
            <w:r>
              <w:rPr>
                <w:rFonts w:hint="default"/>
                <w:spacing w:val="-3"/>
              </w:rPr>
              <w:t>小计</w:t>
            </w:r>
          </w:p>
        </w:tc>
        <w:tc>
          <w:tcPr>
            <w:tcW w:w="1600" w:type="dxa"/>
            <w:vAlign w:val="top"/>
          </w:tcPr>
          <w:p>
            <w:pPr>
              <w:keepNext w:val="0"/>
              <w:keepLines w:val="0"/>
              <w:suppressLineNumbers w:val="0"/>
              <w:spacing w:before="0" w:beforeAutospacing="0" w:after="0" w:afterAutospacing="0"/>
              <w:ind w:left="0" w:right="0"/>
              <w:rPr>
                <w:rFonts w:hint="default" w:ascii="Arial"/>
                <w:sz w:val="21"/>
              </w:rPr>
            </w:pPr>
          </w:p>
        </w:tc>
        <w:tc>
          <w:tcPr>
            <w:tcW w:w="1665" w:type="dxa"/>
            <w:vAlign w:val="top"/>
          </w:tcPr>
          <w:p>
            <w:pPr>
              <w:pStyle w:val="72"/>
              <w:keepNext w:val="0"/>
              <w:keepLines w:val="0"/>
              <w:suppressLineNumbers w:val="0"/>
              <w:spacing w:before="156" w:beforeAutospacing="0" w:after="0" w:afterAutospacing="0" w:line="183" w:lineRule="auto"/>
              <w:ind w:left="539" w:right="0"/>
              <w:rPr>
                <w:rFonts w:hint="default"/>
              </w:rPr>
            </w:pPr>
            <w:r>
              <w:rPr>
                <w:rFonts w:hint="default"/>
                <w:spacing w:val="-3"/>
              </w:rPr>
              <w:t>100.00</w:t>
            </w:r>
          </w:p>
        </w:tc>
        <w:tc>
          <w:tcPr>
            <w:tcW w:w="1667" w:type="dxa"/>
            <w:vAlign w:val="top"/>
          </w:tcPr>
          <w:p>
            <w:pPr>
              <w:keepNext w:val="0"/>
              <w:keepLines w:val="0"/>
              <w:suppressLineNumbers w:val="0"/>
              <w:spacing w:before="0" w:beforeAutospacing="0" w:after="0" w:afterAutospacing="0"/>
              <w:ind w:left="0" w:right="0"/>
              <w:rPr>
                <w:rFonts w:hint="default" w:ascii="Arial"/>
                <w:sz w:val="21"/>
              </w:rPr>
            </w:pPr>
          </w:p>
        </w:tc>
        <w:tc>
          <w:tcPr>
            <w:tcW w:w="1670" w:type="dxa"/>
            <w:vAlign w:val="top"/>
          </w:tcPr>
          <w:p>
            <w:pPr>
              <w:keepNext w:val="0"/>
              <w:keepLines w:val="0"/>
              <w:suppressLineNumbers w:val="0"/>
              <w:spacing w:before="0" w:beforeAutospacing="0" w:after="0" w:afterAutospacing="0"/>
              <w:ind w:left="0" w:right="0"/>
              <w:rPr>
                <w:rFonts w:hint="default"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845" w:type="dxa"/>
            <w:gridSpan w:val="6"/>
            <w:vAlign w:val="top"/>
          </w:tcPr>
          <w:p>
            <w:pPr>
              <w:pStyle w:val="72"/>
              <w:keepNext w:val="0"/>
              <w:keepLines w:val="0"/>
              <w:suppressLineNumbers w:val="0"/>
              <w:spacing w:before="165" w:beforeAutospacing="0" w:after="0" w:afterAutospacing="0" w:line="219" w:lineRule="auto"/>
              <w:ind w:left="118" w:right="0"/>
              <w:rPr>
                <w:rFonts w:hint="default"/>
              </w:rPr>
            </w:pPr>
            <w:r>
              <w:rPr>
                <w:rFonts w:hint="default"/>
                <w:spacing w:val="-2"/>
              </w:rPr>
              <w:t>投标价：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1" w:hRule="atLeast"/>
        </w:trPr>
        <w:tc>
          <w:tcPr>
            <w:tcW w:w="568" w:type="dxa"/>
            <w:textDirection w:val="tbRlV"/>
            <w:vAlign w:val="top"/>
          </w:tcPr>
          <w:p>
            <w:pPr>
              <w:pStyle w:val="72"/>
              <w:keepNext w:val="0"/>
              <w:keepLines w:val="0"/>
              <w:suppressLineNumbers w:val="0"/>
              <w:spacing w:before="176" w:beforeAutospacing="0" w:after="0" w:afterAutospacing="0" w:line="207" w:lineRule="auto"/>
              <w:ind w:left="657" w:right="0"/>
              <w:rPr>
                <w:rFonts w:hint="default"/>
              </w:rPr>
            </w:pPr>
            <w:r>
              <w:rPr>
                <w:rFonts w:hint="default"/>
                <w:spacing w:val="1"/>
              </w:rPr>
              <w:t>说明</w:t>
            </w:r>
          </w:p>
        </w:tc>
        <w:tc>
          <w:tcPr>
            <w:tcW w:w="8277" w:type="dxa"/>
            <w:gridSpan w:val="5"/>
            <w:vAlign w:val="top"/>
          </w:tcPr>
          <w:p>
            <w:pPr>
              <w:keepNext w:val="0"/>
              <w:keepLines w:val="0"/>
              <w:suppressLineNumbers w:val="0"/>
              <w:spacing w:before="0" w:beforeAutospacing="0" w:after="0" w:afterAutospacing="0"/>
              <w:ind w:left="0" w:right="0"/>
              <w:rPr>
                <w:rFonts w:hint="default" w:ascii="Arial"/>
                <w:sz w:val="21"/>
              </w:rPr>
            </w:pPr>
          </w:p>
        </w:tc>
      </w:tr>
    </w:tbl>
    <w:p>
      <w:pPr>
        <w:spacing w:before="63" w:line="219" w:lineRule="auto"/>
        <w:rPr>
          <w:rFonts w:ascii="宋体" w:hAnsi="宋体" w:eastAsia="宋体" w:cs="宋体"/>
          <w:sz w:val="21"/>
          <w:szCs w:val="21"/>
        </w:rPr>
      </w:pPr>
      <w:r>
        <w:rPr>
          <w:rFonts w:ascii="宋体" w:hAnsi="宋体" w:eastAsia="宋体" w:cs="宋体"/>
          <w:spacing w:val="-1"/>
          <w:sz w:val="21"/>
          <w:szCs w:val="21"/>
        </w:rPr>
        <w:t>注：</w:t>
      </w:r>
      <w:r>
        <w:rPr>
          <w:rFonts w:ascii="Times New Roman" w:hAnsi="Times New Roman" w:eastAsia="Times New Roman" w:cs="Times New Roman"/>
          <w:spacing w:val="-1"/>
          <w:sz w:val="21"/>
          <w:szCs w:val="21"/>
        </w:rPr>
        <w:t>1.</w:t>
      </w:r>
      <w:r>
        <w:rPr>
          <w:rFonts w:ascii="宋体" w:hAnsi="宋体" w:eastAsia="宋体" w:cs="宋体"/>
          <w:spacing w:val="-1"/>
          <w:sz w:val="21"/>
          <w:szCs w:val="21"/>
        </w:rPr>
        <w:t>投标人可按附表一的工程进度估算并填写本表。</w:t>
      </w:r>
    </w:p>
    <w:p>
      <w:pPr>
        <w:spacing w:before="72" w:line="249" w:lineRule="auto"/>
        <w:ind w:left="23" w:firstLine="392"/>
        <w:rPr>
          <w:rFonts w:ascii="宋体" w:hAnsi="宋体" w:eastAsia="宋体" w:cs="宋体"/>
          <w:sz w:val="21"/>
          <w:szCs w:val="21"/>
        </w:rPr>
      </w:pPr>
      <w:r>
        <w:rPr>
          <w:rFonts w:ascii="Times New Roman" w:hAnsi="Times New Roman" w:eastAsia="Times New Roman" w:cs="Times New Roman"/>
          <w:spacing w:val="-4"/>
          <w:sz w:val="21"/>
          <w:szCs w:val="21"/>
        </w:rPr>
        <w:t>2.</w:t>
      </w:r>
      <w:r>
        <w:rPr>
          <w:rFonts w:ascii="宋体" w:hAnsi="宋体" w:eastAsia="宋体" w:cs="宋体"/>
          <w:spacing w:val="-4"/>
          <w:sz w:val="21"/>
          <w:szCs w:val="21"/>
        </w:rPr>
        <w:t>用款额按所报单价和总额价估算，不包括价格调整和暂列金额、暂估价，但应考虑开</w:t>
      </w:r>
      <w:r>
        <w:rPr>
          <w:rFonts w:ascii="宋体" w:hAnsi="宋体" w:eastAsia="宋体" w:cs="宋体"/>
          <w:spacing w:val="-5"/>
          <w:sz w:val="21"/>
          <w:szCs w:val="21"/>
        </w:rPr>
        <w:t>工预付款的扣回</w:t>
      </w:r>
      <w:r>
        <w:rPr>
          <w:rFonts w:ascii="宋体" w:hAnsi="宋体" w:eastAsia="宋体" w:cs="宋体"/>
          <w:spacing w:val="-3"/>
          <w:sz w:val="21"/>
          <w:szCs w:val="21"/>
        </w:rPr>
        <w:t>以及签发付款证书后到实际支付的时间间隔。</w:t>
      </w:r>
    </w:p>
    <w:p>
      <w:pPr>
        <w:pageBreakBefore w:val="0"/>
        <w:kinsoku/>
        <w:overflowPunct/>
        <w:bidi w:val="0"/>
        <w:spacing w:beforeAutospacing="0" w:afterAutospacing="0" w:line="360" w:lineRule="auto"/>
        <w:ind w:left="0" w:leftChars="0" w:right="0"/>
        <w:rPr>
          <w:rFonts w:hint="eastAsia" w:ascii="宋体" w:hAnsi="宋体" w:eastAsia="宋体" w:cs="宋体"/>
          <w:highlight w:val="none"/>
        </w:rPr>
      </w:pPr>
    </w:p>
    <w:sectPr>
      <w:footerReference r:id="rId52" w:type="default"/>
      <w:footnotePr>
        <w:numFmt w:val="decimalEnclosedCircle"/>
      </w:footnotePr>
      <w:pgSz w:w="11906" w:h="16838"/>
      <w:pgMar w:top="1440" w:right="1026" w:bottom="1440" w:left="1219"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仿宋_GB2312">
    <w:altName w:val="仿宋"/>
    <w:panose1 w:val="02010609030101010101"/>
    <w:charset w:val="86"/>
    <w:family w:val="roma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Noto Sans CJK JP Regular">
    <w:altName w:val="Courier New"/>
    <w:panose1 w:val="00000000000000000000"/>
    <w:charset w:val="00"/>
    <w:family w:val="swiss"/>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Arial Unicode MS">
    <w:altName w:val="Arial"/>
    <w:panose1 w:val="020B0604020202020204"/>
    <w:charset w:val="00"/>
    <w:family w:val="roman"/>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00" w:usb3="00000000" w:csb0="00000000" w:csb1="00000000"/>
  </w:font>
  <w:font w:name="TimesNewRomanPS-BoldMT">
    <w:altName w:val="Segoe Print"/>
    <w:panose1 w:val="00000000000000000000"/>
    <w:charset w:val="00"/>
    <w:family w:val="auto"/>
    <w:pitch w:val="default"/>
    <w:sig w:usb0="00000000" w:usb1="00000000" w:usb2="00000000" w:usb3="00000000" w:csb0="00000000" w:csb1="00000000"/>
  </w:font>
  <w:font w:name="Arial-BoldMT">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78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6H0o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Oh9KNAIAAGUEAAAOAAAAAAAAAAEAIAAAAB8BAABkcnMvZTJvRG9jLnhtbFBL&#10;BQYAAAAABgAGAFkBAADF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GgdY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Qfr6n3VXUDv&#10;WRa2+sHymCYK6e3qECBm0jgK1KnS64buS1XqJyW295/7FP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hoHWNAIAAGUEAAAOAAAAAAAAAAEAIAAAAB8BAABkcnMvZTJvRG9jLnhtbFBL&#10;BQYAAAAABgAGAFkBAADF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6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5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120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5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122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75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61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94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zw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n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rTzwMzAgAAZQ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125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7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126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75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Wav4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mr+NAIAAGUEAAAOAAAAAAAAAAEAIAAAAB8BAABkcnMvZTJvRG9jLnhtbFBL&#10;BQYAAAAABgAGAFkBAADF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127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713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q9GI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nq9GIzAgAAZQ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128</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722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oJhw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R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oJhwzAgAAZQ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129</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66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130</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713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131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59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132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65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fz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GLfzszAgAAZQ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133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65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134</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66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1M9k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b1M9kzAgAAZQ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135</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71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136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77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65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wliQ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5eU2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JYkNAIAAGUEAAAOAAAAAAAAAAEAIAAAAB8BAABkcnMvZTJvRG9jLnhtbFBL&#10;BQYAAAAABgAGAFkBAADF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137</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8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MC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1T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zAi4NAIAAGUEAAAOAAAAAAAAAAEAIAAAAB8BAABkcnMvZTJvRG9jLnhtbFBL&#10;BQYAAAAABgAGAFkBAADF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138</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5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O2sY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kO2sYzAgAAZQ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139</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7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yRFo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kRaNAIAAGUEAAAOAAAAAAAAAAEAIAAAAB8BAABkcnMvZTJvRG9jLnhtbFBL&#10;BQYAAAAABgAGAFkBAADF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140</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7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9rAQ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99rAQzAgAAZQ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141</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6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BMpg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wTKYNAIAAGUEAAAOAAAAAAAAAAEAIAAAAB8BAABkcnMvZTJvRG9jLnhtbFBL&#10;BQYAAAAABgAGAFkBAADF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142</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7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yGFI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AE8M0Sn768f30&#10;8+H06xtJh5CocWGGyHuH2Ni+sy3Ch/OAw8S8rbxOX3Ai8APseBFYtJHwdGk6mU5zuDh8wwb42eN1&#10;50N8L6wmySioRwU7YdlhE2IfOoSkbMaupVJdFZUhTUGvXr/N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yGFIzAgAAZQ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143</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Ohs4z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psxJYZptPz04/vp&#10;58Pp1zeSDiFR48IMkfcOsbF9Z1uED+cBh4l5W3mdvuBE4IfAx4vAoo2Ep0vTyXSaw8XhGzbAzx6v&#10;Ox/ie2E1SUZBPTrYCcsOmxD70CEkZTN2LZXquqgMaQp69fpt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3Ohs4zAgAAZQ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144</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5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MVL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M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DFSwNAIAAGUEAAAOAAAAAAAAAAEAIAAAAB8BAABkcnMvZTJvRG9jLnhtbFBL&#10;BQYAAAAABgAGAFkBAADF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145</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73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yiw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15fUW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sMosNAIAAGUEAAAOAAAAAAAAAAEAIAAAAB8BAABkcnMvZTJvRG9jLnhtbFBL&#10;BQYAAAAABgAGAFkBAADF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146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55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73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J8U00AgAAZ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FSWaKZT89P3b&#10;6cev08+vJB5Cotb6GSIfLGJD99Z0CB/OPQ4j865yKn7BicAPgY8XgUUXCI+XppPpNIeLwzdsgJ89&#10;XrfOh3fCKBKNgjpUMAnLDhsf+tAhJGbTZt1ImaooNWkLev3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ifFNNAIAAGUEAAAOAAAAAAAAAAEAIAAAAB8BAABkcnMvZTJvRG9jLnhtbFBL&#10;BQYAAAAABgAGAFkBAADF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147</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75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1b9E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NW/RNAIAAGUEAAAOAAAAAAAAAAEAIAAAAB8BAABkcnMvZTJvRG9jLnhtbFBL&#10;BQYAAAAABgAGAFkBAADF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148</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75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LIzM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SyMzNAIAAGUEAAAOAAAAAAAAAAEAIAAAAB8BAABkcnMvZTJvRG9jLnhtbFBL&#10;BQYAAAAABgAGAFkBAADF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150</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7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Ey20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g8IZplPz04/vp&#10;58Pp1zeSDiFR48IMkfcOsbF9Z1uED+cBh4l5W3mdvuBE4IfAx4vAoo2Ep0vTyXSaw8XhGzbAzx6v&#10;Ox/ie2E1SUZBPSrYCcsOmxD70CEkZTN2LZXqqqgMaQp69fpt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iEy20zAgAAZQ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151</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5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4VfE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jOFXxNAIAAGUEAAAOAAAAAAAAAAEAIAAAAB8BAABkcnMvZTJvRG9jLnhtbFBL&#10;BQYAAAAABgAGAFkBAADF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152</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U5IgxAgAAZQ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6VOSIMQIAAGU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153</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75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oehQzAgAAZQ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oehQzAgAAZQ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154</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74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0qqGo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0qqGozAgAAZQ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155</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thickThinSmallGap" w:color="auto" w:sz="24" w:space="2"/>
      </w:pBdr>
      <w:ind w:right="68"/>
      <w:rPr>
        <w:rFonts w:hint="eastAsia" w:eastAsia="仿宋_GB2312"/>
        <w:sz w:val="21"/>
        <w:szCs w:val="21"/>
      </w:rPr>
    </w:pPr>
    <w:r>
      <w:rPr>
        <w:sz w:val="21"/>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WNvY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9R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Gljb2NAIAAGUEAAAOAAAAAAAAAAEAIAAAAB8BAABkcnMvZTJvRG9jLnhtbFBL&#10;BQYAAAAABgAGAFkBAADF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156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6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78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78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78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78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46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4F3134"/>
    <w:multiLevelType w:val="multilevel"/>
    <w:tmpl w:val="8B4F3134"/>
    <w:lvl w:ilvl="0" w:tentative="0">
      <w:start w:val="4"/>
      <w:numFmt w:val="decimal"/>
      <w:lvlText w:val="%1."/>
      <w:lvlJc w:val="left"/>
      <w:pPr>
        <w:tabs>
          <w:tab w:val="left" w:pos="0"/>
        </w:tabs>
        <w:ind w:left="424" w:hanging="303"/>
      </w:pPr>
      <w:rPr>
        <w:rFonts w:hint="default" w:ascii="Times New Roman" w:hAnsi="Times New Roman" w:cs="Times New Roman"/>
        <w:spacing w:val="-1"/>
        <w:sz w:val="24"/>
        <w:szCs w:val="24"/>
      </w:rPr>
    </w:lvl>
    <w:lvl w:ilvl="1" w:tentative="0">
      <w:start w:val="0"/>
      <w:numFmt w:val="bullet"/>
      <w:lvlText w:val="•"/>
      <w:lvlJc w:val="left"/>
      <w:pPr>
        <w:tabs>
          <w:tab w:val="left" w:pos="0"/>
        </w:tabs>
        <w:ind w:left="1326" w:hanging="303"/>
      </w:pPr>
      <w:rPr>
        <w:rFonts w:hint="default" w:ascii="Times New Roman" w:hAnsi="Times New Roman" w:cs="Times New Roman"/>
      </w:rPr>
    </w:lvl>
    <w:lvl w:ilvl="2" w:tentative="0">
      <w:start w:val="0"/>
      <w:numFmt w:val="bullet"/>
      <w:lvlText w:val="•"/>
      <w:lvlJc w:val="left"/>
      <w:pPr>
        <w:tabs>
          <w:tab w:val="left" w:pos="0"/>
        </w:tabs>
        <w:ind w:left="2233" w:hanging="303"/>
      </w:pPr>
      <w:rPr>
        <w:rFonts w:hint="default" w:ascii="Times New Roman" w:hAnsi="Times New Roman" w:cs="Times New Roman"/>
      </w:rPr>
    </w:lvl>
    <w:lvl w:ilvl="3" w:tentative="0">
      <w:start w:val="0"/>
      <w:numFmt w:val="bullet"/>
      <w:lvlText w:val="•"/>
      <w:lvlJc w:val="left"/>
      <w:pPr>
        <w:tabs>
          <w:tab w:val="left" w:pos="0"/>
        </w:tabs>
        <w:ind w:left="3139" w:hanging="303"/>
      </w:pPr>
      <w:rPr>
        <w:rFonts w:hint="default" w:ascii="Times New Roman" w:hAnsi="Times New Roman" w:cs="Times New Roman"/>
      </w:rPr>
    </w:lvl>
    <w:lvl w:ilvl="4" w:tentative="0">
      <w:start w:val="0"/>
      <w:numFmt w:val="bullet"/>
      <w:lvlText w:val="•"/>
      <w:lvlJc w:val="left"/>
      <w:pPr>
        <w:tabs>
          <w:tab w:val="left" w:pos="0"/>
        </w:tabs>
        <w:ind w:left="4046" w:hanging="303"/>
      </w:pPr>
      <w:rPr>
        <w:rFonts w:hint="default" w:ascii="Times New Roman" w:hAnsi="Times New Roman" w:cs="Times New Roman"/>
      </w:rPr>
    </w:lvl>
    <w:lvl w:ilvl="5" w:tentative="0">
      <w:start w:val="0"/>
      <w:numFmt w:val="bullet"/>
      <w:lvlText w:val="•"/>
      <w:lvlJc w:val="left"/>
      <w:pPr>
        <w:tabs>
          <w:tab w:val="left" w:pos="0"/>
        </w:tabs>
        <w:ind w:left="4953" w:hanging="303"/>
      </w:pPr>
      <w:rPr>
        <w:rFonts w:hint="default" w:ascii="Times New Roman" w:hAnsi="Times New Roman" w:cs="Times New Roman"/>
      </w:rPr>
    </w:lvl>
    <w:lvl w:ilvl="6" w:tentative="0">
      <w:start w:val="0"/>
      <w:numFmt w:val="bullet"/>
      <w:lvlText w:val="•"/>
      <w:lvlJc w:val="left"/>
      <w:pPr>
        <w:tabs>
          <w:tab w:val="left" w:pos="0"/>
        </w:tabs>
        <w:ind w:left="5859" w:hanging="303"/>
      </w:pPr>
      <w:rPr>
        <w:rFonts w:hint="default" w:ascii="Times New Roman" w:hAnsi="Times New Roman" w:cs="Times New Roman"/>
      </w:rPr>
    </w:lvl>
    <w:lvl w:ilvl="7" w:tentative="0">
      <w:start w:val="0"/>
      <w:numFmt w:val="bullet"/>
      <w:lvlText w:val="•"/>
      <w:lvlJc w:val="left"/>
      <w:pPr>
        <w:tabs>
          <w:tab w:val="left" w:pos="0"/>
        </w:tabs>
        <w:ind w:left="6766" w:hanging="303"/>
      </w:pPr>
      <w:rPr>
        <w:rFonts w:hint="default" w:ascii="Times New Roman" w:hAnsi="Times New Roman" w:cs="Times New Roman"/>
      </w:rPr>
    </w:lvl>
    <w:lvl w:ilvl="8" w:tentative="0">
      <w:start w:val="0"/>
      <w:numFmt w:val="bullet"/>
      <w:lvlText w:val="•"/>
      <w:lvlJc w:val="left"/>
      <w:pPr>
        <w:tabs>
          <w:tab w:val="left" w:pos="0"/>
        </w:tabs>
        <w:ind w:left="7673" w:hanging="303"/>
      </w:pPr>
      <w:rPr>
        <w:rFonts w:hint="default" w:ascii="Times New Roman" w:hAnsi="Times New Roman" w:cs="Times New Roman"/>
      </w:rPr>
    </w:lvl>
  </w:abstractNum>
  <w:abstractNum w:abstractNumId="1">
    <w:nsid w:val="A151CFE8"/>
    <w:multiLevelType w:val="singleLevel"/>
    <w:tmpl w:val="A151CFE8"/>
    <w:lvl w:ilvl="0" w:tentative="0">
      <w:start w:val="1"/>
      <w:numFmt w:val="decimal"/>
      <w:suff w:val="nothing"/>
      <w:lvlText w:val="%1、"/>
      <w:lvlJc w:val="left"/>
    </w:lvl>
  </w:abstractNum>
  <w:abstractNum w:abstractNumId="2">
    <w:nsid w:val="A628C7C1"/>
    <w:multiLevelType w:val="singleLevel"/>
    <w:tmpl w:val="A628C7C1"/>
    <w:lvl w:ilvl="0" w:tentative="0">
      <w:start w:val="1"/>
      <w:numFmt w:val="decimal"/>
      <w:suff w:val="nothing"/>
      <w:lvlText w:val="%1）"/>
      <w:lvlJc w:val="left"/>
      <w:pPr>
        <w:ind w:left="525" w:leftChars="0" w:firstLine="0" w:firstLineChars="0"/>
      </w:pPr>
    </w:lvl>
  </w:abstractNum>
  <w:abstractNum w:abstractNumId="3">
    <w:nsid w:val="AD99B74C"/>
    <w:multiLevelType w:val="singleLevel"/>
    <w:tmpl w:val="AD99B74C"/>
    <w:lvl w:ilvl="0" w:tentative="0">
      <w:start w:val="1"/>
      <w:numFmt w:val="decimal"/>
      <w:suff w:val="nothing"/>
      <w:lvlText w:val="（%1）"/>
      <w:lvlJc w:val="left"/>
    </w:lvl>
  </w:abstractNum>
  <w:abstractNum w:abstractNumId="4">
    <w:nsid w:val="B37E197A"/>
    <w:multiLevelType w:val="singleLevel"/>
    <w:tmpl w:val="B37E197A"/>
    <w:lvl w:ilvl="0" w:tentative="0">
      <w:start w:val="1"/>
      <w:numFmt w:val="decimal"/>
      <w:suff w:val="nothing"/>
      <w:lvlText w:val="（%1）"/>
      <w:lvlJc w:val="left"/>
    </w:lvl>
  </w:abstractNum>
  <w:abstractNum w:abstractNumId="5">
    <w:nsid w:val="B5E69E8A"/>
    <w:multiLevelType w:val="singleLevel"/>
    <w:tmpl w:val="B5E69E8A"/>
    <w:lvl w:ilvl="0" w:tentative="0">
      <w:start w:val="1"/>
      <w:numFmt w:val="decimal"/>
      <w:suff w:val="nothing"/>
      <w:lvlText w:val="（%1）"/>
      <w:lvlJc w:val="left"/>
    </w:lvl>
  </w:abstractNum>
  <w:abstractNum w:abstractNumId="6">
    <w:nsid w:val="BCD44BE9"/>
    <w:multiLevelType w:val="singleLevel"/>
    <w:tmpl w:val="BCD44BE9"/>
    <w:lvl w:ilvl="0" w:tentative="0">
      <w:start w:val="1"/>
      <w:numFmt w:val="decimal"/>
      <w:suff w:val="nothing"/>
      <w:lvlText w:val="%1）"/>
      <w:lvlJc w:val="left"/>
      <w:pPr>
        <w:ind w:left="525" w:leftChars="0" w:firstLine="0" w:firstLineChars="0"/>
      </w:pPr>
    </w:lvl>
  </w:abstractNum>
  <w:abstractNum w:abstractNumId="7">
    <w:nsid w:val="BE8CE2EB"/>
    <w:multiLevelType w:val="singleLevel"/>
    <w:tmpl w:val="BE8CE2EB"/>
    <w:lvl w:ilvl="0" w:tentative="0">
      <w:start w:val="1"/>
      <w:numFmt w:val="lowerLetter"/>
      <w:lvlText w:val="%1."/>
      <w:lvlJc w:val="left"/>
      <w:pPr>
        <w:tabs>
          <w:tab w:val="left" w:pos="312"/>
        </w:tabs>
      </w:pPr>
    </w:lvl>
  </w:abstractNum>
  <w:abstractNum w:abstractNumId="8">
    <w:nsid w:val="CD64C5F6"/>
    <w:multiLevelType w:val="multilevel"/>
    <w:tmpl w:val="CD64C5F6"/>
    <w:lvl w:ilvl="0" w:tentative="0">
      <w:start w:val="1"/>
      <w:numFmt w:val="decimal"/>
      <w:lvlText w:val="%1."/>
      <w:lvlJc w:val="left"/>
      <w:pPr>
        <w:tabs>
          <w:tab w:val="left" w:pos="0"/>
        </w:tabs>
        <w:ind w:left="424" w:hanging="300"/>
      </w:pPr>
      <w:rPr>
        <w:rFonts w:hint="default" w:ascii="Times New Roman" w:hAnsi="Times New Roman" w:cs="Times New Roman"/>
        <w:sz w:val="24"/>
        <w:szCs w:val="24"/>
      </w:rPr>
    </w:lvl>
    <w:lvl w:ilvl="1" w:tentative="0">
      <w:start w:val="0"/>
      <w:numFmt w:val="bullet"/>
      <w:lvlText w:val="•"/>
      <w:lvlJc w:val="left"/>
      <w:pPr>
        <w:tabs>
          <w:tab w:val="left" w:pos="0"/>
        </w:tabs>
        <w:ind w:left="1326" w:hanging="300"/>
      </w:pPr>
      <w:rPr>
        <w:rFonts w:hint="default" w:ascii="Times New Roman" w:hAnsi="Times New Roman" w:cs="Times New Roman"/>
      </w:rPr>
    </w:lvl>
    <w:lvl w:ilvl="2" w:tentative="0">
      <w:start w:val="0"/>
      <w:numFmt w:val="bullet"/>
      <w:lvlText w:val="•"/>
      <w:lvlJc w:val="left"/>
      <w:pPr>
        <w:tabs>
          <w:tab w:val="left" w:pos="0"/>
        </w:tabs>
        <w:ind w:left="2233" w:hanging="300"/>
      </w:pPr>
      <w:rPr>
        <w:rFonts w:hint="default" w:ascii="Times New Roman" w:hAnsi="Times New Roman" w:cs="Times New Roman"/>
      </w:rPr>
    </w:lvl>
    <w:lvl w:ilvl="3" w:tentative="0">
      <w:start w:val="0"/>
      <w:numFmt w:val="bullet"/>
      <w:lvlText w:val="•"/>
      <w:lvlJc w:val="left"/>
      <w:pPr>
        <w:tabs>
          <w:tab w:val="left" w:pos="0"/>
        </w:tabs>
        <w:ind w:left="3139" w:hanging="300"/>
      </w:pPr>
      <w:rPr>
        <w:rFonts w:hint="default" w:ascii="Times New Roman" w:hAnsi="Times New Roman" w:cs="Times New Roman"/>
      </w:rPr>
    </w:lvl>
    <w:lvl w:ilvl="4" w:tentative="0">
      <w:start w:val="0"/>
      <w:numFmt w:val="bullet"/>
      <w:lvlText w:val="•"/>
      <w:lvlJc w:val="left"/>
      <w:pPr>
        <w:tabs>
          <w:tab w:val="left" w:pos="0"/>
        </w:tabs>
        <w:ind w:left="4046" w:hanging="300"/>
      </w:pPr>
      <w:rPr>
        <w:rFonts w:hint="default" w:ascii="Times New Roman" w:hAnsi="Times New Roman" w:cs="Times New Roman"/>
      </w:rPr>
    </w:lvl>
    <w:lvl w:ilvl="5" w:tentative="0">
      <w:start w:val="0"/>
      <w:numFmt w:val="bullet"/>
      <w:lvlText w:val="•"/>
      <w:lvlJc w:val="left"/>
      <w:pPr>
        <w:tabs>
          <w:tab w:val="left" w:pos="0"/>
        </w:tabs>
        <w:ind w:left="4953" w:hanging="300"/>
      </w:pPr>
      <w:rPr>
        <w:rFonts w:hint="default" w:ascii="Times New Roman" w:hAnsi="Times New Roman" w:cs="Times New Roman"/>
      </w:rPr>
    </w:lvl>
    <w:lvl w:ilvl="6" w:tentative="0">
      <w:start w:val="0"/>
      <w:numFmt w:val="bullet"/>
      <w:lvlText w:val="•"/>
      <w:lvlJc w:val="left"/>
      <w:pPr>
        <w:tabs>
          <w:tab w:val="left" w:pos="0"/>
        </w:tabs>
        <w:ind w:left="5859" w:hanging="300"/>
      </w:pPr>
      <w:rPr>
        <w:rFonts w:hint="default" w:ascii="Times New Roman" w:hAnsi="Times New Roman" w:cs="Times New Roman"/>
      </w:rPr>
    </w:lvl>
    <w:lvl w:ilvl="7" w:tentative="0">
      <w:start w:val="0"/>
      <w:numFmt w:val="bullet"/>
      <w:lvlText w:val="•"/>
      <w:lvlJc w:val="left"/>
      <w:pPr>
        <w:tabs>
          <w:tab w:val="left" w:pos="0"/>
        </w:tabs>
        <w:ind w:left="6766" w:hanging="300"/>
      </w:pPr>
      <w:rPr>
        <w:rFonts w:hint="default" w:ascii="Times New Roman" w:hAnsi="Times New Roman" w:cs="Times New Roman"/>
      </w:rPr>
    </w:lvl>
    <w:lvl w:ilvl="8" w:tentative="0">
      <w:start w:val="0"/>
      <w:numFmt w:val="bullet"/>
      <w:lvlText w:val="•"/>
      <w:lvlJc w:val="left"/>
      <w:pPr>
        <w:tabs>
          <w:tab w:val="left" w:pos="0"/>
        </w:tabs>
        <w:ind w:left="7673" w:hanging="300"/>
      </w:pPr>
      <w:rPr>
        <w:rFonts w:hint="default" w:ascii="Times New Roman" w:hAnsi="Times New Roman" w:cs="Times New Roman"/>
      </w:rPr>
    </w:lvl>
  </w:abstractNum>
  <w:abstractNum w:abstractNumId="9">
    <w:nsid w:val="CDA55A66"/>
    <w:multiLevelType w:val="singleLevel"/>
    <w:tmpl w:val="CDA55A66"/>
    <w:lvl w:ilvl="0" w:tentative="0">
      <w:start w:val="1"/>
      <w:numFmt w:val="decimal"/>
      <w:suff w:val="nothing"/>
      <w:lvlText w:val="（%1）"/>
      <w:lvlJc w:val="left"/>
    </w:lvl>
  </w:abstractNum>
  <w:abstractNum w:abstractNumId="10">
    <w:nsid w:val="D808F80E"/>
    <w:multiLevelType w:val="singleLevel"/>
    <w:tmpl w:val="D808F80E"/>
    <w:lvl w:ilvl="0" w:tentative="0">
      <w:start w:val="8"/>
      <w:numFmt w:val="decimal"/>
      <w:suff w:val="nothing"/>
      <w:lvlText w:val="%1．"/>
      <w:lvlJc w:val="left"/>
      <w:pPr>
        <w:ind w:left="525" w:leftChars="0" w:firstLine="0" w:firstLineChars="0"/>
      </w:pPr>
    </w:lvl>
  </w:abstractNum>
  <w:abstractNum w:abstractNumId="11">
    <w:nsid w:val="D96F5EA4"/>
    <w:multiLevelType w:val="singleLevel"/>
    <w:tmpl w:val="D96F5EA4"/>
    <w:lvl w:ilvl="0" w:tentative="0">
      <w:start w:val="1"/>
      <w:numFmt w:val="decimal"/>
      <w:suff w:val="nothing"/>
      <w:lvlText w:val="（%1）"/>
      <w:lvlJc w:val="left"/>
      <w:pPr>
        <w:ind w:left="525" w:leftChars="0" w:firstLine="0" w:firstLineChars="0"/>
      </w:pPr>
    </w:lvl>
  </w:abstractNum>
  <w:abstractNum w:abstractNumId="12">
    <w:nsid w:val="E0AB929C"/>
    <w:multiLevelType w:val="singleLevel"/>
    <w:tmpl w:val="E0AB929C"/>
    <w:lvl w:ilvl="0" w:tentative="0">
      <w:start w:val="1"/>
      <w:numFmt w:val="decimal"/>
      <w:suff w:val="nothing"/>
      <w:lvlText w:val="（%1）"/>
      <w:lvlJc w:val="left"/>
    </w:lvl>
  </w:abstractNum>
  <w:abstractNum w:abstractNumId="13">
    <w:nsid w:val="E1D04013"/>
    <w:multiLevelType w:val="singleLevel"/>
    <w:tmpl w:val="E1D04013"/>
    <w:lvl w:ilvl="0" w:tentative="0">
      <w:start w:val="1"/>
      <w:numFmt w:val="decimal"/>
      <w:suff w:val="nothing"/>
      <w:lvlText w:val="（%1）"/>
      <w:lvlJc w:val="left"/>
    </w:lvl>
  </w:abstractNum>
  <w:abstractNum w:abstractNumId="14">
    <w:nsid w:val="E3C159DD"/>
    <w:multiLevelType w:val="singleLevel"/>
    <w:tmpl w:val="E3C159DD"/>
    <w:lvl w:ilvl="0" w:tentative="0">
      <w:start w:val="1"/>
      <w:numFmt w:val="decimal"/>
      <w:lvlText w:val="%1."/>
      <w:lvlJc w:val="left"/>
      <w:pPr>
        <w:tabs>
          <w:tab w:val="left" w:pos="312"/>
        </w:tabs>
      </w:pPr>
    </w:lvl>
  </w:abstractNum>
  <w:abstractNum w:abstractNumId="15">
    <w:nsid w:val="E92AE462"/>
    <w:multiLevelType w:val="singleLevel"/>
    <w:tmpl w:val="E92AE462"/>
    <w:lvl w:ilvl="0" w:tentative="0">
      <w:start w:val="1"/>
      <w:numFmt w:val="decimal"/>
      <w:suff w:val="nothing"/>
      <w:lvlText w:val="（%1）"/>
      <w:lvlJc w:val="left"/>
      <w:pPr>
        <w:ind w:left="525" w:leftChars="0" w:firstLine="0" w:firstLineChars="0"/>
      </w:pPr>
    </w:lvl>
  </w:abstractNum>
  <w:abstractNum w:abstractNumId="16">
    <w:nsid w:val="EA2C2AE7"/>
    <w:multiLevelType w:val="singleLevel"/>
    <w:tmpl w:val="EA2C2AE7"/>
    <w:lvl w:ilvl="0" w:tentative="0">
      <w:start w:val="1"/>
      <w:numFmt w:val="decimal"/>
      <w:suff w:val="nothing"/>
      <w:lvlText w:val="（%1）"/>
      <w:lvlJc w:val="left"/>
    </w:lvl>
  </w:abstractNum>
  <w:abstractNum w:abstractNumId="17">
    <w:nsid w:val="F60EC1AD"/>
    <w:multiLevelType w:val="singleLevel"/>
    <w:tmpl w:val="F60EC1AD"/>
    <w:lvl w:ilvl="0" w:tentative="0">
      <w:start w:val="3"/>
      <w:numFmt w:val="decimal"/>
      <w:suff w:val="nothing"/>
      <w:lvlText w:val="%1、"/>
      <w:lvlJc w:val="left"/>
    </w:lvl>
  </w:abstractNum>
  <w:abstractNum w:abstractNumId="18">
    <w:nsid w:val="F61F82B4"/>
    <w:multiLevelType w:val="singleLevel"/>
    <w:tmpl w:val="F61F82B4"/>
    <w:lvl w:ilvl="0" w:tentative="0">
      <w:start w:val="1"/>
      <w:numFmt w:val="decimal"/>
      <w:suff w:val="nothing"/>
      <w:lvlText w:val="（%1）"/>
      <w:lvlJc w:val="left"/>
    </w:lvl>
  </w:abstractNum>
  <w:abstractNum w:abstractNumId="19">
    <w:nsid w:val="1AE996FE"/>
    <w:multiLevelType w:val="singleLevel"/>
    <w:tmpl w:val="1AE996FE"/>
    <w:lvl w:ilvl="0" w:tentative="0">
      <w:start w:val="1"/>
      <w:numFmt w:val="decimal"/>
      <w:suff w:val="nothing"/>
      <w:lvlText w:val="（%1）"/>
      <w:lvlJc w:val="left"/>
    </w:lvl>
  </w:abstractNum>
  <w:abstractNum w:abstractNumId="20">
    <w:nsid w:val="2050BCBA"/>
    <w:multiLevelType w:val="singleLevel"/>
    <w:tmpl w:val="2050BCBA"/>
    <w:lvl w:ilvl="0" w:tentative="0">
      <w:start w:val="1"/>
      <w:numFmt w:val="decimal"/>
      <w:suff w:val="nothing"/>
      <w:lvlText w:val="（%1）"/>
      <w:lvlJc w:val="left"/>
    </w:lvl>
  </w:abstractNum>
  <w:abstractNum w:abstractNumId="21">
    <w:nsid w:val="21C7304B"/>
    <w:multiLevelType w:val="singleLevel"/>
    <w:tmpl w:val="21C7304B"/>
    <w:lvl w:ilvl="0" w:tentative="0">
      <w:start w:val="1"/>
      <w:numFmt w:val="lowerLetter"/>
      <w:lvlText w:val="%1."/>
      <w:lvlJc w:val="left"/>
      <w:pPr>
        <w:tabs>
          <w:tab w:val="left" w:pos="312"/>
        </w:tabs>
      </w:pPr>
    </w:lvl>
  </w:abstractNum>
  <w:abstractNum w:abstractNumId="22">
    <w:nsid w:val="22A7E3C1"/>
    <w:multiLevelType w:val="singleLevel"/>
    <w:tmpl w:val="22A7E3C1"/>
    <w:lvl w:ilvl="0" w:tentative="0">
      <w:start w:val="1"/>
      <w:numFmt w:val="decimal"/>
      <w:suff w:val="nothing"/>
      <w:lvlText w:val="（%1）"/>
      <w:lvlJc w:val="left"/>
    </w:lvl>
  </w:abstractNum>
  <w:abstractNum w:abstractNumId="23">
    <w:nsid w:val="22E41436"/>
    <w:multiLevelType w:val="singleLevel"/>
    <w:tmpl w:val="22E41436"/>
    <w:lvl w:ilvl="0" w:tentative="0">
      <w:start w:val="1"/>
      <w:numFmt w:val="decimal"/>
      <w:suff w:val="nothing"/>
      <w:lvlText w:val="（%1）"/>
      <w:lvlJc w:val="left"/>
      <w:pPr>
        <w:ind w:left="525" w:leftChars="0" w:firstLine="0" w:firstLineChars="0"/>
      </w:pPr>
    </w:lvl>
  </w:abstractNum>
  <w:abstractNum w:abstractNumId="24">
    <w:nsid w:val="26CBAC14"/>
    <w:multiLevelType w:val="singleLevel"/>
    <w:tmpl w:val="26CBAC14"/>
    <w:lvl w:ilvl="0" w:tentative="0">
      <w:start w:val="1"/>
      <w:numFmt w:val="decimal"/>
      <w:suff w:val="nothing"/>
      <w:lvlText w:val="（%1）"/>
      <w:lvlJc w:val="left"/>
    </w:lvl>
  </w:abstractNum>
  <w:abstractNum w:abstractNumId="25">
    <w:nsid w:val="29CDC6DF"/>
    <w:multiLevelType w:val="singleLevel"/>
    <w:tmpl w:val="29CDC6DF"/>
    <w:lvl w:ilvl="0" w:tentative="0">
      <w:start w:val="1"/>
      <w:numFmt w:val="decimal"/>
      <w:suff w:val="nothing"/>
      <w:lvlText w:val="（%1）"/>
      <w:lvlJc w:val="left"/>
    </w:lvl>
  </w:abstractNum>
  <w:abstractNum w:abstractNumId="26">
    <w:nsid w:val="2BF856A7"/>
    <w:multiLevelType w:val="singleLevel"/>
    <w:tmpl w:val="2BF856A7"/>
    <w:lvl w:ilvl="0" w:tentative="0">
      <w:start w:val="1"/>
      <w:numFmt w:val="decimal"/>
      <w:suff w:val="nothing"/>
      <w:lvlText w:val="（%1）"/>
      <w:lvlJc w:val="left"/>
      <w:pPr>
        <w:ind w:left="525" w:leftChars="0" w:firstLine="0" w:firstLineChars="0"/>
      </w:pPr>
    </w:lvl>
  </w:abstractNum>
  <w:abstractNum w:abstractNumId="27">
    <w:nsid w:val="2F5DD928"/>
    <w:multiLevelType w:val="singleLevel"/>
    <w:tmpl w:val="2F5DD928"/>
    <w:lvl w:ilvl="0" w:tentative="0">
      <w:start w:val="1"/>
      <w:numFmt w:val="decimal"/>
      <w:suff w:val="nothing"/>
      <w:lvlText w:val="（%1）"/>
      <w:lvlJc w:val="left"/>
    </w:lvl>
  </w:abstractNum>
  <w:abstractNum w:abstractNumId="28">
    <w:nsid w:val="345BD61B"/>
    <w:multiLevelType w:val="singleLevel"/>
    <w:tmpl w:val="345BD61B"/>
    <w:lvl w:ilvl="0" w:tentative="0">
      <w:start w:val="1"/>
      <w:numFmt w:val="decimal"/>
      <w:lvlText w:val="(%1)"/>
      <w:lvlJc w:val="left"/>
      <w:pPr>
        <w:tabs>
          <w:tab w:val="left" w:pos="312"/>
        </w:tabs>
      </w:pPr>
    </w:lvl>
  </w:abstractNum>
  <w:abstractNum w:abstractNumId="29">
    <w:nsid w:val="3654529C"/>
    <w:multiLevelType w:val="multilevel"/>
    <w:tmpl w:val="3654529C"/>
    <w:lvl w:ilvl="0" w:tentative="0">
      <w:start w:val="1"/>
      <w:numFmt w:val="decimal"/>
      <w:lvlText w:val="%1."/>
      <w:lvlJc w:val="left"/>
      <w:pPr>
        <w:tabs>
          <w:tab w:val="left" w:pos="0"/>
        </w:tabs>
        <w:ind w:left="424" w:hanging="300"/>
      </w:pPr>
      <w:rPr>
        <w:rFonts w:hint="default" w:ascii="Times New Roman" w:hAnsi="Times New Roman" w:cs="Times New Roman"/>
        <w:sz w:val="24"/>
        <w:szCs w:val="24"/>
      </w:rPr>
    </w:lvl>
    <w:lvl w:ilvl="1" w:tentative="0">
      <w:start w:val="0"/>
      <w:numFmt w:val="bullet"/>
      <w:lvlText w:val="•"/>
      <w:lvlJc w:val="left"/>
      <w:pPr>
        <w:tabs>
          <w:tab w:val="left" w:pos="0"/>
        </w:tabs>
        <w:ind w:left="1326" w:hanging="300"/>
      </w:pPr>
      <w:rPr>
        <w:rFonts w:hint="default" w:ascii="Times New Roman" w:hAnsi="Times New Roman" w:cs="Times New Roman"/>
      </w:rPr>
    </w:lvl>
    <w:lvl w:ilvl="2" w:tentative="0">
      <w:start w:val="0"/>
      <w:numFmt w:val="bullet"/>
      <w:lvlText w:val="•"/>
      <w:lvlJc w:val="left"/>
      <w:pPr>
        <w:tabs>
          <w:tab w:val="left" w:pos="0"/>
        </w:tabs>
        <w:ind w:left="2233" w:hanging="300"/>
      </w:pPr>
      <w:rPr>
        <w:rFonts w:hint="default" w:ascii="Times New Roman" w:hAnsi="Times New Roman" w:cs="Times New Roman"/>
      </w:rPr>
    </w:lvl>
    <w:lvl w:ilvl="3" w:tentative="0">
      <w:start w:val="0"/>
      <w:numFmt w:val="bullet"/>
      <w:lvlText w:val="•"/>
      <w:lvlJc w:val="left"/>
      <w:pPr>
        <w:tabs>
          <w:tab w:val="left" w:pos="0"/>
        </w:tabs>
        <w:ind w:left="3139" w:hanging="300"/>
      </w:pPr>
      <w:rPr>
        <w:rFonts w:hint="default" w:ascii="Times New Roman" w:hAnsi="Times New Roman" w:cs="Times New Roman"/>
      </w:rPr>
    </w:lvl>
    <w:lvl w:ilvl="4" w:tentative="0">
      <w:start w:val="0"/>
      <w:numFmt w:val="bullet"/>
      <w:lvlText w:val="•"/>
      <w:lvlJc w:val="left"/>
      <w:pPr>
        <w:tabs>
          <w:tab w:val="left" w:pos="0"/>
        </w:tabs>
        <w:ind w:left="4046" w:hanging="300"/>
      </w:pPr>
      <w:rPr>
        <w:rFonts w:hint="default" w:ascii="Times New Roman" w:hAnsi="Times New Roman" w:cs="Times New Roman"/>
      </w:rPr>
    </w:lvl>
    <w:lvl w:ilvl="5" w:tentative="0">
      <w:start w:val="0"/>
      <w:numFmt w:val="bullet"/>
      <w:lvlText w:val="•"/>
      <w:lvlJc w:val="left"/>
      <w:pPr>
        <w:tabs>
          <w:tab w:val="left" w:pos="0"/>
        </w:tabs>
        <w:ind w:left="4953" w:hanging="300"/>
      </w:pPr>
      <w:rPr>
        <w:rFonts w:hint="default" w:ascii="Times New Roman" w:hAnsi="Times New Roman" w:cs="Times New Roman"/>
      </w:rPr>
    </w:lvl>
    <w:lvl w:ilvl="6" w:tentative="0">
      <w:start w:val="0"/>
      <w:numFmt w:val="bullet"/>
      <w:lvlText w:val="•"/>
      <w:lvlJc w:val="left"/>
      <w:pPr>
        <w:tabs>
          <w:tab w:val="left" w:pos="0"/>
        </w:tabs>
        <w:ind w:left="5859" w:hanging="300"/>
      </w:pPr>
      <w:rPr>
        <w:rFonts w:hint="default" w:ascii="Times New Roman" w:hAnsi="Times New Roman" w:cs="Times New Roman"/>
      </w:rPr>
    </w:lvl>
    <w:lvl w:ilvl="7" w:tentative="0">
      <w:start w:val="0"/>
      <w:numFmt w:val="bullet"/>
      <w:lvlText w:val="•"/>
      <w:lvlJc w:val="left"/>
      <w:pPr>
        <w:tabs>
          <w:tab w:val="left" w:pos="0"/>
        </w:tabs>
        <w:ind w:left="6766" w:hanging="300"/>
      </w:pPr>
      <w:rPr>
        <w:rFonts w:hint="default" w:ascii="Times New Roman" w:hAnsi="Times New Roman" w:cs="Times New Roman"/>
      </w:rPr>
    </w:lvl>
    <w:lvl w:ilvl="8" w:tentative="0">
      <w:start w:val="0"/>
      <w:numFmt w:val="bullet"/>
      <w:lvlText w:val="•"/>
      <w:lvlJc w:val="left"/>
      <w:pPr>
        <w:tabs>
          <w:tab w:val="left" w:pos="0"/>
        </w:tabs>
        <w:ind w:left="7673" w:hanging="300"/>
      </w:pPr>
      <w:rPr>
        <w:rFonts w:hint="default" w:ascii="Times New Roman" w:hAnsi="Times New Roman" w:cs="Times New Roman"/>
      </w:rPr>
    </w:lvl>
  </w:abstractNum>
  <w:abstractNum w:abstractNumId="30">
    <w:nsid w:val="3A8B25E5"/>
    <w:multiLevelType w:val="singleLevel"/>
    <w:tmpl w:val="3A8B25E5"/>
    <w:lvl w:ilvl="0" w:tentative="0">
      <w:start w:val="1"/>
      <w:numFmt w:val="decimal"/>
      <w:suff w:val="nothing"/>
      <w:lvlText w:val="（%1）"/>
      <w:lvlJc w:val="left"/>
    </w:lvl>
  </w:abstractNum>
  <w:abstractNum w:abstractNumId="31">
    <w:nsid w:val="3DED7ED5"/>
    <w:multiLevelType w:val="singleLevel"/>
    <w:tmpl w:val="3DED7ED5"/>
    <w:lvl w:ilvl="0" w:tentative="0">
      <w:start w:val="1"/>
      <w:numFmt w:val="decimal"/>
      <w:suff w:val="nothing"/>
      <w:lvlText w:val="（%1）"/>
      <w:lvlJc w:val="left"/>
    </w:lvl>
  </w:abstractNum>
  <w:abstractNum w:abstractNumId="32">
    <w:nsid w:val="490FF5BB"/>
    <w:multiLevelType w:val="singleLevel"/>
    <w:tmpl w:val="490FF5BB"/>
    <w:lvl w:ilvl="0" w:tentative="0">
      <w:start w:val="26"/>
      <w:numFmt w:val="decimal"/>
      <w:suff w:val="space"/>
      <w:lvlText w:val="%1."/>
      <w:lvlJc w:val="left"/>
      <w:pPr>
        <w:ind w:left="630" w:leftChars="0" w:firstLine="0" w:firstLineChars="0"/>
      </w:pPr>
    </w:lvl>
  </w:abstractNum>
  <w:abstractNum w:abstractNumId="33">
    <w:nsid w:val="53FD63D0"/>
    <w:multiLevelType w:val="singleLevel"/>
    <w:tmpl w:val="53FD63D0"/>
    <w:lvl w:ilvl="0" w:tentative="0">
      <w:start w:val="1"/>
      <w:numFmt w:val="decimal"/>
      <w:suff w:val="nothing"/>
      <w:lvlText w:val="（%1）"/>
      <w:lvlJc w:val="left"/>
    </w:lvl>
  </w:abstractNum>
  <w:abstractNum w:abstractNumId="34">
    <w:nsid w:val="5823DB1F"/>
    <w:multiLevelType w:val="singleLevel"/>
    <w:tmpl w:val="5823DB1F"/>
    <w:lvl w:ilvl="0" w:tentative="0">
      <w:start w:val="17"/>
      <w:numFmt w:val="decimal"/>
      <w:suff w:val="nothing"/>
      <w:lvlText w:val="%1．"/>
      <w:lvlJc w:val="left"/>
    </w:lvl>
  </w:abstractNum>
  <w:abstractNum w:abstractNumId="35">
    <w:nsid w:val="61B4214D"/>
    <w:multiLevelType w:val="multilevel"/>
    <w:tmpl w:val="61B4214D"/>
    <w:lvl w:ilvl="0" w:tentative="0">
      <w:start w:val="1"/>
      <w:numFmt w:val="decimal"/>
      <w:lvlText w:val="%1."/>
      <w:lvlJc w:val="left"/>
      <w:pPr>
        <w:tabs>
          <w:tab w:val="left" w:pos="0"/>
        </w:tabs>
        <w:ind w:left="424" w:hanging="300"/>
      </w:pPr>
      <w:rPr>
        <w:rFonts w:hint="default" w:ascii="Times New Roman" w:hAnsi="Times New Roman" w:cs="Times New Roman"/>
        <w:spacing w:val="-120"/>
        <w:sz w:val="24"/>
        <w:szCs w:val="24"/>
      </w:rPr>
    </w:lvl>
    <w:lvl w:ilvl="1" w:tentative="0">
      <w:start w:val="0"/>
      <w:numFmt w:val="bullet"/>
      <w:lvlText w:val="•"/>
      <w:lvlJc w:val="left"/>
      <w:pPr>
        <w:tabs>
          <w:tab w:val="left" w:pos="0"/>
        </w:tabs>
        <w:ind w:left="1326" w:hanging="300"/>
      </w:pPr>
      <w:rPr>
        <w:rFonts w:hint="default" w:ascii="Times New Roman" w:hAnsi="Times New Roman" w:cs="Times New Roman"/>
      </w:rPr>
    </w:lvl>
    <w:lvl w:ilvl="2" w:tentative="0">
      <w:start w:val="0"/>
      <w:numFmt w:val="bullet"/>
      <w:lvlText w:val="•"/>
      <w:lvlJc w:val="left"/>
      <w:pPr>
        <w:tabs>
          <w:tab w:val="left" w:pos="0"/>
        </w:tabs>
        <w:ind w:left="2233" w:hanging="300"/>
      </w:pPr>
      <w:rPr>
        <w:rFonts w:hint="default" w:ascii="Times New Roman" w:hAnsi="Times New Roman" w:cs="Times New Roman"/>
      </w:rPr>
    </w:lvl>
    <w:lvl w:ilvl="3" w:tentative="0">
      <w:start w:val="0"/>
      <w:numFmt w:val="bullet"/>
      <w:lvlText w:val="•"/>
      <w:lvlJc w:val="left"/>
      <w:pPr>
        <w:tabs>
          <w:tab w:val="left" w:pos="0"/>
        </w:tabs>
        <w:ind w:left="3139" w:hanging="300"/>
      </w:pPr>
      <w:rPr>
        <w:rFonts w:hint="default" w:ascii="Times New Roman" w:hAnsi="Times New Roman" w:cs="Times New Roman"/>
      </w:rPr>
    </w:lvl>
    <w:lvl w:ilvl="4" w:tentative="0">
      <w:start w:val="0"/>
      <w:numFmt w:val="bullet"/>
      <w:lvlText w:val="•"/>
      <w:lvlJc w:val="left"/>
      <w:pPr>
        <w:tabs>
          <w:tab w:val="left" w:pos="0"/>
        </w:tabs>
        <w:ind w:left="4046" w:hanging="300"/>
      </w:pPr>
      <w:rPr>
        <w:rFonts w:hint="default" w:ascii="Times New Roman" w:hAnsi="Times New Roman" w:cs="Times New Roman"/>
      </w:rPr>
    </w:lvl>
    <w:lvl w:ilvl="5" w:tentative="0">
      <w:start w:val="0"/>
      <w:numFmt w:val="bullet"/>
      <w:lvlText w:val="•"/>
      <w:lvlJc w:val="left"/>
      <w:pPr>
        <w:tabs>
          <w:tab w:val="left" w:pos="0"/>
        </w:tabs>
        <w:ind w:left="4953" w:hanging="300"/>
      </w:pPr>
      <w:rPr>
        <w:rFonts w:hint="default" w:ascii="Times New Roman" w:hAnsi="Times New Roman" w:cs="Times New Roman"/>
      </w:rPr>
    </w:lvl>
    <w:lvl w:ilvl="6" w:tentative="0">
      <w:start w:val="0"/>
      <w:numFmt w:val="bullet"/>
      <w:lvlText w:val="•"/>
      <w:lvlJc w:val="left"/>
      <w:pPr>
        <w:tabs>
          <w:tab w:val="left" w:pos="0"/>
        </w:tabs>
        <w:ind w:left="5859" w:hanging="300"/>
      </w:pPr>
      <w:rPr>
        <w:rFonts w:hint="default" w:ascii="Times New Roman" w:hAnsi="Times New Roman" w:cs="Times New Roman"/>
      </w:rPr>
    </w:lvl>
    <w:lvl w:ilvl="7" w:tentative="0">
      <w:start w:val="0"/>
      <w:numFmt w:val="bullet"/>
      <w:lvlText w:val="•"/>
      <w:lvlJc w:val="left"/>
      <w:pPr>
        <w:tabs>
          <w:tab w:val="left" w:pos="0"/>
        </w:tabs>
        <w:ind w:left="6766" w:hanging="300"/>
      </w:pPr>
      <w:rPr>
        <w:rFonts w:hint="default" w:ascii="Times New Roman" w:hAnsi="Times New Roman" w:cs="Times New Roman"/>
      </w:rPr>
    </w:lvl>
    <w:lvl w:ilvl="8" w:tentative="0">
      <w:start w:val="0"/>
      <w:numFmt w:val="bullet"/>
      <w:lvlText w:val="•"/>
      <w:lvlJc w:val="left"/>
      <w:pPr>
        <w:tabs>
          <w:tab w:val="left" w:pos="0"/>
        </w:tabs>
        <w:ind w:left="7673" w:hanging="300"/>
      </w:pPr>
      <w:rPr>
        <w:rFonts w:hint="default" w:ascii="Times New Roman" w:hAnsi="Times New Roman" w:cs="Times New Roman"/>
      </w:rPr>
    </w:lvl>
  </w:abstractNum>
  <w:abstractNum w:abstractNumId="36">
    <w:nsid w:val="6774D75E"/>
    <w:multiLevelType w:val="singleLevel"/>
    <w:tmpl w:val="6774D75E"/>
    <w:lvl w:ilvl="0" w:tentative="0">
      <w:start w:val="1"/>
      <w:numFmt w:val="decimal"/>
      <w:suff w:val="nothing"/>
      <w:lvlText w:val="（%1）"/>
      <w:lvlJc w:val="left"/>
      <w:pPr>
        <w:ind w:left="525" w:leftChars="0" w:firstLine="0" w:firstLineChars="0"/>
      </w:pPr>
    </w:lvl>
  </w:abstractNum>
  <w:abstractNum w:abstractNumId="37">
    <w:nsid w:val="689CE707"/>
    <w:multiLevelType w:val="singleLevel"/>
    <w:tmpl w:val="689CE707"/>
    <w:lvl w:ilvl="0" w:tentative="0">
      <w:start w:val="1"/>
      <w:numFmt w:val="decimal"/>
      <w:suff w:val="nothing"/>
      <w:lvlText w:val="（%1）"/>
      <w:lvlJc w:val="left"/>
    </w:lvl>
  </w:abstractNum>
  <w:abstractNum w:abstractNumId="38">
    <w:nsid w:val="6A4405C7"/>
    <w:multiLevelType w:val="singleLevel"/>
    <w:tmpl w:val="6A4405C7"/>
    <w:lvl w:ilvl="0" w:tentative="0">
      <w:start w:val="1"/>
      <w:numFmt w:val="decimal"/>
      <w:lvlText w:val="%1."/>
      <w:lvlJc w:val="left"/>
      <w:pPr>
        <w:tabs>
          <w:tab w:val="left" w:pos="312"/>
        </w:tabs>
      </w:pPr>
    </w:lvl>
  </w:abstractNum>
  <w:abstractNum w:abstractNumId="39">
    <w:nsid w:val="6B11EC67"/>
    <w:multiLevelType w:val="singleLevel"/>
    <w:tmpl w:val="6B11EC67"/>
    <w:lvl w:ilvl="0" w:tentative="0">
      <w:start w:val="1"/>
      <w:numFmt w:val="decimal"/>
      <w:suff w:val="nothing"/>
      <w:lvlText w:val="（%1）"/>
      <w:lvlJc w:val="left"/>
    </w:lvl>
  </w:abstractNum>
  <w:abstractNum w:abstractNumId="40">
    <w:nsid w:val="6D826C23"/>
    <w:multiLevelType w:val="multilevel"/>
    <w:tmpl w:val="6D826C23"/>
    <w:lvl w:ilvl="0" w:tentative="0">
      <w:start w:val="1"/>
      <w:numFmt w:val="upperLetter"/>
      <w:lvlText w:val="%1."/>
      <w:lvlJc w:val="left"/>
      <w:pPr>
        <w:tabs>
          <w:tab w:val="left" w:pos="420"/>
        </w:tabs>
        <w:ind w:left="420" w:hanging="420"/>
      </w:pPr>
    </w:lvl>
    <w:lvl w:ilvl="1" w:tentative="0">
      <w:start w:val="4"/>
      <w:numFmt w:val="upperLetter"/>
      <w:pStyle w:val="3"/>
      <w:lvlText w:val="%2、"/>
      <w:lvlJc w:val="left"/>
      <w:pPr>
        <w:tabs>
          <w:tab w:val="left" w:pos="1548"/>
        </w:tabs>
        <w:ind w:left="1548" w:hanging="1128"/>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1">
    <w:nsid w:val="6F1973B1"/>
    <w:multiLevelType w:val="multilevel"/>
    <w:tmpl w:val="6F1973B1"/>
    <w:lvl w:ilvl="0" w:tentative="0">
      <w:start w:val="22"/>
      <w:numFmt w:val="decimal"/>
      <w:lvlText w:val="%1"/>
      <w:lvlJc w:val="left"/>
      <w:pPr>
        <w:ind w:left="964" w:hanging="540"/>
      </w:pPr>
      <w:rPr>
        <w:rFonts w:hint="default"/>
        <w:u w:val="none" w:color="auto"/>
        <w:lang w:val="zh-CN" w:eastAsia="zh-CN" w:bidi="zh-CN"/>
      </w:rPr>
    </w:lvl>
    <w:lvl w:ilvl="1" w:tentative="0">
      <w:start w:val="1"/>
      <w:numFmt w:val="decimal"/>
      <w:lvlText w:val="%1.%2"/>
      <w:lvlJc w:val="left"/>
      <w:pPr>
        <w:ind w:left="964" w:hanging="540"/>
      </w:pPr>
      <w:rPr>
        <w:rFonts w:hint="default" w:ascii="Times New Roman" w:hAnsi="Times New Roman" w:eastAsia="Times New Roman" w:cs="Times New Roman"/>
        <w:spacing w:val="-1"/>
        <w:sz w:val="24"/>
        <w:szCs w:val="24"/>
        <w:u w:val="none" w:color="auto"/>
        <w:lang w:val="zh-CN" w:eastAsia="zh-CN" w:bidi="zh-CN"/>
      </w:rPr>
    </w:lvl>
    <w:lvl w:ilvl="2" w:tentative="0">
      <w:start w:val="2"/>
      <w:numFmt w:val="decimal"/>
      <w:lvlText w:val="%1.%2.%3"/>
      <w:lvlJc w:val="left"/>
      <w:pPr>
        <w:ind w:left="424" w:hanging="720"/>
      </w:pPr>
      <w:rPr>
        <w:rFonts w:hint="default" w:ascii="Times New Roman" w:hAnsi="Times New Roman" w:eastAsia="Times New Roman" w:cs="Times New Roman"/>
        <w:spacing w:val="-43"/>
        <w:sz w:val="24"/>
        <w:szCs w:val="24"/>
        <w:u w:val="none" w:color="auto"/>
        <w:lang w:val="zh-CN" w:eastAsia="zh-CN" w:bidi="zh-CN"/>
      </w:rPr>
    </w:lvl>
    <w:lvl w:ilvl="3" w:tentative="0">
      <w:start w:val="1"/>
      <w:numFmt w:val="decimal"/>
      <w:lvlText w:val="%4."/>
      <w:lvlJc w:val="left"/>
      <w:pPr>
        <w:ind w:left="424" w:hanging="300"/>
      </w:pPr>
      <w:rPr>
        <w:rFonts w:hint="default" w:ascii="Times New Roman" w:hAnsi="Times New Roman" w:eastAsia="Times New Roman" w:cs="Times New Roman"/>
        <w:spacing w:val="-48"/>
        <w:w w:val="99"/>
        <w:sz w:val="24"/>
        <w:szCs w:val="24"/>
        <w:u w:val="none" w:color="auto"/>
        <w:lang w:val="zh-CN" w:eastAsia="zh-CN" w:bidi="zh-CN"/>
      </w:rPr>
    </w:lvl>
    <w:lvl w:ilvl="4" w:tentative="0">
      <w:start w:val="0"/>
      <w:numFmt w:val="bullet"/>
      <w:lvlText w:val="•"/>
      <w:lvlJc w:val="left"/>
      <w:pPr>
        <w:ind w:left="3802" w:hanging="300"/>
      </w:pPr>
      <w:rPr>
        <w:rFonts w:hint="default"/>
        <w:u w:val="none" w:color="auto"/>
        <w:lang w:val="zh-CN" w:eastAsia="zh-CN" w:bidi="zh-CN"/>
      </w:rPr>
    </w:lvl>
    <w:lvl w:ilvl="5" w:tentative="0">
      <w:start w:val="0"/>
      <w:numFmt w:val="bullet"/>
      <w:lvlText w:val="•"/>
      <w:lvlJc w:val="left"/>
      <w:pPr>
        <w:ind w:left="4749" w:hanging="300"/>
      </w:pPr>
      <w:rPr>
        <w:rFonts w:hint="default"/>
        <w:u w:val="none" w:color="auto"/>
        <w:lang w:val="zh-CN" w:eastAsia="zh-CN" w:bidi="zh-CN"/>
      </w:rPr>
    </w:lvl>
    <w:lvl w:ilvl="6" w:tentative="0">
      <w:start w:val="0"/>
      <w:numFmt w:val="bullet"/>
      <w:lvlText w:val="•"/>
      <w:lvlJc w:val="left"/>
      <w:pPr>
        <w:ind w:left="5696" w:hanging="300"/>
      </w:pPr>
      <w:rPr>
        <w:rFonts w:hint="default"/>
        <w:u w:val="none" w:color="auto"/>
        <w:lang w:val="zh-CN" w:eastAsia="zh-CN" w:bidi="zh-CN"/>
      </w:rPr>
    </w:lvl>
    <w:lvl w:ilvl="7" w:tentative="0">
      <w:start w:val="0"/>
      <w:numFmt w:val="bullet"/>
      <w:lvlText w:val="•"/>
      <w:lvlJc w:val="left"/>
      <w:pPr>
        <w:ind w:left="6644" w:hanging="300"/>
      </w:pPr>
      <w:rPr>
        <w:rFonts w:hint="default"/>
        <w:u w:val="none" w:color="auto"/>
        <w:lang w:val="zh-CN" w:eastAsia="zh-CN" w:bidi="zh-CN"/>
      </w:rPr>
    </w:lvl>
    <w:lvl w:ilvl="8" w:tentative="0">
      <w:start w:val="0"/>
      <w:numFmt w:val="bullet"/>
      <w:lvlText w:val="•"/>
      <w:lvlJc w:val="left"/>
      <w:pPr>
        <w:ind w:left="7591" w:hanging="300"/>
      </w:pPr>
      <w:rPr>
        <w:rFonts w:hint="default"/>
        <w:u w:val="none" w:color="auto"/>
        <w:lang w:val="zh-CN" w:eastAsia="zh-CN" w:bidi="zh-CN"/>
      </w:rPr>
    </w:lvl>
  </w:abstractNum>
  <w:abstractNum w:abstractNumId="42">
    <w:nsid w:val="6FCCB1C8"/>
    <w:multiLevelType w:val="singleLevel"/>
    <w:tmpl w:val="6FCCB1C8"/>
    <w:lvl w:ilvl="0" w:tentative="0">
      <w:start w:val="22"/>
      <w:numFmt w:val="decimal"/>
      <w:suff w:val="nothing"/>
      <w:lvlText w:val="%1．"/>
      <w:lvlJc w:val="left"/>
    </w:lvl>
  </w:abstractNum>
  <w:abstractNum w:abstractNumId="43">
    <w:nsid w:val="7489D5AC"/>
    <w:multiLevelType w:val="singleLevel"/>
    <w:tmpl w:val="7489D5AC"/>
    <w:lvl w:ilvl="0" w:tentative="0">
      <w:start w:val="1"/>
      <w:numFmt w:val="decimal"/>
      <w:suff w:val="nothing"/>
      <w:lvlText w:val="（%1）"/>
      <w:lvlJc w:val="left"/>
    </w:lvl>
  </w:abstractNum>
  <w:num w:numId="1">
    <w:abstractNumId w:val="40"/>
  </w:num>
  <w:num w:numId="2">
    <w:abstractNumId w:val="17"/>
  </w:num>
  <w:num w:numId="3">
    <w:abstractNumId w:val="3"/>
  </w:num>
  <w:num w:numId="4">
    <w:abstractNumId w:val="9"/>
  </w:num>
  <w:num w:numId="5">
    <w:abstractNumId w:val="14"/>
  </w:num>
  <w:num w:numId="6">
    <w:abstractNumId w:val="38"/>
  </w:num>
  <w:num w:numId="7">
    <w:abstractNumId w:val="1"/>
  </w:num>
  <w:num w:numId="8">
    <w:abstractNumId w:val="16"/>
  </w:num>
  <w:num w:numId="9">
    <w:abstractNumId w:val="25"/>
  </w:num>
  <w:num w:numId="10">
    <w:abstractNumId w:val="27"/>
  </w:num>
  <w:num w:numId="11">
    <w:abstractNumId w:val="36"/>
  </w:num>
  <w:num w:numId="12">
    <w:abstractNumId w:val="13"/>
  </w:num>
  <w:num w:numId="13">
    <w:abstractNumId w:val="4"/>
  </w:num>
  <w:num w:numId="14">
    <w:abstractNumId w:val="7"/>
  </w:num>
  <w:num w:numId="15">
    <w:abstractNumId w:val="43"/>
  </w:num>
  <w:num w:numId="16">
    <w:abstractNumId w:val="10"/>
  </w:num>
  <w:num w:numId="17">
    <w:abstractNumId w:val="18"/>
  </w:num>
  <w:num w:numId="18">
    <w:abstractNumId w:val="11"/>
  </w:num>
  <w:num w:numId="19">
    <w:abstractNumId w:val="20"/>
  </w:num>
  <w:num w:numId="20">
    <w:abstractNumId w:val="37"/>
  </w:num>
  <w:num w:numId="21">
    <w:abstractNumId w:val="39"/>
  </w:num>
  <w:num w:numId="22">
    <w:abstractNumId w:val="30"/>
  </w:num>
  <w:num w:numId="23">
    <w:abstractNumId w:val="34"/>
  </w:num>
  <w:num w:numId="24">
    <w:abstractNumId w:val="12"/>
  </w:num>
  <w:num w:numId="25">
    <w:abstractNumId w:val="33"/>
  </w:num>
  <w:num w:numId="26">
    <w:abstractNumId w:val="21"/>
  </w:num>
  <w:num w:numId="27">
    <w:abstractNumId w:val="19"/>
  </w:num>
  <w:num w:numId="28">
    <w:abstractNumId w:val="42"/>
  </w:num>
  <w:num w:numId="29">
    <w:abstractNumId w:val="31"/>
  </w:num>
  <w:num w:numId="30">
    <w:abstractNumId w:val="24"/>
  </w:num>
  <w:num w:numId="31">
    <w:abstractNumId w:val="6"/>
  </w:num>
  <w:num w:numId="32">
    <w:abstractNumId w:val="5"/>
  </w:num>
  <w:num w:numId="33">
    <w:abstractNumId w:val="23"/>
  </w:num>
  <w:num w:numId="34">
    <w:abstractNumId w:val="28"/>
  </w:num>
  <w:num w:numId="35">
    <w:abstractNumId w:val="2"/>
  </w:num>
  <w:num w:numId="36">
    <w:abstractNumId w:val="15"/>
  </w:num>
  <w:num w:numId="37">
    <w:abstractNumId w:val="26"/>
  </w:num>
  <w:num w:numId="38">
    <w:abstractNumId w:val="22"/>
  </w:num>
  <w:num w:numId="39">
    <w:abstractNumId w:val="32"/>
  </w:num>
  <w:num w:numId="40">
    <w:abstractNumId w:val="41"/>
  </w:num>
  <w:num w:numId="41">
    <w:abstractNumId w:val="29"/>
  </w:num>
  <w:num w:numId="42">
    <w:abstractNumId w:val="0"/>
  </w:num>
  <w:num w:numId="43">
    <w:abstractNumId w:val="35"/>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numFmt w:val="decimalEnclosedCircle"/>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xZWQyZDgyYzgwOTQ1Nzk1ODI2NmI1NjkyYjUxZWEifQ=="/>
  </w:docVars>
  <w:rsids>
    <w:rsidRoot w:val="00172A27"/>
    <w:rsid w:val="001F7F7E"/>
    <w:rsid w:val="008953F8"/>
    <w:rsid w:val="01422176"/>
    <w:rsid w:val="031A4A2D"/>
    <w:rsid w:val="0335502A"/>
    <w:rsid w:val="04BF763A"/>
    <w:rsid w:val="055E32F7"/>
    <w:rsid w:val="08CE42EF"/>
    <w:rsid w:val="098470A4"/>
    <w:rsid w:val="0AA063EB"/>
    <w:rsid w:val="0AA118F8"/>
    <w:rsid w:val="0B177592"/>
    <w:rsid w:val="0D181FDD"/>
    <w:rsid w:val="0D573605"/>
    <w:rsid w:val="105E064F"/>
    <w:rsid w:val="117B2C1D"/>
    <w:rsid w:val="11DE7416"/>
    <w:rsid w:val="12062D4C"/>
    <w:rsid w:val="13A91BE1"/>
    <w:rsid w:val="13A9398F"/>
    <w:rsid w:val="148330D8"/>
    <w:rsid w:val="18965AFB"/>
    <w:rsid w:val="18D944D4"/>
    <w:rsid w:val="1945415A"/>
    <w:rsid w:val="1B337D27"/>
    <w:rsid w:val="1BDB0DA5"/>
    <w:rsid w:val="1C1918CE"/>
    <w:rsid w:val="1C8B457A"/>
    <w:rsid w:val="1DE026A3"/>
    <w:rsid w:val="1F4B5419"/>
    <w:rsid w:val="1FA6791C"/>
    <w:rsid w:val="21C2797B"/>
    <w:rsid w:val="245E28FC"/>
    <w:rsid w:val="265D6246"/>
    <w:rsid w:val="273B5227"/>
    <w:rsid w:val="281D62A2"/>
    <w:rsid w:val="295E3016"/>
    <w:rsid w:val="29FD282F"/>
    <w:rsid w:val="2A4B5348"/>
    <w:rsid w:val="2A97233B"/>
    <w:rsid w:val="2A974F89"/>
    <w:rsid w:val="2AA84549"/>
    <w:rsid w:val="2AAD7DB1"/>
    <w:rsid w:val="2ABC7C97"/>
    <w:rsid w:val="2BB3023F"/>
    <w:rsid w:val="2D764F04"/>
    <w:rsid w:val="2DA31DEA"/>
    <w:rsid w:val="2E666BF4"/>
    <w:rsid w:val="2E754C90"/>
    <w:rsid w:val="2F4862FA"/>
    <w:rsid w:val="307C08C8"/>
    <w:rsid w:val="31084A71"/>
    <w:rsid w:val="33EA2CA1"/>
    <w:rsid w:val="341D641E"/>
    <w:rsid w:val="3437693D"/>
    <w:rsid w:val="36C074C4"/>
    <w:rsid w:val="3A982E9C"/>
    <w:rsid w:val="3C463BC1"/>
    <w:rsid w:val="3CCC056A"/>
    <w:rsid w:val="3D0C5759"/>
    <w:rsid w:val="3D9E7AC6"/>
    <w:rsid w:val="3F8E6AFF"/>
    <w:rsid w:val="40DC7A9E"/>
    <w:rsid w:val="41406E31"/>
    <w:rsid w:val="425863FC"/>
    <w:rsid w:val="426F61AC"/>
    <w:rsid w:val="433E305F"/>
    <w:rsid w:val="43D47D05"/>
    <w:rsid w:val="43E77A38"/>
    <w:rsid w:val="44985FDC"/>
    <w:rsid w:val="44A91191"/>
    <w:rsid w:val="45ED21E3"/>
    <w:rsid w:val="46C2653A"/>
    <w:rsid w:val="471C7D7D"/>
    <w:rsid w:val="48345F49"/>
    <w:rsid w:val="48710218"/>
    <w:rsid w:val="49B266AD"/>
    <w:rsid w:val="4D33771F"/>
    <w:rsid w:val="4D930C30"/>
    <w:rsid w:val="4F3F5B8D"/>
    <w:rsid w:val="4F5166AD"/>
    <w:rsid w:val="515F3303"/>
    <w:rsid w:val="51871467"/>
    <w:rsid w:val="51C7527D"/>
    <w:rsid w:val="524A53F4"/>
    <w:rsid w:val="552D7D1C"/>
    <w:rsid w:val="55B03B0E"/>
    <w:rsid w:val="5606260A"/>
    <w:rsid w:val="56CE6835"/>
    <w:rsid w:val="58063AD4"/>
    <w:rsid w:val="5A0700C3"/>
    <w:rsid w:val="5D851FBD"/>
    <w:rsid w:val="5DC80C36"/>
    <w:rsid w:val="5F6B02C4"/>
    <w:rsid w:val="5F864151"/>
    <w:rsid w:val="5F8C3B27"/>
    <w:rsid w:val="5F9D2097"/>
    <w:rsid w:val="5FD4310E"/>
    <w:rsid w:val="60107EBF"/>
    <w:rsid w:val="60A26D69"/>
    <w:rsid w:val="60C111EE"/>
    <w:rsid w:val="62A56FE4"/>
    <w:rsid w:val="62B96BFE"/>
    <w:rsid w:val="632E0D88"/>
    <w:rsid w:val="641A649B"/>
    <w:rsid w:val="643028DD"/>
    <w:rsid w:val="6497295D"/>
    <w:rsid w:val="65A93856"/>
    <w:rsid w:val="65E7416F"/>
    <w:rsid w:val="663366B5"/>
    <w:rsid w:val="66A779B8"/>
    <w:rsid w:val="6A94567F"/>
    <w:rsid w:val="6AE6019A"/>
    <w:rsid w:val="6B34309C"/>
    <w:rsid w:val="6B5C045C"/>
    <w:rsid w:val="6BA4371B"/>
    <w:rsid w:val="6C027255"/>
    <w:rsid w:val="6C895281"/>
    <w:rsid w:val="6D86512A"/>
    <w:rsid w:val="6DA93E2C"/>
    <w:rsid w:val="6DF17581"/>
    <w:rsid w:val="6E182A98"/>
    <w:rsid w:val="6EF23592"/>
    <w:rsid w:val="6F223AF6"/>
    <w:rsid w:val="7090779A"/>
    <w:rsid w:val="7238369C"/>
    <w:rsid w:val="72CF3153"/>
    <w:rsid w:val="733F2641"/>
    <w:rsid w:val="742D792F"/>
    <w:rsid w:val="75DD77DD"/>
    <w:rsid w:val="76C770D1"/>
    <w:rsid w:val="77431F25"/>
    <w:rsid w:val="780F0FB6"/>
    <w:rsid w:val="78454752"/>
    <w:rsid w:val="78CB41AA"/>
    <w:rsid w:val="7A7B2498"/>
    <w:rsid w:val="7B1D2ED1"/>
    <w:rsid w:val="7B724055"/>
    <w:rsid w:val="7BFF7CB5"/>
    <w:rsid w:val="7C321491"/>
    <w:rsid w:val="7C390583"/>
    <w:rsid w:val="7E2B2740"/>
    <w:rsid w:val="7F741D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spacing w:line="520" w:lineRule="exact"/>
      <w:jc w:val="center"/>
      <w:outlineLvl w:val="0"/>
    </w:pPr>
    <w:rPr>
      <w:rFonts w:ascii="黑体" w:eastAsia="黑体"/>
      <w:b/>
      <w:bCs/>
      <w:sz w:val="28"/>
    </w:rPr>
  </w:style>
  <w:style w:type="paragraph" w:styleId="3">
    <w:name w:val="heading 2"/>
    <w:basedOn w:val="1"/>
    <w:next w:val="1"/>
    <w:autoRedefine/>
    <w:qFormat/>
    <w:uiPriority w:val="0"/>
    <w:pPr>
      <w:keepNext/>
      <w:numPr>
        <w:ilvl w:val="1"/>
        <w:numId w:val="1"/>
      </w:numPr>
      <w:spacing w:line="480" w:lineRule="auto"/>
      <w:outlineLvl w:val="1"/>
    </w:pPr>
    <w:rPr>
      <w:rFonts w:ascii="黑体" w:hAnsi="宋体" w:eastAsia="黑体"/>
      <w:color w:val="000000"/>
      <w:sz w:val="32"/>
      <w:szCs w:val="32"/>
    </w:rPr>
  </w:style>
  <w:style w:type="paragraph" w:styleId="4">
    <w:name w:val="heading 3"/>
    <w:basedOn w:val="1"/>
    <w:next w:val="1"/>
    <w:autoRedefine/>
    <w:qFormat/>
    <w:uiPriority w:val="0"/>
    <w:pPr>
      <w:keepNext/>
      <w:keepLines/>
      <w:spacing w:before="260" w:after="260" w:line="416" w:lineRule="auto"/>
      <w:outlineLvl w:val="2"/>
    </w:pPr>
    <w:rPr>
      <w:b/>
      <w:bCs/>
      <w:sz w:val="32"/>
      <w:szCs w:val="32"/>
    </w:rPr>
  </w:style>
  <w:style w:type="paragraph" w:styleId="5">
    <w:name w:val="heading 6"/>
    <w:basedOn w:val="1"/>
    <w:autoRedefine/>
    <w:qFormat/>
    <w:uiPriority w:val="1"/>
    <w:pPr>
      <w:spacing w:before="55"/>
      <w:outlineLvl w:val="5"/>
    </w:pPr>
    <w:rPr>
      <w:rFonts w:ascii="黑体" w:hAnsi="黑体" w:eastAsia="黑体" w:cs="黑体"/>
      <w:sz w:val="32"/>
      <w:szCs w:val="32"/>
    </w:rPr>
  </w:style>
  <w:style w:type="character" w:default="1" w:styleId="21">
    <w:name w:val="Default Paragraph Font"/>
    <w:autoRedefine/>
    <w:semiHidden/>
    <w:qFormat/>
    <w:uiPriority w:val="0"/>
  </w:style>
  <w:style w:type="table" w:default="1" w:styleId="20">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autoRedefine/>
    <w:qFormat/>
    <w:uiPriority w:val="0"/>
    <w:pPr>
      <w:ind w:firstLine="420" w:firstLineChars="200"/>
    </w:pPr>
    <w:rPr>
      <w:szCs w:val="20"/>
    </w:rPr>
  </w:style>
  <w:style w:type="paragraph" w:styleId="7">
    <w:name w:val="Salutation"/>
    <w:basedOn w:val="1"/>
    <w:next w:val="1"/>
    <w:autoRedefine/>
    <w:qFormat/>
    <w:uiPriority w:val="0"/>
    <w:rPr>
      <w:rFonts w:ascii="宋体"/>
      <w:sz w:val="24"/>
      <w:szCs w:val="20"/>
    </w:rPr>
  </w:style>
  <w:style w:type="paragraph" w:styleId="8">
    <w:name w:val="Body Text"/>
    <w:basedOn w:val="1"/>
    <w:autoRedefine/>
    <w:qFormat/>
    <w:uiPriority w:val="0"/>
    <w:pPr>
      <w:spacing w:line="520" w:lineRule="exact"/>
    </w:pPr>
    <w:rPr>
      <w:rFonts w:ascii="仿宋_GB2312" w:hAnsi="宋体" w:eastAsia="仿宋_GB2312"/>
      <w:color w:val="008000"/>
      <w:sz w:val="24"/>
    </w:rPr>
  </w:style>
  <w:style w:type="paragraph" w:styleId="9">
    <w:name w:val="Body Text Indent"/>
    <w:basedOn w:val="1"/>
    <w:next w:val="10"/>
    <w:autoRedefine/>
    <w:qFormat/>
    <w:uiPriority w:val="99"/>
    <w:pPr>
      <w:ind w:left="420" w:leftChars="200"/>
    </w:pPr>
  </w:style>
  <w:style w:type="paragraph" w:styleId="10">
    <w:name w:val="envelope return"/>
    <w:basedOn w:val="1"/>
    <w:autoRedefine/>
    <w:qFormat/>
    <w:uiPriority w:val="99"/>
    <w:pPr>
      <w:snapToGrid w:val="0"/>
    </w:pPr>
    <w:rPr>
      <w:rFonts w:ascii="Arial" w:hAnsi="Arial" w:cs="Arial"/>
    </w:rPr>
  </w:style>
  <w:style w:type="paragraph" w:styleId="11">
    <w:name w:val="footer"/>
    <w:basedOn w:val="1"/>
    <w:autoRedefine/>
    <w:qFormat/>
    <w:uiPriority w:val="0"/>
    <w:pPr>
      <w:tabs>
        <w:tab w:val="center" w:pos="4153"/>
        <w:tab w:val="right" w:pos="8306"/>
      </w:tabs>
      <w:snapToGrid w:val="0"/>
      <w:jc w:val="left"/>
    </w:pPr>
    <w:rPr>
      <w:sz w:val="18"/>
      <w:szCs w:val="18"/>
    </w:rPr>
  </w:style>
  <w:style w:type="paragraph" w:styleId="12">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autoRedefine/>
    <w:qFormat/>
    <w:uiPriority w:val="39"/>
  </w:style>
  <w:style w:type="paragraph" w:styleId="14">
    <w:name w:val="toc 2"/>
    <w:basedOn w:val="1"/>
    <w:next w:val="1"/>
    <w:autoRedefine/>
    <w:qFormat/>
    <w:uiPriority w:val="39"/>
    <w:pPr>
      <w:ind w:left="420" w:leftChars="200"/>
    </w:pPr>
  </w:style>
  <w:style w:type="paragraph" w:styleId="15">
    <w:name w:val="Body Text 2"/>
    <w:basedOn w:val="1"/>
    <w:next w:val="16"/>
    <w:autoRedefine/>
    <w:qFormat/>
    <w:uiPriority w:val="0"/>
    <w:rPr>
      <w:rFonts w:ascii="黑体" w:eastAsia="仿宋_GB2312"/>
      <w:color w:val="993366"/>
      <w:sz w:val="24"/>
    </w:rPr>
  </w:style>
  <w:style w:type="paragraph" w:customStyle="1" w:styleId="16">
    <w:name w:val="文档正文"/>
    <w:basedOn w:val="1"/>
    <w:autoRedefine/>
    <w:qFormat/>
    <w:uiPriority w:val="0"/>
    <w:pPr>
      <w:adjustRightInd w:val="0"/>
      <w:spacing w:line="480" w:lineRule="atLeast"/>
      <w:ind w:firstLine="567"/>
      <w:textAlignment w:val="baseline"/>
    </w:pPr>
    <w:rPr>
      <w:rFonts w:ascii="仿宋_GB2312" w:eastAsia="仿宋_GB2312"/>
      <w:kern w:val="0"/>
      <w:sz w:val="28"/>
    </w:rPr>
  </w:style>
  <w:style w:type="paragraph" w:styleId="17">
    <w:name w:val="Normal (Web)"/>
    <w:basedOn w:val="1"/>
    <w:autoRedefine/>
    <w:qFormat/>
    <w:uiPriority w:val="0"/>
    <w:pPr>
      <w:widowControl/>
      <w:spacing w:before="100" w:beforeLines="0" w:beforeAutospacing="1" w:after="100" w:afterLines="0" w:afterAutospacing="1"/>
      <w:jc w:val="left"/>
    </w:pPr>
    <w:rPr>
      <w:rFonts w:ascii="宋体" w:hAnsi="宋体"/>
      <w:kern w:val="0"/>
      <w:sz w:val="24"/>
    </w:rPr>
  </w:style>
  <w:style w:type="paragraph" w:styleId="18">
    <w:name w:val="Body Text First Indent"/>
    <w:basedOn w:val="8"/>
    <w:autoRedefine/>
    <w:qFormat/>
    <w:uiPriority w:val="99"/>
    <w:pPr>
      <w:ind w:firstLine="420"/>
    </w:pPr>
    <w:rPr>
      <w:rFonts w:ascii="Times New Roman" w:cs="Times New Roman"/>
      <w:kern w:val="0"/>
      <w:sz w:val="28"/>
      <w:szCs w:val="28"/>
    </w:rPr>
  </w:style>
  <w:style w:type="paragraph" w:styleId="19">
    <w:name w:val="Body Text First Indent 2"/>
    <w:basedOn w:val="9"/>
    <w:next w:val="1"/>
    <w:autoRedefine/>
    <w:qFormat/>
    <w:uiPriority w:val="99"/>
    <w:pPr>
      <w:ind w:left="200" w:firstLine="200" w:firstLineChars="200"/>
    </w:pPr>
    <w:rPr>
      <w:rFonts w:ascii="楷体_GB2312" w:cs="楷体_GB2312"/>
      <w:kern w:val="0"/>
      <w:sz w:val="30"/>
      <w:szCs w:val="30"/>
    </w:rPr>
  </w:style>
  <w:style w:type="character" w:styleId="22">
    <w:name w:val="FollowedHyperlink"/>
    <w:basedOn w:val="21"/>
    <w:autoRedefine/>
    <w:qFormat/>
    <w:uiPriority w:val="0"/>
    <w:rPr>
      <w:color w:val="333333"/>
      <w:u w:val="none"/>
    </w:rPr>
  </w:style>
  <w:style w:type="character" w:styleId="23">
    <w:name w:val="Hyperlink"/>
    <w:basedOn w:val="21"/>
    <w:autoRedefine/>
    <w:qFormat/>
    <w:uiPriority w:val="0"/>
    <w:rPr>
      <w:color w:val="333333"/>
      <w:u w:val="none"/>
    </w:rPr>
  </w:style>
  <w:style w:type="paragraph" w:customStyle="1" w:styleId="24">
    <w:name w:val="无间隔1"/>
    <w:basedOn w:val="1"/>
    <w:next w:val="1"/>
    <w:autoRedefine/>
    <w:qFormat/>
    <w:uiPriority w:val="1"/>
    <w:pPr>
      <w:spacing w:line="400" w:lineRule="exact"/>
    </w:pPr>
    <w:rPr>
      <w:sz w:val="24"/>
    </w:rPr>
  </w:style>
  <w:style w:type="paragraph" w:customStyle="1" w:styleId="25">
    <w:name w:val="Default"/>
    <w:next w:val="26"/>
    <w:autoRedefine/>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26">
    <w:name w:val="大标题"/>
    <w:basedOn w:val="1"/>
    <w:next w:val="19"/>
    <w:autoRedefine/>
    <w:qFormat/>
    <w:uiPriority w:val="99"/>
    <w:pPr>
      <w:jc w:val="center"/>
    </w:pPr>
    <w:rPr>
      <w:rFonts w:ascii="Arial" w:hAnsi="Arial" w:eastAsia="宋体" w:cs="Arial"/>
      <w:b/>
      <w:bCs/>
      <w:sz w:val="28"/>
      <w:szCs w:val="28"/>
    </w:rPr>
  </w:style>
  <w:style w:type="paragraph" w:customStyle="1" w:styleId="27">
    <w:name w:val="_Style 11"/>
    <w:basedOn w:val="1"/>
    <w:next w:val="1"/>
    <w:autoRedefine/>
    <w:qFormat/>
    <w:uiPriority w:val="0"/>
    <w:pPr>
      <w:pBdr>
        <w:bottom w:val="single" w:color="auto" w:sz="6" w:space="1"/>
      </w:pBdr>
      <w:jc w:val="center"/>
    </w:pPr>
    <w:rPr>
      <w:rFonts w:ascii="Arial" w:eastAsia="宋体"/>
      <w:vanish/>
      <w:sz w:val="16"/>
    </w:rPr>
  </w:style>
  <w:style w:type="paragraph" w:customStyle="1" w:styleId="28">
    <w:name w:val="Table Paragraph"/>
    <w:basedOn w:val="1"/>
    <w:autoRedefine/>
    <w:qFormat/>
    <w:uiPriority w:val="1"/>
    <w:rPr>
      <w:rFonts w:ascii="Noto Sans CJK JP Regular" w:hAnsi="Noto Sans CJK JP Regular" w:eastAsia="Noto Sans CJK JP Regular" w:cs="Noto Sans CJK JP Regular"/>
    </w:rPr>
  </w:style>
  <w:style w:type="paragraph" w:customStyle="1" w:styleId="29">
    <w:name w:val="*正文"/>
    <w:basedOn w:val="1"/>
    <w:next w:val="1"/>
    <w:autoRedefine/>
    <w:qFormat/>
    <w:uiPriority w:val="0"/>
    <w:pPr>
      <w:widowControl/>
      <w:ind w:firstLine="482"/>
    </w:pPr>
    <w:rPr>
      <w:rFonts w:ascii="微软雅黑" w:hAnsi="微软雅黑" w:eastAsia="微软雅黑"/>
      <w:sz w:val="21"/>
    </w:rPr>
  </w:style>
  <w:style w:type="paragraph" w:customStyle="1" w:styleId="30">
    <w:name w:val="样式 标题 2 + Times New Roman 四号 非加粗 段前: 5 磅 段后: 0 磅 行距: 固定值 20..."/>
    <w:basedOn w:val="3"/>
    <w:autoRedefine/>
    <w:qFormat/>
    <w:uiPriority w:val="0"/>
    <w:pPr>
      <w:keepLines/>
      <w:numPr>
        <w:ilvl w:val="1"/>
        <w:numId w:val="0"/>
      </w:numPr>
      <w:spacing w:before="100" w:beforeLines="0" w:line="400" w:lineRule="exact"/>
    </w:pPr>
    <w:rPr>
      <w:rFonts w:ascii="Times New Roman" w:hAnsi="Times New Roman" w:cs="宋体"/>
      <w:color w:val="auto"/>
      <w:sz w:val="28"/>
      <w:szCs w:val="20"/>
    </w:rPr>
  </w:style>
  <w:style w:type="paragraph" w:customStyle="1" w:styleId="31">
    <w:name w:val="p0"/>
    <w:basedOn w:val="1"/>
    <w:autoRedefine/>
    <w:qFormat/>
    <w:uiPriority w:val="0"/>
    <w:pPr>
      <w:widowControl/>
    </w:pPr>
    <w:rPr>
      <w:kern w:val="0"/>
      <w:szCs w:val="21"/>
    </w:rPr>
  </w:style>
  <w:style w:type="paragraph" w:customStyle="1" w:styleId="32">
    <w:name w:val="xl54"/>
    <w:basedOn w:val="1"/>
    <w:autoRedefine/>
    <w:qFormat/>
    <w:uiPriority w:val="0"/>
    <w:pPr>
      <w:widowControl/>
      <w:spacing w:before="100" w:beforeLines="0" w:beforeAutospacing="1" w:after="100" w:afterLines="0" w:afterAutospacing="1"/>
      <w:jc w:val="left"/>
      <w:textAlignment w:val="center"/>
    </w:pPr>
    <w:rPr>
      <w:rFonts w:hint="eastAsia" w:ascii="仿宋_GB2312" w:hAnsi="Arial Unicode MS" w:eastAsia="仿宋_GB2312"/>
      <w:kern w:val="0"/>
      <w:sz w:val="18"/>
      <w:szCs w:val="18"/>
    </w:rPr>
  </w:style>
  <w:style w:type="paragraph" w:customStyle="1" w:styleId="33">
    <w:name w:val="样式 标题 3 + (中文) 黑体 小四 非加粗 段前: 7.8 磅 段后: 0 磅 行距: 固定值 20 磅"/>
    <w:basedOn w:val="4"/>
    <w:next w:val="1"/>
    <w:autoRedefine/>
    <w:qFormat/>
    <w:uiPriority w:val="0"/>
    <w:pPr>
      <w:spacing w:before="0" w:after="0" w:line="400" w:lineRule="exact"/>
    </w:pPr>
    <w:rPr>
      <w:rFonts w:eastAsia="黑体" w:cs="宋体"/>
      <w:b w:val="0"/>
      <w:bCs w:val="0"/>
      <w:sz w:val="24"/>
      <w:szCs w:val="20"/>
    </w:rPr>
  </w:style>
  <w:style w:type="paragraph" w:customStyle="1" w:styleId="34">
    <w:name w:val="Default_3_0"/>
    <w:next w:val="35"/>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5">
    <w:name w:val="正文_3_0"/>
    <w:next w:val="3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6">
    <w:name w:val="正文文本_3"/>
    <w:basedOn w:val="35"/>
    <w:next w:val="34"/>
    <w:autoRedefine/>
    <w:unhideWhenUsed/>
    <w:qFormat/>
    <w:uiPriority w:val="0"/>
    <w:pPr>
      <w:widowControl/>
      <w:adjustRightInd w:val="0"/>
      <w:spacing w:after="60" w:line="360" w:lineRule="atLeast"/>
      <w:ind w:left="72" w:leftChars="30" w:right="30" w:rightChars="30" w:firstLine="200" w:firstLineChars="200"/>
      <w:jc w:val="center"/>
    </w:pPr>
    <w:rPr>
      <w:kern w:val="0"/>
      <w:sz w:val="20"/>
      <w:szCs w:val="20"/>
    </w:rPr>
  </w:style>
  <w:style w:type="paragraph" w:customStyle="1" w:styleId="37">
    <w:name w:val="表格文字"/>
    <w:basedOn w:val="1"/>
    <w:autoRedefine/>
    <w:qFormat/>
    <w:uiPriority w:val="0"/>
    <w:pPr>
      <w:adjustRightInd w:val="0"/>
      <w:spacing w:line="420" w:lineRule="atLeast"/>
      <w:jc w:val="left"/>
      <w:textAlignment w:val="baseline"/>
    </w:pPr>
    <w:rPr>
      <w:kern w:val="0"/>
      <w:szCs w:val="20"/>
    </w:rPr>
  </w:style>
  <w:style w:type="paragraph" w:customStyle="1" w:styleId="38">
    <w:name w:val="正文_9_0_0"/>
    <w:next w:val="39"/>
    <w:autoRedefine/>
    <w:qFormat/>
    <w:uiPriority w:val="0"/>
    <w:pPr>
      <w:widowControl w:val="0"/>
      <w:jc w:val="both"/>
    </w:pPr>
    <w:rPr>
      <w:rFonts w:ascii="Times New Roman" w:hAnsi="Times New Roman" w:eastAsia="宋体" w:cs="Times New Roman"/>
      <w:lang w:val="en-US" w:eastAsia="zh-CN" w:bidi="ar-SA"/>
    </w:rPr>
  </w:style>
  <w:style w:type="paragraph" w:customStyle="1" w:styleId="39">
    <w:name w:val="正文文本_1_1"/>
    <w:basedOn w:val="38"/>
    <w:next w:val="40"/>
    <w:autoRedefine/>
    <w:qFormat/>
    <w:uiPriority w:val="0"/>
    <w:rPr>
      <w:rFonts w:eastAsia="仿宋_GB2312"/>
      <w:kern w:val="2"/>
      <w:sz w:val="28"/>
      <w:szCs w:val="30"/>
    </w:rPr>
  </w:style>
  <w:style w:type="paragraph" w:customStyle="1" w:styleId="40">
    <w:name w:val="Default_1_2"/>
    <w:next w:val="41"/>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41">
    <w:name w:val="正文_1_0_1"/>
    <w:next w:val="39"/>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2">
    <w:name w:val="正文_8_0"/>
    <w:basedOn w:val="43"/>
    <w:autoRedefine/>
    <w:qFormat/>
    <w:uiPriority w:val="0"/>
    <w:rPr>
      <w:rFonts w:ascii="Calibri" w:hAnsi="Calibri" w:eastAsia="宋体"/>
      <w:szCs w:val="21"/>
      <w:lang w:val="en-US" w:eastAsia="zh-CN"/>
    </w:rPr>
  </w:style>
  <w:style w:type="paragraph" w:customStyle="1" w:styleId="43">
    <w:name w:val="正文_8_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4">
    <w:name w:val="Normal_10"/>
    <w:autoRedefine/>
    <w:qFormat/>
    <w:uiPriority w:val="0"/>
    <w:rPr>
      <w:rFonts w:ascii="黑体" w:hAnsi="黑体" w:eastAsia="黑体" w:cs="Times New Roman"/>
      <w:b/>
      <w:sz w:val="32"/>
      <w:szCs w:val="24"/>
      <w:lang w:bidi="ar-SA"/>
    </w:rPr>
  </w:style>
  <w:style w:type="paragraph" w:customStyle="1" w:styleId="45">
    <w:name w:val="正文_9_0"/>
    <w:basedOn w:val="46"/>
    <w:autoRedefine/>
    <w:qFormat/>
    <w:uiPriority w:val="0"/>
    <w:rPr>
      <w:rFonts w:ascii="Calibri" w:hAnsi="Calibri" w:eastAsia="宋体"/>
      <w:szCs w:val="21"/>
      <w:lang w:val="en-US" w:eastAsia="zh-CN"/>
    </w:rPr>
  </w:style>
  <w:style w:type="paragraph" w:customStyle="1" w:styleId="46">
    <w:name w:val="正文_9_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7">
    <w:name w:val="_Style 1"/>
    <w:basedOn w:val="1"/>
    <w:next w:val="1"/>
    <w:autoRedefine/>
    <w:qFormat/>
    <w:uiPriority w:val="0"/>
    <w:pPr>
      <w:pBdr>
        <w:bottom w:val="single" w:color="auto" w:sz="6" w:space="1"/>
      </w:pBdr>
      <w:jc w:val="center"/>
    </w:pPr>
    <w:rPr>
      <w:rFonts w:ascii="Arial" w:eastAsia="宋体"/>
      <w:vanish/>
      <w:sz w:val="16"/>
    </w:rPr>
  </w:style>
  <w:style w:type="paragraph" w:customStyle="1" w:styleId="48">
    <w:name w:val="_Style 3"/>
    <w:basedOn w:val="1"/>
    <w:next w:val="1"/>
    <w:autoRedefine/>
    <w:qFormat/>
    <w:uiPriority w:val="0"/>
    <w:pPr>
      <w:pBdr>
        <w:top w:val="single" w:color="auto" w:sz="6" w:space="1"/>
      </w:pBdr>
      <w:jc w:val="center"/>
    </w:pPr>
    <w:rPr>
      <w:rFonts w:ascii="Arial" w:eastAsia="宋体"/>
      <w:vanish/>
      <w:sz w:val="16"/>
    </w:rPr>
  </w:style>
  <w:style w:type="paragraph" w:customStyle="1" w:styleId="49">
    <w:name w:val="普通(网站)_0"/>
    <w:basedOn w:val="50"/>
    <w:autoRedefine/>
    <w:unhideWhenUsed/>
    <w:qFormat/>
    <w:uiPriority w:val="99"/>
    <w:pPr>
      <w:widowControl/>
      <w:spacing w:before="100" w:beforeAutospacing="1" w:after="100" w:afterAutospacing="1" w:line="320" w:lineRule="atLeast"/>
      <w:ind w:firstLine="200" w:firstLineChars="200"/>
      <w:jc w:val="left"/>
    </w:pPr>
    <w:rPr>
      <w:rFonts w:ascii="宋体" w:hAnsi="宋体"/>
      <w:kern w:val="0"/>
      <w:sz w:val="18"/>
      <w:szCs w:val="18"/>
    </w:rPr>
  </w:style>
  <w:style w:type="paragraph" w:customStyle="1" w:styleId="50">
    <w:name w:val="正文_2_0"/>
    <w:basedOn w:val="51"/>
    <w:next w:val="60"/>
    <w:autoRedefine/>
    <w:qFormat/>
    <w:uiPriority w:val="0"/>
    <w:pPr>
      <w:widowControl w:val="0"/>
      <w:jc w:val="both"/>
    </w:pPr>
    <w:rPr>
      <w:kern w:val="2"/>
      <w:sz w:val="21"/>
      <w:szCs w:val="22"/>
      <w:lang w:val="en-US" w:eastAsia="zh-CN" w:bidi="ar-SA"/>
    </w:rPr>
  </w:style>
  <w:style w:type="paragraph" w:customStyle="1" w:styleId="51">
    <w:name w:val="正文_1_0"/>
    <w:next w:val="5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52">
    <w:name w:val="正文文本_0_0"/>
    <w:basedOn w:val="53"/>
    <w:next w:val="54"/>
    <w:autoRedefine/>
    <w:unhideWhenUsed/>
    <w:qFormat/>
    <w:uiPriority w:val="0"/>
    <w:pPr>
      <w:widowControl/>
      <w:adjustRightInd w:val="0"/>
      <w:spacing w:after="60" w:line="360" w:lineRule="atLeast"/>
      <w:ind w:left="72" w:leftChars="30" w:right="30" w:rightChars="30" w:firstLine="200" w:firstLineChars="200"/>
      <w:jc w:val="center"/>
    </w:pPr>
    <w:rPr>
      <w:kern w:val="0"/>
      <w:sz w:val="20"/>
      <w:szCs w:val="20"/>
    </w:rPr>
  </w:style>
  <w:style w:type="paragraph" w:customStyle="1" w:styleId="53">
    <w:name w:val="正文_14"/>
    <w:next w:val="5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
    <w:name w:val="正文文本 2_0_0"/>
    <w:basedOn w:val="55"/>
    <w:next w:val="52"/>
    <w:autoRedefine/>
    <w:unhideWhenUsed/>
    <w:qFormat/>
    <w:uiPriority w:val="0"/>
    <w:pPr>
      <w:spacing w:after="120" w:line="480" w:lineRule="auto"/>
    </w:pPr>
    <w:rPr>
      <w:rFonts w:ascii="Times New Roman" w:hAnsi="Times New Roman"/>
      <w:szCs w:val="24"/>
    </w:rPr>
  </w:style>
  <w:style w:type="paragraph" w:customStyle="1" w:styleId="55">
    <w:name w:val="正文_1_0_0"/>
    <w:basedOn w:val="56"/>
    <w:next w:val="58"/>
    <w:autoRedefine/>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eastAsia="宋体" w:cs="Times New Roman"/>
      <w:kern w:val="2"/>
      <w:sz w:val="21"/>
      <w:szCs w:val="22"/>
      <w:lang w:val="en-US" w:eastAsia="zh-CN" w:bidi="ar"/>
    </w:rPr>
  </w:style>
  <w:style w:type="paragraph" w:customStyle="1" w:styleId="56">
    <w:name w:val="正文_1_1"/>
    <w:basedOn w:val="57"/>
    <w:next w:val="52"/>
    <w:autoRedefine/>
    <w:qFormat/>
    <w:uiPriority w:val="0"/>
    <w:pPr>
      <w:widowControl w:val="0"/>
      <w:jc w:val="both"/>
    </w:pPr>
    <w:rPr>
      <w:rFonts w:ascii="Calibri" w:hAnsi="Calibri"/>
      <w:kern w:val="2"/>
      <w:sz w:val="21"/>
      <w:szCs w:val="22"/>
      <w:lang w:val="en-US" w:eastAsia="zh-CN" w:bidi="ar-SA"/>
    </w:rPr>
  </w:style>
  <w:style w:type="paragraph" w:customStyle="1" w:styleId="57">
    <w:name w:val="正文_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58">
    <w:name w:val="正文文本_0_0_0"/>
    <w:basedOn w:val="59"/>
    <w:next w:val="54"/>
    <w:autoRedefine/>
    <w:unhideWhenUsed/>
    <w:qFormat/>
    <w:uiPriority w:val="0"/>
    <w:pPr>
      <w:widowControl/>
      <w:adjustRightInd w:val="0"/>
      <w:spacing w:after="60" w:line="360" w:lineRule="atLeast"/>
      <w:ind w:left="72" w:leftChars="30" w:right="30" w:rightChars="30" w:firstLine="200" w:firstLineChars="200"/>
      <w:jc w:val="center"/>
    </w:pPr>
    <w:rPr>
      <w:kern w:val="0"/>
      <w:sz w:val="20"/>
      <w:szCs w:val="20"/>
    </w:rPr>
  </w:style>
  <w:style w:type="paragraph" w:customStyle="1" w:styleId="59">
    <w:name w:val="正文_10_0"/>
    <w:next w:val="58"/>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0">
    <w:name w:val="Default_1_0"/>
    <w:next w:val="61"/>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61">
    <w:name w:val="大标题_0_0"/>
    <w:basedOn w:val="42"/>
    <w:next w:val="62"/>
    <w:autoRedefine/>
    <w:qFormat/>
    <w:uiPriority w:val="0"/>
    <w:pPr>
      <w:jc w:val="center"/>
    </w:pPr>
    <w:rPr>
      <w:rFonts w:ascii="Arial" w:hAnsi="Arial" w:eastAsia="宋体"/>
      <w:b/>
      <w:sz w:val="28"/>
      <w:szCs w:val="24"/>
    </w:rPr>
  </w:style>
  <w:style w:type="paragraph" w:customStyle="1" w:styleId="62">
    <w:name w:val="正文首行缩进 2_0_1"/>
    <w:basedOn w:val="63"/>
    <w:autoRedefine/>
    <w:qFormat/>
    <w:uiPriority w:val="0"/>
    <w:pPr>
      <w:spacing w:after="120" w:afterLines="0" w:line="240" w:lineRule="auto"/>
      <w:ind w:left="200" w:leftChars="200" w:firstLine="200" w:firstLineChars="200"/>
    </w:pPr>
  </w:style>
  <w:style w:type="paragraph" w:customStyle="1" w:styleId="63">
    <w:name w:val="正文文本缩进_0_1"/>
    <w:basedOn w:val="64"/>
    <w:next w:val="65"/>
    <w:autoRedefine/>
    <w:qFormat/>
    <w:uiPriority w:val="0"/>
    <w:pPr>
      <w:spacing w:line="400" w:lineRule="exact"/>
      <w:ind w:left="630"/>
    </w:pPr>
    <w:rPr>
      <w:rFonts w:ascii="楷体_GB2312" w:eastAsia="仿宋_GB2312"/>
      <w:kern w:val="2"/>
      <w:sz w:val="30"/>
      <w:szCs w:val="30"/>
    </w:rPr>
  </w:style>
  <w:style w:type="paragraph" w:customStyle="1" w:styleId="64">
    <w:name w:val="正文_0_1"/>
    <w:next w:val="62"/>
    <w:autoRedefine/>
    <w:qFormat/>
    <w:uiPriority w:val="0"/>
    <w:pPr>
      <w:widowControl w:val="0"/>
      <w:jc w:val="both"/>
    </w:pPr>
    <w:rPr>
      <w:rFonts w:ascii="Times New Roman" w:hAnsi="Times New Roman" w:eastAsia="宋体" w:cs="Times New Roman"/>
      <w:lang w:val="en-US" w:eastAsia="zh-CN" w:bidi="ar-SA"/>
    </w:rPr>
  </w:style>
  <w:style w:type="paragraph" w:customStyle="1" w:styleId="65">
    <w:name w:val="寄信人地址_0"/>
    <w:basedOn w:val="57"/>
    <w:autoRedefine/>
    <w:qFormat/>
    <w:uiPriority w:val="99"/>
    <w:pPr>
      <w:snapToGrid w:val="0"/>
    </w:pPr>
    <w:rPr>
      <w:rFonts w:ascii="Arial" w:hAnsi="Arial" w:cs="Arial"/>
    </w:rPr>
  </w:style>
  <w:style w:type="paragraph" w:customStyle="1" w:styleId="66">
    <w:name w:val="UserStyle_125"/>
    <w:basedOn w:val="1"/>
    <w:autoRedefine/>
    <w:qFormat/>
    <w:uiPriority w:val="0"/>
    <w:pPr>
      <w:widowControl/>
      <w:jc w:val="left"/>
      <w:textAlignment w:val="baseline"/>
    </w:pPr>
    <w:rPr>
      <w:rFonts w:ascii="宋体" w:hAnsi="宋体" w:eastAsia="宋体"/>
      <w:kern w:val="0"/>
      <w:sz w:val="22"/>
      <w:szCs w:val="22"/>
      <w:lang w:val="en-US" w:eastAsia="en-US" w:bidi="ar-SA"/>
    </w:rPr>
  </w:style>
  <w:style w:type="character" w:customStyle="1" w:styleId="67">
    <w:name w:val="NormalCharacter"/>
    <w:autoRedefine/>
    <w:qFormat/>
    <w:uiPriority w:val="0"/>
    <w:rPr>
      <w:rFonts w:ascii="Times New Roman" w:hAnsi="Times New Roman"/>
      <w:lang w:val="en-US" w:eastAsia="zh-CN" w:bidi="ar-SA"/>
    </w:rPr>
  </w:style>
  <w:style w:type="table" w:customStyle="1" w:styleId="68">
    <w:name w:val="Table Normal"/>
    <w:basedOn w:val="20"/>
    <w:autoRedefine/>
    <w:semiHidden/>
    <w:unhideWhenUsed/>
    <w:qFormat/>
    <w:uiPriority w:val="2"/>
    <w:tblPr>
      <w:tblCellMar>
        <w:top w:w="0" w:type="dxa"/>
        <w:left w:w="0" w:type="dxa"/>
        <w:bottom w:w="0" w:type="dxa"/>
        <w:right w:w="0" w:type="dxa"/>
      </w:tblCellMar>
    </w:tblPr>
  </w:style>
  <w:style w:type="paragraph" w:styleId="69">
    <w:name w:val="List Paragraph"/>
    <w:basedOn w:val="1"/>
    <w:autoRedefine/>
    <w:qFormat/>
    <w:uiPriority w:val="1"/>
    <w:pPr>
      <w:ind w:left="424" w:firstLine="480"/>
    </w:pPr>
  </w:style>
  <w:style w:type="character" w:customStyle="1" w:styleId="70">
    <w:name w:val="10"/>
    <w:basedOn w:val="21"/>
    <w:autoRedefine/>
    <w:qFormat/>
    <w:uiPriority w:val="0"/>
    <w:rPr>
      <w:rFonts w:hint="eastAsia" w:ascii="黑体" w:hAnsi="宋体" w:eastAsia="黑体" w:cs="黑体"/>
    </w:rPr>
  </w:style>
  <w:style w:type="character" w:customStyle="1" w:styleId="71">
    <w:name w:val="15"/>
    <w:basedOn w:val="21"/>
    <w:autoRedefine/>
    <w:qFormat/>
    <w:uiPriority w:val="0"/>
    <w:rPr>
      <w:rFonts w:hint="eastAsia" w:ascii="黑体" w:hAnsi="宋体" w:eastAsia="黑体" w:cs="黑体"/>
      <w:color w:val="0000FF"/>
      <w:u w:val="single"/>
    </w:rPr>
  </w:style>
  <w:style w:type="paragraph" w:customStyle="1" w:styleId="72">
    <w:name w:val="Table Text"/>
    <w:basedOn w:val="1"/>
    <w:autoRedefine/>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5.jpeg"/><Relationship Id="rId57" Type="http://schemas.openxmlformats.org/officeDocument/2006/relationships/image" Target="media/image4.png"/><Relationship Id="rId56" Type="http://schemas.openxmlformats.org/officeDocument/2006/relationships/image" Target="media/image3.png"/><Relationship Id="rId55" Type="http://schemas.openxmlformats.org/officeDocument/2006/relationships/image" Target="media/image2.png"/><Relationship Id="rId54" Type="http://schemas.openxmlformats.org/officeDocument/2006/relationships/image" Target="media/image1.png"/><Relationship Id="rId53" Type="http://schemas.openxmlformats.org/officeDocument/2006/relationships/theme" Target="theme/theme1.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header" Target="header2.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header" Target="header1.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165</Pages>
  <Words>0</Words>
  <Characters>0</Characters>
  <Lines>1</Lines>
  <Paragraphs>1</Paragraphs>
  <TotalTime>2</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2024-01-04T09:10:00Z</dcterms:created>
  <dc:creator>阳光</dc:creator>
  <cp:lastModifiedBy>Administrator</cp:lastModifiedBy>
  <cp:lastPrinted>2024-04-01T04:57:00Z</cp:lastPrinted>
  <dcterms:modified xsi:type="dcterms:W3CDTF">2024-04-29T07:38:17Z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75E29CC18AE047ADB1E48C3B4774E42F_13</vt:lpwstr>
  </property>
</Properties>
</file>