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FF2C7">
      <w:pPr>
        <w:pStyle w:val="14"/>
        <w:spacing w:line="800" w:lineRule="exact"/>
        <w:ind w:left="0"/>
        <w:jc w:val="both"/>
        <w:rPr>
          <w:rFonts w:hint="eastAsia" w:ascii="宋体" w:hAnsi="宋体" w:cs="宋体"/>
          <w:color w:val="auto"/>
          <w:sz w:val="52"/>
          <w:szCs w:val="52"/>
          <w:highlight w:val="none"/>
        </w:rPr>
      </w:pPr>
    </w:p>
    <w:p w14:paraId="3B3E47FC">
      <w:pPr>
        <w:pStyle w:val="14"/>
        <w:spacing w:line="1000" w:lineRule="exact"/>
        <w:ind w:left="0"/>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 xml:space="preserve"> 三门峡市气象局三门峡市精准化</w:t>
      </w:r>
    </w:p>
    <w:p w14:paraId="05A20424">
      <w:pPr>
        <w:pStyle w:val="14"/>
        <w:spacing w:line="1000" w:lineRule="exact"/>
        <w:ind w:left="0"/>
        <w:jc w:val="center"/>
        <w:rPr>
          <w:rFonts w:hint="eastAsia" w:ascii="宋体" w:hAnsi="宋体" w:eastAsia="宋体"/>
          <w:color w:val="auto"/>
          <w:highlight w:val="none"/>
        </w:rPr>
      </w:pPr>
      <w:r>
        <w:rPr>
          <w:rFonts w:hint="eastAsia" w:ascii="宋体" w:hAnsi="宋体" w:cs="宋体"/>
          <w:b/>
          <w:bCs/>
          <w:color w:val="auto"/>
          <w:sz w:val="52"/>
          <w:szCs w:val="52"/>
          <w:highlight w:val="none"/>
          <w:lang w:val="en-US" w:eastAsia="zh-CN"/>
        </w:rPr>
        <w:t>气象防灾减灾工程项目</w:t>
      </w:r>
    </w:p>
    <w:p w14:paraId="4B3B92E5">
      <w:pPr>
        <w:jc w:val="center"/>
        <w:rPr>
          <w:rFonts w:hint="eastAsia" w:ascii="宋体" w:hAnsi="宋体" w:cs="宋体"/>
          <w:b/>
          <w:color w:val="auto"/>
          <w:sz w:val="52"/>
          <w:szCs w:val="52"/>
          <w:highlight w:val="none"/>
        </w:rPr>
      </w:pPr>
    </w:p>
    <w:p w14:paraId="4F514035">
      <w:pPr>
        <w:jc w:val="center"/>
        <w:rPr>
          <w:rFonts w:hint="eastAsia" w:ascii="宋体" w:hAnsi="宋体" w:cs="宋体"/>
          <w:b/>
          <w:color w:val="auto"/>
          <w:sz w:val="52"/>
          <w:szCs w:val="52"/>
          <w:highlight w:val="none"/>
        </w:rPr>
      </w:pPr>
    </w:p>
    <w:p w14:paraId="28E0991B">
      <w:pPr>
        <w:jc w:val="center"/>
        <w:rPr>
          <w:rFonts w:hint="eastAsia" w:ascii="宋体" w:hAnsi="宋体" w:cs="宋体"/>
          <w:b/>
          <w:color w:val="auto"/>
          <w:sz w:val="52"/>
          <w:szCs w:val="52"/>
          <w:highlight w:val="none"/>
        </w:rPr>
      </w:pPr>
    </w:p>
    <w:p w14:paraId="338598FE">
      <w:pPr>
        <w:jc w:val="center"/>
        <w:rPr>
          <w:rFonts w:hint="eastAsia" w:ascii="宋体" w:hAnsi="宋体" w:cs="宋体"/>
          <w:b/>
          <w:bCs/>
          <w:color w:val="auto"/>
          <w:sz w:val="72"/>
          <w:szCs w:val="72"/>
          <w:highlight w:val="none"/>
        </w:rPr>
      </w:pPr>
      <w:r>
        <w:rPr>
          <w:rFonts w:hint="eastAsia" w:ascii="宋体" w:hAnsi="宋体" w:cs="宋体"/>
          <w:b/>
          <w:color w:val="auto"/>
          <w:sz w:val="72"/>
          <w:szCs w:val="72"/>
          <w:highlight w:val="none"/>
        </w:rPr>
        <w:t>招 标 文 件</w:t>
      </w:r>
    </w:p>
    <w:p w14:paraId="784ABD83">
      <w:pPr>
        <w:pStyle w:val="13"/>
        <w:ind w:firstLine="0" w:firstLineChars="0"/>
        <w:jc w:val="both"/>
        <w:rPr>
          <w:rFonts w:hint="eastAsia" w:ascii="宋体" w:hAnsi="宋体" w:eastAsia="宋体"/>
          <w:b/>
          <w:bCs/>
          <w:color w:val="auto"/>
          <w:sz w:val="36"/>
          <w:szCs w:val="36"/>
          <w:highlight w:val="none"/>
        </w:rPr>
      </w:pPr>
    </w:p>
    <w:p w14:paraId="307911C6">
      <w:pPr>
        <w:pStyle w:val="13"/>
        <w:ind w:firstLine="0" w:firstLineChars="0"/>
        <w:rPr>
          <w:rFonts w:hint="eastAsia" w:ascii="宋体" w:hAnsi="宋体" w:eastAsia="宋体"/>
          <w:b/>
          <w:bCs/>
          <w:color w:val="auto"/>
          <w:sz w:val="36"/>
          <w:szCs w:val="36"/>
          <w:highlight w:val="none"/>
        </w:rPr>
      </w:pPr>
      <w:r>
        <w:rPr>
          <w:rFonts w:hint="eastAsia" w:ascii="宋体" w:hAnsi="宋体" w:eastAsia="宋体"/>
          <w:b/>
          <w:bCs/>
          <w:color w:val="auto"/>
          <w:sz w:val="36"/>
          <w:szCs w:val="36"/>
          <w:highlight w:val="none"/>
        </w:rPr>
        <w:t>采购项目编号：SGZ[2025]540-ZC354</w:t>
      </w:r>
    </w:p>
    <w:p w14:paraId="521DEC08">
      <w:pPr>
        <w:pStyle w:val="13"/>
        <w:ind w:firstLine="0" w:firstLineChars="0"/>
        <w:rPr>
          <w:rFonts w:hint="eastAsia" w:ascii="宋体" w:hAnsi="宋体" w:eastAsia="宋体"/>
          <w:b/>
          <w:bCs/>
          <w:color w:val="auto"/>
          <w:sz w:val="36"/>
          <w:szCs w:val="36"/>
          <w:highlight w:val="none"/>
          <w:lang w:eastAsia="zh-CN"/>
        </w:rPr>
      </w:pPr>
      <w:r>
        <w:rPr>
          <w:rFonts w:hint="eastAsia" w:ascii="宋体" w:hAnsi="宋体" w:eastAsia="宋体"/>
          <w:b/>
          <w:bCs/>
          <w:color w:val="auto"/>
          <w:sz w:val="36"/>
          <w:szCs w:val="36"/>
          <w:highlight w:val="none"/>
          <w:lang w:val="en-US" w:eastAsia="zh-CN"/>
        </w:rPr>
        <w:t xml:space="preserve">三财公开采购-2025-70 </w:t>
      </w:r>
    </w:p>
    <w:p w14:paraId="60F4D7E1">
      <w:pPr>
        <w:spacing w:line="360" w:lineRule="auto"/>
        <w:jc w:val="center"/>
        <w:rPr>
          <w:rFonts w:hint="eastAsia" w:ascii="宋体" w:hAnsi="宋体" w:cs="宋体"/>
          <w:b/>
          <w:color w:val="auto"/>
          <w:sz w:val="84"/>
          <w:szCs w:val="84"/>
          <w:highlight w:val="none"/>
        </w:rPr>
      </w:pPr>
    </w:p>
    <w:p w14:paraId="2C0ABEF0">
      <w:pPr>
        <w:spacing w:line="360" w:lineRule="auto"/>
        <w:jc w:val="center"/>
        <w:rPr>
          <w:rFonts w:hint="eastAsia" w:ascii="宋体" w:hAnsi="宋体" w:cs="宋体"/>
          <w:b/>
          <w:color w:val="auto"/>
          <w:sz w:val="84"/>
          <w:szCs w:val="84"/>
          <w:highlight w:val="none"/>
        </w:rPr>
      </w:pPr>
    </w:p>
    <w:p w14:paraId="5F3AFC2B">
      <w:pPr>
        <w:spacing w:line="360" w:lineRule="auto"/>
        <w:rPr>
          <w:rFonts w:hint="eastAsia" w:ascii="宋体" w:hAnsi="宋体" w:cs="宋体"/>
          <w:b/>
          <w:color w:val="auto"/>
          <w:sz w:val="32"/>
          <w:szCs w:val="32"/>
          <w:highlight w:val="none"/>
        </w:rPr>
      </w:pPr>
    </w:p>
    <w:p w14:paraId="74E8DD00">
      <w:pPr>
        <w:spacing w:line="360" w:lineRule="auto"/>
        <w:ind w:firstLine="1602" w:firstLineChars="500"/>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招标单位：</w:t>
      </w:r>
      <w:r>
        <w:rPr>
          <w:rFonts w:hint="eastAsia" w:ascii="宋体" w:hAnsi="宋体" w:cs="宋体"/>
          <w:b/>
          <w:color w:val="auto"/>
          <w:sz w:val="32"/>
          <w:szCs w:val="32"/>
          <w:highlight w:val="none"/>
          <w:lang w:val="en-US" w:eastAsia="zh-CN"/>
        </w:rPr>
        <w:t>三门峡市气象局</w:t>
      </w:r>
    </w:p>
    <w:p w14:paraId="247351F9">
      <w:pPr>
        <w:spacing w:line="360" w:lineRule="auto"/>
        <w:ind w:firstLine="1602" w:firstLineChars="500"/>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招标代理机构：</w:t>
      </w:r>
      <w:r>
        <w:rPr>
          <w:rFonts w:hint="eastAsia" w:ascii="宋体" w:hAnsi="宋体" w:cs="宋体"/>
          <w:b/>
          <w:bCs/>
          <w:color w:val="auto"/>
          <w:sz w:val="32"/>
          <w:szCs w:val="32"/>
          <w:highlight w:val="none"/>
          <w:lang w:val="en-US" w:eastAsia="zh-CN"/>
        </w:rPr>
        <w:t>中恒晟（北京）工程管理有限公司</w:t>
      </w:r>
    </w:p>
    <w:p w14:paraId="771C726E">
      <w:pPr>
        <w:spacing w:line="360" w:lineRule="auto"/>
        <w:ind w:firstLine="1602" w:firstLineChars="500"/>
        <w:rPr>
          <w:rFonts w:hint="eastAsia" w:ascii="宋体" w:hAnsi="宋体" w:cs="宋体"/>
          <w:b/>
          <w:color w:val="auto"/>
          <w:sz w:val="32"/>
          <w:szCs w:val="32"/>
          <w:highlight w:val="none"/>
        </w:rPr>
        <w:sectPr>
          <w:headerReference r:id="rId4" w:type="first"/>
          <w:footerReference r:id="rId6" w:type="first"/>
          <w:headerReference r:id="rId3" w:type="even"/>
          <w:footerReference r:id="rId5" w:type="even"/>
          <w:pgSz w:w="11900" w:h="16838"/>
          <w:pgMar w:top="1440" w:right="1080" w:bottom="1440" w:left="1080" w:header="720" w:footer="0" w:gutter="0"/>
          <w:pgNumType w:start="1"/>
          <w:cols w:space="0" w:num="1"/>
          <w:titlePg/>
          <w:docGrid w:type="lines" w:linePitch="368" w:charSpace="0"/>
        </w:sectPr>
      </w:pPr>
      <w:r>
        <w:rPr>
          <w:rFonts w:hint="eastAsia" w:ascii="宋体" w:hAnsi="宋体" w:cs="宋体"/>
          <w:b/>
          <w:color w:val="auto"/>
          <w:sz w:val="32"/>
          <w:szCs w:val="32"/>
          <w:highlight w:val="none"/>
        </w:rPr>
        <w:t>招 标 日 期：二〇二五年十</w:t>
      </w:r>
      <w:r>
        <w:rPr>
          <w:rFonts w:hint="eastAsia" w:ascii="宋体" w:hAnsi="宋体" w:cs="宋体"/>
          <w:b/>
          <w:color w:val="auto"/>
          <w:sz w:val="32"/>
          <w:szCs w:val="32"/>
          <w:highlight w:val="none"/>
          <w:lang w:val="en-US" w:eastAsia="zh-CN"/>
        </w:rPr>
        <w:t>一</w:t>
      </w:r>
      <w:r>
        <w:rPr>
          <w:rFonts w:hint="eastAsia" w:ascii="宋体" w:hAnsi="宋体" w:cs="宋体"/>
          <w:b/>
          <w:color w:val="auto"/>
          <w:sz w:val="32"/>
          <w:szCs w:val="32"/>
          <w:highlight w:val="none"/>
        </w:rPr>
        <w:t>月</w:t>
      </w:r>
    </w:p>
    <w:p w14:paraId="195ECFEA">
      <w:pPr>
        <w:pStyle w:val="13"/>
        <w:ind w:firstLine="0" w:firstLineChars="0"/>
        <w:rPr>
          <w:rStyle w:val="24"/>
          <w:rFonts w:hint="eastAsia" w:ascii="宋体" w:hAnsi="宋体" w:eastAsia="宋体"/>
          <w:b/>
          <w:color w:val="auto"/>
          <w:sz w:val="44"/>
          <w:szCs w:val="44"/>
          <w:highlight w:val="none"/>
        </w:rPr>
      </w:pPr>
    </w:p>
    <w:p w14:paraId="655AF17D">
      <w:pPr>
        <w:pStyle w:val="13"/>
        <w:ind w:firstLine="0" w:firstLineChars="0"/>
        <w:rPr>
          <w:rStyle w:val="24"/>
          <w:rFonts w:hint="eastAsia" w:ascii="宋体" w:hAnsi="宋体" w:eastAsia="宋体"/>
          <w:b/>
          <w:bCs/>
          <w:caps/>
          <w:color w:val="auto"/>
          <w:sz w:val="44"/>
          <w:szCs w:val="44"/>
          <w:highlight w:val="none"/>
        </w:rPr>
      </w:pPr>
      <w:r>
        <w:rPr>
          <w:rStyle w:val="24"/>
          <w:rFonts w:hint="eastAsia" w:ascii="宋体" w:hAnsi="宋体" w:eastAsia="宋体"/>
          <w:b/>
          <w:color w:val="auto"/>
          <w:sz w:val="44"/>
          <w:szCs w:val="44"/>
          <w:highlight w:val="none"/>
        </w:rPr>
        <w:t>目   录</w:t>
      </w:r>
    </w:p>
    <w:p w14:paraId="6CEF2C10">
      <w:pPr>
        <w:pStyle w:val="2"/>
        <w:tabs>
          <w:tab w:val="right" w:leader="dot" w:pos="9071"/>
        </w:tabs>
        <w:rPr>
          <w:rFonts w:hint="eastAsia"/>
          <w:color w:val="auto"/>
          <w:sz w:val="30"/>
          <w:szCs w:val="30"/>
          <w:highlight w:val="none"/>
        </w:rPr>
      </w:pPr>
      <w:bookmarkStart w:id="0" w:name="_Toc270604572"/>
      <w:r>
        <w:rPr>
          <w:rFonts w:hint="eastAsia"/>
          <w:color w:val="auto"/>
          <w:sz w:val="24"/>
          <w:szCs w:val="24"/>
          <w:highlight w:val="none"/>
        </w:rPr>
        <w:fldChar w:fldCharType="begin"/>
      </w:r>
      <w:r>
        <w:rPr>
          <w:rFonts w:hint="eastAsia"/>
          <w:color w:val="auto"/>
          <w:sz w:val="24"/>
          <w:szCs w:val="24"/>
          <w:highlight w:val="none"/>
        </w:rPr>
        <w:instrText xml:space="preserve">TOC \o "1-1" \h \u </w:instrText>
      </w:r>
      <w:r>
        <w:rPr>
          <w:rFonts w:hint="eastAsia"/>
          <w:color w:val="auto"/>
          <w:sz w:val="24"/>
          <w:szCs w:val="24"/>
          <w:highlight w:val="none"/>
        </w:rPr>
        <w:fldChar w:fldCharType="separate"/>
      </w:r>
      <w:r>
        <w:rPr>
          <w:color w:val="auto"/>
          <w:sz w:val="30"/>
          <w:szCs w:val="30"/>
          <w:highlight w:val="none"/>
        </w:rPr>
        <w:fldChar w:fldCharType="begin"/>
      </w:r>
      <w:r>
        <w:rPr>
          <w:color w:val="auto"/>
          <w:sz w:val="30"/>
          <w:szCs w:val="30"/>
          <w:highlight w:val="none"/>
        </w:rPr>
        <w:instrText xml:space="preserve"> HYPERLINK \l "_Toc8090" </w:instrText>
      </w:r>
      <w:r>
        <w:rPr>
          <w:color w:val="auto"/>
          <w:sz w:val="30"/>
          <w:szCs w:val="30"/>
          <w:highlight w:val="none"/>
        </w:rPr>
        <w:fldChar w:fldCharType="separate"/>
      </w:r>
      <w:r>
        <w:rPr>
          <w:rFonts w:hint="eastAsia"/>
          <w:color w:val="auto"/>
          <w:sz w:val="30"/>
          <w:szCs w:val="30"/>
          <w:highlight w:val="none"/>
        </w:rPr>
        <w:t xml:space="preserve">第一章 </w:t>
      </w:r>
      <w:r>
        <w:rPr>
          <w:rFonts w:hint="eastAsia"/>
          <w:color w:val="auto"/>
          <w:sz w:val="30"/>
          <w:szCs w:val="30"/>
          <w:highlight w:val="none"/>
          <w:lang w:val="en-US" w:eastAsia="zh-CN"/>
        </w:rPr>
        <w:t xml:space="preserve"> </w:t>
      </w:r>
      <w:r>
        <w:rPr>
          <w:rFonts w:hint="eastAsia"/>
          <w:color w:val="auto"/>
          <w:sz w:val="30"/>
          <w:szCs w:val="30"/>
          <w:highlight w:val="none"/>
        </w:rPr>
        <w:t>招标公告</w:t>
      </w:r>
      <w:r>
        <w:rPr>
          <w:rFonts w:hint="eastAsia"/>
          <w:color w:val="auto"/>
          <w:sz w:val="30"/>
          <w:szCs w:val="30"/>
          <w:highlight w:val="none"/>
        </w:rPr>
        <w:tab/>
      </w:r>
      <w:r>
        <w:rPr>
          <w:rFonts w:hint="eastAsia"/>
          <w:color w:val="auto"/>
          <w:sz w:val="30"/>
          <w:szCs w:val="30"/>
          <w:highlight w:val="none"/>
        </w:rPr>
        <w:fldChar w:fldCharType="begin"/>
      </w:r>
      <w:r>
        <w:rPr>
          <w:rFonts w:hint="eastAsia"/>
          <w:color w:val="auto"/>
          <w:sz w:val="30"/>
          <w:szCs w:val="30"/>
          <w:highlight w:val="none"/>
        </w:rPr>
        <w:instrText xml:space="preserve"> PAGEREF _Toc8090 \h </w:instrText>
      </w:r>
      <w:r>
        <w:rPr>
          <w:rFonts w:hint="eastAsia"/>
          <w:color w:val="auto"/>
          <w:sz w:val="30"/>
          <w:szCs w:val="30"/>
          <w:highlight w:val="none"/>
        </w:rPr>
        <w:fldChar w:fldCharType="separate"/>
      </w:r>
      <w:r>
        <w:rPr>
          <w:rFonts w:hint="eastAsia"/>
          <w:color w:val="auto"/>
          <w:sz w:val="30"/>
          <w:szCs w:val="30"/>
          <w:highlight w:val="none"/>
        </w:rPr>
        <w:t>1</w:t>
      </w:r>
      <w:r>
        <w:rPr>
          <w:rFonts w:hint="eastAsia"/>
          <w:color w:val="auto"/>
          <w:sz w:val="30"/>
          <w:szCs w:val="30"/>
          <w:highlight w:val="none"/>
        </w:rPr>
        <w:fldChar w:fldCharType="end"/>
      </w:r>
      <w:r>
        <w:rPr>
          <w:rFonts w:hint="eastAsia"/>
          <w:color w:val="auto"/>
          <w:sz w:val="30"/>
          <w:szCs w:val="30"/>
          <w:highlight w:val="none"/>
        </w:rPr>
        <w:fldChar w:fldCharType="end"/>
      </w:r>
    </w:p>
    <w:p w14:paraId="2E7A51FB">
      <w:pPr>
        <w:pStyle w:val="2"/>
        <w:tabs>
          <w:tab w:val="right" w:leader="dot" w:pos="9071"/>
        </w:tabs>
        <w:rPr>
          <w:rFonts w:hint="eastAsia"/>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"_Toc28372" </w:instrText>
      </w:r>
      <w:r>
        <w:rPr>
          <w:color w:val="auto"/>
          <w:sz w:val="30"/>
          <w:szCs w:val="30"/>
          <w:highlight w:val="none"/>
        </w:rPr>
        <w:fldChar w:fldCharType="separate"/>
      </w:r>
      <w:r>
        <w:rPr>
          <w:rFonts w:hint="eastAsia"/>
          <w:color w:val="auto"/>
          <w:sz w:val="30"/>
          <w:szCs w:val="30"/>
          <w:highlight w:val="none"/>
        </w:rPr>
        <w:t xml:space="preserve">第二章 </w:t>
      </w:r>
      <w:r>
        <w:rPr>
          <w:rFonts w:hint="eastAsia"/>
          <w:color w:val="auto"/>
          <w:sz w:val="30"/>
          <w:szCs w:val="30"/>
          <w:highlight w:val="none"/>
          <w:lang w:val="en-US" w:eastAsia="zh-CN"/>
        </w:rPr>
        <w:t xml:space="preserve"> </w:t>
      </w:r>
      <w:r>
        <w:rPr>
          <w:rFonts w:hint="eastAsia"/>
          <w:color w:val="auto"/>
          <w:sz w:val="30"/>
          <w:szCs w:val="30"/>
          <w:highlight w:val="none"/>
        </w:rPr>
        <w:t>供应商须知</w:t>
      </w:r>
      <w:r>
        <w:rPr>
          <w:rFonts w:hint="eastAsia"/>
          <w:color w:val="auto"/>
          <w:sz w:val="30"/>
          <w:szCs w:val="30"/>
          <w:highlight w:val="none"/>
        </w:rPr>
        <w:tab/>
      </w:r>
      <w:r>
        <w:rPr>
          <w:rFonts w:hint="eastAsia"/>
          <w:color w:val="auto"/>
          <w:sz w:val="30"/>
          <w:szCs w:val="30"/>
          <w:highlight w:val="none"/>
          <w:lang w:val="en-US" w:eastAsia="zh-CN"/>
        </w:rPr>
        <w:t>5</w:t>
      </w:r>
      <w:r>
        <w:rPr>
          <w:rFonts w:hint="eastAsia"/>
          <w:color w:val="auto"/>
          <w:sz w:val="30"/>
          <w:szCs w:val="30"/>
          <w:highlight w:val="none"/>
        </w:rPr>
        <w:fldChar w:fldCharType="end"/>
      </w:r>
    </w:p>
    <w:p w14:paraId="25A7E0E1">
      <w:pPr>
        <w:pStyle w:val="2"/>
        <w:tabs>
          <w:tab w:val="right" w:leader="dot" w:pos="9071"/>
        </w:tabs>
        <w:rPr>
          <w:rFonts w:hint="eastAsia"/>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"_Toc18952" </w:instrText>
      </w:r>
      <w:r>
        <w:rPr>
          <w:color w:val="auto"/>
          <w:sz w:val="30"/>
          <w:szCs w:val="30"/>
          <w:highlight w:val="none"/>
        </w:rPr>
        <w:fldChar w:fldCharType="separate"/>
      </w:r>
      <w:r>
        <w:rPr>
          <w:rFonts w:hint="eastAsia"/>
          <w:color w:val="auto"/>
          <w:sz w:val="30"/>
          <w:szCs w:val="30"/>
          <w:highlight w:val="none"/>
        </w:rPr>
        <w:t xml:space="preserve">第三章 </w:t>
      </w:r>
      <w:r>
        <w:rPr>
          <w:rFonts w:hint="eastAsia"/>
          <w:color w:val="auto"/>
          <w:sz w:val="30"/>
          <w:szCs w:val="30"/>
          <w:highlight w:val="none"/>
          <w:lang w:val="en-US" w:eastAsia="zh-CN"/>
        </w:rPr>
        <w:t xml:space="preserve"> </w:t>
      </w:r>
      <w:r>
        <w:rPr>
          <w:rFonts w:hint="eastAsia"/>
          <w:color w:val="auto"/>
          <w:sz w:val="30"/>
          <w:szCs w:val="30"/>
          <w:highlight w:val="none"/>
        </w:rPr>
        <w:t>评标办法</w:t>
      </w:r>
      <w:r>
        <w:rPr>
          <w:rFonts w:hint="eastAsia"/>
          <w:color w:val="auto"/>
          <w:sz w:val="30"/>
          <w:szCs w:val="30"/>
          <w:highlight w:val="none"/>
        </w:rPr>
        <w:tab/>
      </w:r>
      <w:r>
        <w:rPr>
          <w:rFonts w:hint="eastAsia"/>
          <w:color w:val="auto"/>
          <w:sz w:val="30"/>
          <w:szCs w:val="30"/>
          <w:highlight w:val="none"/>
        </w:rPr>
        <w:fldChar w:fldCharType="begin"/>
      </w:r>
      <w:r>
        <w:rPr>
          <w:rFonts w:hint="eastAsia"/>
          <w:color w:val="auto"/>
          <w:sz w:val="30"/>
          <w:szCs w:val="30"/>
          <w:highlight w:val="none"/>
        </w:rPr>
        <w:instrText xml:space="preserve"> PAGEREF _Toc18952 \h </w:instrText>
      </w:r>
      <w:r>
        <w:rPr>
          <w:rFonts w:hint="eastAsia"/>
          <w:color w:val="auto"/>
          <w:sz w:val="30"/>
          <w:szCs w:val="30"/>
          <w:highlight w:val="none"/>
        </w:rPr>
        <w:fldChar w:fldCharType="separate"/>
      </w:r>
      <w:r>
        <w:rPr>
          <w:rFonts w:hint="eastAsia"/>
          <w:color w:val="auto"/>
          <w:sz w:val="30"/>
          <w:szCs w:val="30"/>
          <w:highlight w:val="none"/>
        </w:rPr>
        <w:t>2</w:t>
      </w:r>
      <w:r>
        <w:rPr>
          <w:rFonts w:hint="eastAsia"/>
          <w:color w:val="auto"/>
          <w:sz w:val="30"/>
          <w:szCs w:val="30"/>
          <w:highlight w:val="none"/>
          <w:lang w:val="en-US" w:eastAsia="zh-CN"/>
        </w:rPr>
        <w:t>4</w:t>
      </w:r>
      <w:r>
        <w:rPr>
          <w:rFonts w:hint="eastAsia"/>
          <w:color w:val="auto"/>
          <w:sz w:val="30"/>
          <w:szCs w:val="30"/>
          <w:highlight w:val="none"/>
        </w:rPr>
        <w:fldChar w:fldCharType="end"/>
      </w:r>
      <w:r>
        <w:rPr>
          <w:rFonts w:hint="eastAsia"/>
          <w:color w:val="auto"/>
          <w:sz w:val="30"/>
          <w:szCs w:val="30"/>
          <w:highlight w:val="none"/>
        </w:rPr>
        <w:fldChar w:fldCharType="end"/>
      </w:r>
    </w:p>
    <w:p w14:paraId="346AD149">
      <w:pPr>
        <w:pStyle w:val="2"/>
        <w:tabs>
          <w:tab w:val="right" w:leader="dot" w:pos="9071"/>
        </w:tabs>
        <w:rPr>
          <w:rFonts w:hint="eastAsia" w:eastAsia="宋体"/>
          <w:color w:val="auto"/>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"_Toc18036" </w:instrText>
      </w:r>
      <w:r>
        <w:rPr>
          <w:color w:val="auto"/>
          <w:sz w:val="30"/>
          <w:szCs w:val="30"/>
          <w:highlight w:val="none"/>
        </w:rPr>
        <w:fldChar w:fldCharType="separate"/>
      </w:r>
      <w:r>
        <w:rPr>
          <w:rFonts w:hint="eastAsia"/>
          <w:bCs w:val="0"/>
          <w:color w:val="auto"/>
          <w:kern w:val="0"/>
          <w:sz w:val="30"/>
          <w:szCs w:val="30"/>
          <w:highlight w:val="none"/>
        </w:rPr>
        <w:t>第四章  合同条款及格式</w:t>
      </w:r>
      <w:r>
        <w:rPr>
          <w:rFonts w:hint="eastAsia"/>
          <w:color w:val="auto"/>
          <w:sz w:val="30"/>
          <w:szCs w:val="30"/>
          <w:highlight w:val="none"/>
        </w:rPr>
        <w:tab/>
      </w:r>
      <w:r>
        <w:rPr>
          <w:rFonts w:hint="eastAsia"/>
          <w:color w:val="auto"/>
          <w:sz w:val="30"/>
          <w:szCs w:val="30"/>
          <w:highlight w:val="none"/>
          <w:lang w:val="en-US" w:eastAsia="zh-CN"/>
        </w:rPr>
        <w:t>3</w:t>
      </w:r>
      <w:r>
        <w:rPr>
          <w:rFonts w:hint="eastAsia"/>
          <w:color w:val="auto"/>
          <w:sz w:val="30"/>
          <w:szCs w:val="30"/>
          <w:highlight w:val="none"/>
        </w:rPr>
        <w:fldChar w:fldCharType="end"/>
      </w:r>
      <w:r>
        <w:rPr>
          <w:rFonts w:hint="eastAsia"/>
          <w:color w:val="auto"/>
          <w:sz w:val="30"/>
          <w:szCs w:val="30"/>
          <w:highlight w:val="none"/>
          <w:lang w:val="en-US" w:eastAsia="zh-CN"/>
        </w:rPr>
        <w:t>1</w:t>
      </w:r>
    </w:p>
    <w:p w14:paraId="00EBA42E">
      <w:pPr>
        <w:pStyle w:val="2"/>
        <w:tabs>
          <w:tab w:val="right" w:leader="dot" w:pos="9071"/>
        </w:tabs>
        <w:rPr>
          <w:rFonts w:hint="eastAsia" w:eastAsia="宋体"/>
          <w:color w:val="auto"/>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"_Toc11525" </w:instrText>
      </w:r>
      <w:r>
        <w:rPr>
          <w:color w:val="auto"/>
          <w:sz w:val="30"/>
          <w:szCs w:val="30"/>
          <w:highlight w:val="none"/>
        </w:rPr>
        <w:fldChar w:fldCharType="separate"/>
      </w:r>
      <w:r>
        <w:rPr>
          <w:rFonts w:hint="eastAsia"/>
          <w:bCs w:val="0"/>
          <w:color w:val="auto"/>
          <w:kern w:val="0"/>
          <w:sz w:val="30"/>
          <w:szCs w:val="30"/>
          <w:highlight w:val="none"/>
        </w:rPr>
        <w:t>第五章</w:t>
      </w:r>
      <w:r>
        <w:rPr>
          <w:rFonts w:hint="eastAsia"/>
          <w:bCs w:val="0"/>
          <w:color w:val="auto"/>
          <w:kern w:val="0"/>
          <w:sz w:val="30"/>
          <w:szCs w:val="30"/>
          <w:highlight w:val="none"/>
          <w:lang w:val="en-US" w:eastAsia="zh-CN"/>
        </w:rPr>
        <w:t xml:space="preserve">  </w:t>
      </w:r>
      <w:r>
        <w:rPr>
          <w:rFonts w:hint="eastAsia"/>
          <w:bCs w:val="0"/>
          <w:color w:val="auto"/>
          <w:kern w:val="0"/>
          <w:sz w:val="30"/>
          <w:szCs w:val="30"/>
          <w:highlight w:val="none"/>
        </w:rPr>
        <w:t>采购内容及要求</w:t>
      </w:r>
      <w:r>
        <w:rPr>
          <w:rFonts w:hint="eastAsia"/>
          <w:color w:val="auto"/>
          <w:sz w:val="30"/>
          <w:szCs w:val="30"/>
          <w:highlight w:val="none"/>
        </w:rPr>
        <w:tab/>
      </w:r>
      <w:r>
        <w:rPr>
          <w:rFonts w:hint="eastAsia"/>
          <w:color w:val="auto"/>
          <w:sz w:val="30"/>
          <w:szCs w:val="30"/>
          <w:highlight w:val="none"/>
          <w:lang w:val="en-US" w:eastAsia="zh-CN"/>
        </w:rPr>
        <w:t>3</w:t>
      </w:r>
      <w:r>
        <w:rPr>
          <w:rFonts w:hint="eastAsia"/>
          <w:color w:val="auto"/>
          <w:sz w:val="30"/>
          <w:szCs w:val="30"/>
          <w:highlight w:val="none"/>
        </w:rPr>
        <w:fldChar w:fldCharType="end"/>
      </w:r>
      <w:r>
        <w:rPr>
          <w:rFonts w:hint="eastAsia"/>
          <w:color w:val="auto"/>
          <w:sz w:val="30"/>
          <w:szCs w:val="30"/>
          <w:highlight w:val="none"/>
          <w:lang w:val="en-US" w:eastAsia="zh-CN"/>
        </w:rPr>
        <w:t>4</w:t>
      </w:r>
    </w:p>
    <w:p w14:paraId="6B063733">
      <w:pPr>
        <w:pStyle w:val="2"/>
        <w:tabs>
          <w:tab w:val="right" w:leader="dot" w:pos="9071"/>
        </w:tabs>
        <w:rPr>
          <w:rFonts w:hint="eastAsia" w:eastAsia="宋体"/>
          <w:color w:val="auto"/>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"_Toc10087" </w:instrText>
      </w:r>
      <w:r>
        <w:rPr>
          <w:color w:val="auto"/>
          <w:sz w:val="30"/>
          <w:szCs w:val="30"/>
          <w:highlight w:val="none"/>
        </w:rPr>
        <w:fldChar w:fldCharType="separate"/>
      </w:r>
      <w:r>
        <w:rPr>
          <w:rFonts w:hint="eastAsia"/>
          <w:color w:val="auto"/>
          <w:sz w:val="30"/>
          <w:szCs w:val="30"/>
          <w:highlight w:val="none"/>
        </w:rPr>
        <w:t xml:space="preserve">第六章 </w:t>
      </w:r>
      <w:r>
        <w:rPr>
          <w:rFonts w:hint="eastAsia"/>
          <w:color w:val="auto"/>
          <w:sz w:val="30"/>
          <w:szCs w:val="30"/>
          <w:highlight w:val="none"/>
          <w:lang w:val="en-US" w:eastAsia="zh-CN"/>
        </w:rPr>
        <w:t xml:space="preserve"> </w:t>
      </w:r>
      <w:r>
        <w:rPr>
          <w:rFonts w:hint="eastAsia"/>
          <w:color w:val="auto"/>
          <w:sz w:val="30"/>
          <w:szCs w:val="30"/>
          <w:highlight w:val="none"/>
        </w:rPr>
        <w:t>投标文件格式</w:t>
      </w:r>
      <w:r>
        <w:rPr>
          <w:rFonts w:hint="eastAsia"/>
          <w:color w:val="auto"/>
          <w:sz w:val="30"/>
          <w:szCs w:val="30"/>
          <w:highlight w:val="none"/>
        </w:rPr>
        <w:tab/>
      </w:r>
      <w:r>
        <w:rPr>
          <w:rFonts w:hint="eastAsia"/>
          <w:color w:val="auto"/>
          <w:sz w:val="30"/>
          <w:szCs w:val="30"/>
          <w:highlight w:val="none"/>
          <w:lang w:val="en-US" w:eastAsia="zh-CN"/>
        </w:rPr>
        <w:t>5</w:t>
      </w:r>
      <w:r>
        <w:rPr>
          <w:rFonts w:hint="eastAsia"/>
          <w:color w:val="auto"/>
          <w:sz w:val="30"/>
          <w:szCs w:val="30"/>
          <w:highlight w:val="none"/>
        </w:rPr>
        <w:fldChar w:fldCharType="end"/>
      </w:r>
      <w:r>
        <w:rPr>
          <w:rFonts w:hint="eastAsia"/>
          <w:color w:val="auto"/>
          <w:highlight w:val="none"/>
          <w:lang w:val="en-US" w:eastAsia="zh-CN"/>
        </w:rPr>
        <w:t>4</w:t>
      </w:r>
    </w:p>
    <w:p w14:paraId="68808C19">
      <w:pPr>
        <w:pStyle w:val="17"/>
        <w:tabs>
          <w:tab w:val="right" w:leader="dot" w:pos="8302"/>
        </w:tabs>
        <w:spacing w:line="440" w:lineRule="exact"/>
        <w:ind w:left="0"/>
        <w:rPr>
          <w:rFonts w:hint="eastAsia" w:ascii="宋体" w:hAnsi="宋体"/>
          <w:b/>
          <w:bCs/>
          <w:color w:val="auto"/>
          <w:sz w:val="24"/>
          <w:szCs w:val="24"/>
          <w:highlight w:val="none"/>
        </w:rPr>
      </w:pPr>
      <w:r>
        <w:rPr>
          <w:rFonts w:hint="eastAsia" w:ascii="宋体" w:hAnsi="宋体"/>
          <w:bCs/>
          <w:color w:val="auto"/>
          <w:szCs w:val="24"/>
          <w:highlight w:val="none"/>
        </w:rPr>
        <w:fldChar w:fldCharType="end"/>
      </w:r>
    </w:p>
    <w:bookmarkEnd w:id="0"/>
    <w:p w14:paraId="268B881B">
      <w:pPr>
        <w:pStyle w:val="3"/>
        <w:spacing w:before="120" w:after="120" w:line="400" w:lineRule="exact"/>
        <w:jc w:val="center"/>
        <w:rPr>
          <w:rFonts w:hint="eastAsia" w:ascii="宋体" w:hAnsi="宋体" w:cs="宋体"/>
          <w:color w:val="auto"/>
          <w:sz w:val="36"/>
          <w:szCs w:val="36"/>
          <w:highlight w:val="none"/>
        </w:rPr>
        <w:sectPr>
          <w:headerReference r:id="rId7" w:type="default"/>
          <w:footerReference r:id="rId8" w:type="default"/>
          <w:pgSz w:w="11900" w:h="16838"/>
          <w:pgMar w:top="1134" w:right="1270" w:bottom="992" w:left="1559" w:header="964" w:footer="0" w:gutter="0"/>
          <w:pgNumType w:start="1"/>
          <w:cols w:space="0" w:num="1"/>
          <w:docGrid w:type="lines" w:linePitch="368" w:charSpace="0"/>
        </w:sectPr>
      </w:pPr>
      <w:bookmarkStart w:id="1" w:name="_Toc26551"/>
    </w:p>
    <w:p w14:paraId="51F1324C">
      <w:pPr>
        <w:pStyle w:val="3"/>
        <w:spacing w:before="120" w:after="120" w:line="400" w:lineRule="exact"/>
        <w:jc w:val="center"/>
        <w:rPr>
          <w:rFonts w:hint="eastAsia" w:ascii="宋体" w:hAnsi="宋体" w:cs="宋体"/>
          <w:color w:val="auto"/>
          <w:sz w:val="36"/>
          <w:szCs w:val="36"/>
          <w:highlight w:val="none"/>
        </w:rPr>
      </w:pPr>
      <w:bookmarkStart w:id="2" w:name="_Toc8090"/>
      <w:bookmarkStart w:id="3" w:name="_Toc22201"/>
      <w:r>
        <w:rPr>
          <w:rFonts w:hint="eastAsia" w:ascii="宋体" w:hAnsi="宋体" w:cs="宋体"/>
          <w:color w:val="auto"/>
          <w:sz w:val="36"/>
          <w:szCs w:val="36"/>
          <w:highlight w:val="none"/>
        </w:rPr>
        <w:t>第一章 招标公告</w:t>
      </w:r>
      <w:bookmarkEnd w:id="1"/>
      <w:bookmarkEnd w:id="2"/>
      <w:bookmarkEnd w:id="3"/>
    </w:p>
    <w:p w14:paraId="2D237A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p w14:paraId="4513181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三门峡市气象局三门峡市精准化气象防灾减灾工程项目</w:t>
      </w:r>
      <w:r>
        <w:rPr>
          <w:rFonts w:hint="eastAsia" w:ascii="宋体" w:hAnsi="宋体" w:cs="宋体"/>
          <w:color w:val="auto"/>
          <w:sz w:val="24"/>
          <w:szCs w:val="24"/>
          <w:highlight w:val="none"/>
        </w:rPr>
        <w:t>的潜在投标人应在三门峡市公共资源交易中心（</w:t>
      </w:r>
      <w:r>
        <w:rPr>
          <w:color w:val="auto"/>
          <w:highlight w:val="none"/>
        </w:rPr>
        <w:fldChar w:fldCharType="begin"/>
      </w:r>
      <w:r>
        <w:rPr>
          <w:color w:val="auto"/>
          <w:highlight w:val="none"/>
        </w:rPr>
        <w:instrText xml:space="preserve"> HYPERLINK "http://gzjy.smx.gov.cn/）获取招标文件，并于" </w:instrText>
      </w:r>
      <w:r>
        <w:rPr>
          <w:color w:val="auto"/>
          <w:highlight w:val="none"/>
        </w:rPr>
        <w:fldChar w:fldCharType="separate"/>
      </w:r>
      <w:r>
        <w:rPr>
          <w:rStyle w:val="24"/>
          <w:rFonts w:hint="eastAsia" w:ascii="宋体" w:hAnsi="宋体" w:cs="宋体"/>
          <w:color w:val="auto"/>
          <w:sz w:val="24"/>
          <w:szCs w:val="24"/>
          <w:highlight w:val="none"/>
        </w:rPr>
        <w:t>http://gzjy.smx.gov.cn/）获取招标文件，并于</w:t>
      </w:r>
      <w:r>
        <w:rPr>
          <w:rStyle w:val="24"/>
          <w:rFonts w:hint="eastAsia" w:ascii="宋体" w:hAnsi="宋体" w:cs="宋体"/>
          <w:color w:val="auto"/>
          <w:sz w:val="24"/>
          <w:szCs w:val="24"/>
          <w:highlight w:val="none"/>
        </w:rPr>
        <w:fldChar w:fldCharType="end"/>
      </w:r>
      <w:r>
        <w:rPr>
          <w:rFonts w:hint="eastAsia" w:ascii="宋体" w:hAnsi="宋体" w:cs="宋体"/>
          <w:color w:val="auto"/>
          <w:sz w:val="24"/>
          <w:szCs w:val="24"/>
          <w:highlight w:val="none"/>
          <w:u w:val="singl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16</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分（北京时间）前递交响应文件。</w:t>
      </w:r>
    </w:p>
    <w:p w14:paraId="089115D6">
      <w:pPr>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一、项目基本情况</w:t>
      </w:r>
    </w:p>
    <w:p w14:paraId="00F1EC4E">
      <w:pPr>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rPr>
        <w:t>1、采购项目编号：SGZ[2025]540-ZC354</w:t>
      </w:r>
      <w:r>
        <w:rPr>
          <w:rFonts w:hint="default" w:ascii="宋体" w:hAnsi="宋体" w:cs="宋体"/>
          <w:color w:val="auto"/>
          <w:sz w:val="24"/>
          <w:szCs w:val="24"/>
          <w:highlight w:val="none"/>
          <w:lang w:val="en-US"/>
        </w:rPr>
        <w:t xml:space="preserve"> </w:t>
      </w:r>
      <w:r>
        <w:rPr>
          <w:rFonts w:hint="eastAsia" w:ascii="宋体" w:hAnsi="宋体" w:cs="宋体"/>
          <w:color w:val="auto"/>
          <w:kern w:val="0"/>
          <w:sz w:val="24"/>
          <w:szCs w:val="24"/>
          <w:highlight w:val="none"/>
          <w:lang w:val="en-US" w:eastAsia="zh-CN"/>
        </w:rPr>
        <w:t xml:space="preserve"> 三财公开采购-2025-70</w:t>
      </w:r>
    </w:p>
    <w:p w14:paraId="21CD5AD6">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2、项目名称：三门峡市气象局</w:t>
      </w:r>
      <w:r>
        <w:rPr>
          <w:rFonts w:hint="eastAsia" w:ascii="宋体" w:hAnsi="宋体" w:cs="宋体"/>
          <w:color w:val="auto"/>
          <w:kern w:val="0"/>
          <w:sz w:val="24"/>
          <w:szCs w:val="24"/>
          <w:highlight w:val="none"/>
          <w:lang w:eastAsia="zh-CN"/>
        </w:rPr>
        <w:t>三门峡市精准化气象防灾减灾工程</w:t>
      </w:r>
      <w:r>
        <w:rPr>
          <w:rFonts w:hint="eastAsia" w:ascii="宋体" w:hAnsi="宋体" w:cs="宋体"/>
          <w:color w:val="auto"/>
          <w:kern w:val="0"/>
          <w:sz w:val="24"/>
          <w:szCs w:val="24"/>
          <w:highlight w:val="none"/>
          <w:lang w:val="en-US" w:eastAsia="zh-CN"/>
        </w:rPr>
        <w:t>项目</w:t>
      </w:r>
    </w:p>
    <w:p w14:paraId="5E228514">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3、采购方式：公开招标</w:t>
      </w:r>
    </w:p>
    <w:p w14:paraId="6D58391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zh-TW"/>
        </w:rPr>
        <w:t>4、</w:t>
      </w: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val="en-US" w:eastAsia="zh-CN"/>
        </w:rPr>
        <w:t>6770173</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ab/>
      </w:r>
    </w:p>
    <w:p w14:paraId="6C93059D">
      <w:pPr>
        <w:pStyle w:val="26"/>
        <w:spacing w:line="360" w:lineRule="auto"/>
        <w:ind w:firstLine="840" w:firstLineChars="350"/>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rPr>
        <w:t>最高限价：6770173元</w:t>
      </w:r>
      <w:r>
        <w:rPr>
          <w:rFonts w:hint="eastAsia" w:ascii="宋体" w:hAnsi="宋体" w:cs="宋体"/>
          <w:color w:val="auto"/>
          <w:szCs w:val="24"/>
          <w:highlight w:val="none"/>
          <w:lang w:val="en-US" w:eastAsia="zh-CN"/>
        </w:rPr>
        <w:t xml:space="preserve"> </w:t>
      </w:r>
    </w:p>
    <w:tbl>
      <w:tblPr>
        <w:tblStyle w:val="22"/>
        <w:tblW w:w="1021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7"/>
        <w:gridCol w:w="2624"/>
        <w:gridCol w:w="3449"/>
        <w:gridCol w:w="1491"/>
        <w:gridCol w:w="1966"/>
      </w:tblGrid>
      <w:tr w14:paraId="23566C6D">
        <w:trPr>
          <w:trHeight w:val="621" w:hRule="atLeast"/>
        </w:trPr>
        <w:tc>
          <w:tcPr>
            <w:tcW w:w="687" w:type="dxa"/>
            <w:vAlign w:val="center"/>
          </w:tcPr>
          <w:p w14:paraId="5F4B455B">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624" w:type="dxa"/>
            <w:vAlign w:val="center"/>
          </w:tcPr>
          <w:p w14:paraId="65B08E7F">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包号</w:t>
            </w:r>
          </w:p>
        </w:tc>
        <w:tc>
          <w:tcPr>
            <w:tcW w:w="3449" w:type="dxa"/>
            <w:vAlign w:val="center"/>
          </w:tcPr>
          <w:p w14:paraId="41578131">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包名称</w:t>
            </w:r>
          </w:p>
        </w:tc>
        <w:tc>
          <w:tcPr>
            <w:tcW w:w="1491" w:type="dxa"/>
            <w:vAlign w:val="center"/>
          </w:tcPr>
          <w:p w14:paraId="5504139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包预算(元)</w:t>
            </w:r>
          </w:p>
        </w:tc>
        <w:tc>
          <w:tcPr>
            <w:tcW w:w="1966" w:type="dxa"/>
            <w:vAlign w:val="center"/>
          </w:tcPr>
          <w:p w14:paraId="187032B8">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包最高限价（元）</w:t>
            </w:r>
          </w:p>
        </w:tc>
      </w:tr>
      <w:tr w14:paraId="0CE9983A">
        <w:trPr>
          <w:trHeight w:val="1001" w:hRule="atLeast"/>
        </w:trPr>
        <w:tc>
          <w:tcPr>
            <w:tcW w:w="687" w:type="dxa"/>
            <w:vAlign w:val="center"/>
          </w:tcPr>
          <w:p w14:paraId="458A523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624" w:type="dxa"/>
            <w:vAlign w:val="center"/>
          </w:tcPr>
          <w:p w14:paraId="667FC4F1">
            <w:pPr>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SGZ[2025]540-ZC354</w:t>
            </w:r>
          </w:p>
        </w:tc>
        <w:tc>
          <w:tcPr>
            <w:tcW w:w="3449" w:type="dxa"/>
            <w:vAlign w:val="center"/>
          </w:tcPr>
          <w:p w14:paraId="71AAAC56">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三门峡市气象局三门峡市精准化气象防灾减灾工程项目</w:t>
            </w:r>
          </w:p>
        </w:tc>
        <w:tc>
          <w:tcPr>
            <w:tcW w:w="1491" w:type="dxa"/>
            <w:vAlign w:val="center"/>
          </w:tcPr>
          <w:p w14:paraId="4BAB4074">
            <w:pPr>
              <w:spacing w:line="276"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6770173</w:t>
            </w:r>
          </w:p>
        </w:tc>
        <w:tc>
          <w:tcPr>
            <w:tcW w:w="1966" w:type="dxa"/>
            <w:vAlign w:val="center"/>
          </w:tcPr>
          <w:p w14:paraId="03D491CA">
            <w:pPr>
              <w:spacing w:line="276"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6770173</w:t>
            </w:r>
          </w:p>
        </w:tc>
      </w:tr>
    </w:tbl>
    <w:p w14:paraId="2CCE8BC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zh-TW"/>
        </w:rPr>
        <w:t>5、</w:t>
      </w:r>
      <w:r>
        <w:rPr>
          <w:rFonts w:hint="eastAsia" w:ascii="宋体" w:hAnsi="宋体" w:cs="宋体"/>
          <w:color w:val="auto"/>
          <w:sz w:val="24"/>
          <w:szCs w:val="24"/>
          <w:highlight w:val="none"/>
        </w:rPr>
        <w:t>采购需求(包括但不限于标的的名称、数量、简要技术需求或服务要求等)：</w:t>
      </w:r>
    </w:p>
    <w:p w14:paraId="0AD4BE7D">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5.1采购范围：</w:t>
      </w:r>
    </w:p>
    <w:p w14:paraId="2FA0856E">
      <w:pPr>
        <w:spacing w:line="360" w:lineRule="auto"/>
        <w:ind w:firstLine="480" w:firstLineChars="2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本项目为三门峡市气象局三门峡市精准化气象防灾减灾工程项目。项目主要内容</w:t>
      </w:r>
      <w:r>
        <w:rPr>
          <w:rFonts w:hint="eastAsia" w:ascii="宋体" w:hAnsi="宋体" w:cs="宋体"/>
          <w:color w:val="auto"/>
          <w:kern w:val="0"/>
          <w:sz w:val="24"/>
          <w:szCs w:val="24"/>
          <w:highlight w:val="none"/>
          <w:lang w:eastAsia="zh-CN"/>
        </w:rPr>
        <w:t>：精准化立体气象观测分系统；精准化气象预报预警系统；智慧型公共气象服务系统。（</w:t>
      </w:r>
      <w:r>
        <w:rPr>
          <w:rFonts w:hint="eastAsia" w:ascii="宋体" w:hAnsi="宋体" w:cs="宋体"/>
          <w:color w:val="auto"/>
          <w:kern w:val="0"/>
          <w:sz w:val="24"/>
          <w:szCs w:val="24"/>
          <w:highlight w:val="none"/>
          <w:lang w:val="en-US" w:eastAsia="zh-CN"/>
        </w:rPr>
        <w:t>详见采购内容清单</w:t>
      </w:r>
      <w:r>
        <w:rPr>
          <w:rFonts w:hint="eastAsia" w:ascii="宋体" w:hAnsi="宋体" w:cs="宋体"/>
          <w:color w:val="auto"/>
          <w:kern w:val="0"/>
          <w:sz w:val="24"/>
          <w:szCs w:val="24"/>
          <w:highlight w:val="none"/>
          <w:lang w:eastAsia="zh-CN"/>
        </w:rPr>
        <w:t>）。</w:t>
      </w:r>
    </w:p>
    <w:p w14:paraId="7595BF1B">
      <w:pPr>
        <w:pStyle w:val="14"/>
        <w:spacing w:line="360"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5.2资金来源：财政资金，已落实</w:t>
      </w:r>
    </w:p>
    <w:p w14:paraId="0CD15D42">
      <w:pPr>
        <w:pStyle w:val="14"/>
        <w:spacing w:line="360"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5.3质量要求：合格，符合国家及行业标准，并满足采购人要求；</w:t>
      </w:r>
    </w:p>
    <w:p w14:paraId="56F3569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5.4</w:t>
      </w:r>
      <w:r>
        <w:rPr>
          <w:rFonts w:hint="eastAsia" w:ascii="宋体" w:hAnsi="宋体" w:cs="宋体"/>
          <w:color w:val="auto"/>
          <w:sz w:val="24"/>
          <w:szCs w:val="24"/>
          <w:highlight w:val="none"/>
          <w:lang w:val="en-US" w:eastAsia="zh-CN"/>
        </w:rPr>
        <w:t>服务期限</w:t>
      </w:r>
      <w:r>
        <w:rPr>
          <w:rFonts w:hint="eastAsia" w:ascii="宋体" w:hAnsi="宋体" w:cs="宋体"/>
          <w:color w:val="auto"/>
          <w:sz w:val="24"/>
          <w:szCs w:val="24"/>
          <w:highlight w:val="none"/>
        </w:rPr>
        <w:t>：合同签订后</w:t>
      </w:r>
      <w:r>
        <w:rPr>
          <w:rFonts w:hint="eastAsia" w:ascii="宋体" w:hAnsi="宋体" w:cs="宋体"/>
          <w:color w:val="auto"/>
          <w:sz w:val="24"/>
          <w:szCs w:val="24"/>
          <w:highlight w:val="none"/>
          <w:lang w:val="en-US" w:eastAsia="zh-CN"/>
        </w:rPr>
        <w:t>12个月</w:t>
      </w:r>
      <w:r>
        <w:rPr>
          <w:rFonts w:hint="eastAsia" w:ascii="宋体" w:hAnsi="宋体" w:cs="宋体"/>
          <w:color w:val="auto"/>
          <w:sz w:val="24"/>
          <w:szCs w:val="24"/>
          <w:highlight w:val="none"/>
        </w:rPr>
        <w:t>内完成系统开发和项目建设；</w:t>
      </w:r>
    </w:p>
    <w:p w14:paraId="504CA4E2">
      <w:pPr>
        <w:numPr>
          <w:ilvl w:val="0"/>
          <w:numId w:val="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合同履行期限：同</w:t>
      </w:r>
      <w:r>
        <w:rPr>
          <w:rFonts w:hint="eastAsia" w:ascii="宋体" w:hAnsi="宋体" w:cs="宋体"/>
          <w:color w:val="auto"/>
          <w:sz w:val="24"/>
          <w:szCs w:val="24"/>
          <w:highlight w:val="none"/>
          <w:lang w:val="en-US" w:eastAsia="zh-CN"/>
        </w:rPr>
        <w:t>服务期限</w:t>
      </w:r>
      <w:r>
        <w:rPr>
          <w:rFonts w:hint="eastAsia" w:ascii="宋体" w:hAnsi="宋体" w:cs="宋体"/>
          <w:color w:val="auto"/>
          <w:sz w:val="24"/>
          <w:szCs w:val="24"/>
          <w:highlight w:val="none"/>
        </w:rPr>
        <w:t>。</w:t>
      </w:r>
    </w:p>
    <w:p w14:paraId="606941A2">
      <w:pPr>
        <w:numPr>
          <w:ilvl w:val="0"/>
          <w:numId w:val="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质保期：项目验收合格之日起叁年</w:t>
      </w:r>
    </w:p>
    <w:p w14:paraId="275E52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、本项目是否接受联合体投标：否</w:t>
      </w:r>
    </w:p>
    <w:p w14:paraId="688B631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、是否接受进口产品：否</w:t>
      </w:r>
    </w:p>
    <w:p w14:paraId="4665AC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、是否专门面向中小企业：否</w:t>
      </w:r>
    </w:p>
    <w:p w14:paraId="459EF0BF">
      <w:pPr>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二、申请人资格要求</w:t>
      </w:r>
    </w:p>
    <w:p w14:paraId="7D869F2F">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TW"/>
        </w:rPr>
        <w:t>供应商须符合《中华人民共和国政府采购法》第二十二条的规定；</w:t>
      </w:r>
    </w:p>
    <w:p w14:paraId="3095B913">
      <w:pPr>
        <w:spacing w:line="360" w:lineRule="auto"/>
        <w:ind w:firstLine="480" w:firstLineChars="200"/>
        <w:rPr>
          <w:rFonts w:hint="eastAsia" w:ascii="宋体" w:hAnsi="宋体" w:cs="宋体"/>
          <w:color w:val="auto"/>
          <w:sz w:val="24"/>
          <w:szCs w:val="24"/>
          <w:highlight w:val="none"/>
          <w:lang w:bidi="en-US"/>
        </w:rPr>
      </w:pPr>
      <w:r>
        <w:rPr>
          <w:rFonts w:hint="eastAsia" w:ascii="宋体" w:hAnsi="宋体" w:cs="宋体"/>
          <w:color w:val="auto"/>
          <w:sz w:val="24"/>
          <w:szCs w:val="24"/>
          <w:highlight w:val="none"/>
        </w:rPr>
        <w:t>2、落实相关采购政策</w:t>
      </w:r>
      <w:r>
        <w:rPr>
          <w:rFonts w:hint="eastAsia" w:ascii="宋体" w:hAnsi="宋体" w:cs="宋体"/>
          <w:color w:val="auto"/>
          <w:sz w:val="24"/>
          <w:szCs w:val="24"/>
          <w:highlight w:val="none"/>
          <w:lang w:bidi="en-US"/>
        </w:rPr>
        <w:t>满足的资格要求</w:t>
      </w:r>
      <w:r>
        <w:rPr>
          <w:rFonts w:hint="eastAsia" w:ascii="宋体" w:hAnsi="宋体" w:cs="宋体"/>
          <w:color w:val="auto"/>
          <w:sz w:val="24"/>
          <w:szCs w:val="24"/>
          <w:highlight w:val="none"/>
        </w:rPr>
        <w:t>：无。</w:t>
      </w:r>
    </w:p>
    <w:p w14:paraId="7AE9D0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3、本项目特定资格要求</w:t>
      </w:r>
    </w:p>
    <w:p w14:paraId="6A4DCDDD">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TW"/>
        </w:rPr>
        <w:t>具有独立承担民事责任的能力(供应商提供有效的法人证书或者其他组织的营业执照等证明文件或自然人的身份证明)。</w:t>
      </w:r>
    </w:p>
    <w:p w14:paraId="45DF7BC4">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TW"/>
        </w:rPr>
        <w:t>具有履行合同所必需的设备和专业技术能力(提供承诺书，格式自拟)。</w:t>
      </w:r>
    </w:p>
    <w:p w14:paraId="299BD7EF">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TW"/>
        </w:rPr>
        <w:t>供应商参加政府采购活动前三年内在经营活动中没有重大违法、违纪行为(提供加盖公章的书面声明，格式自拟)。</w:t>
      </w:r>
    </w:p>
    <w:p w14:paraId="5AB7BB79">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zh-TW" w:eastAsia="zh-CN"/>
        </w:rPr>
        <w:t>供应商</w:t>
      </w:r>
      <w:r>
        <w:rPr>
          <w:rFonts w:hint="eastAsia" w:ascii="宋体" w:hAnsi="宋体" w:cs="宋体"/>
          <w:color w:val="auto"/>
          <w:sz w:val="24"/>
          <w:szCs w:val="24"/>
          <w:highlight w:val="none"/>
          <w:lang w:val="zh-TW"/>
        </w:rPr>
        <w:t>自行出具本企业无商业贿赂和不正当竞争行为承诺书。</w:t>
      </w:r>
    </w:p>
    <w:p w14:paraId="559FEE04">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TW"/>
        </w:rPr>
        <w:t>根据《关于在政府采购活动中查询及使用信用记录有关问题的通知》(财库[2016]125号)和豫财购【2016】15号的规定， 对列入失信被执行人、重大税收违法失信主体、政府采购严重违 法失信行为记录名单的供应商，拒绝参与本项目政府采购活动。 【提供信用查询的方法：首先供应商自行提供信用查询结果，附 在投标文件内，查询日期不得早于公告发布日期。采购人或采购 代理机构在开标结束后对“信用中国、中国政府采购网”网上即时查询信用项，采购人或采购代理机构即时查询信用结果作为最终 审查依据】。</w:t>
      </w:r>
    </w:p>
    <w:p w14:paraId="737B0038">
      <w:pPr>
        <w:wordWrap w:val="0"/>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【查询渠道：1.“信用中国”网站 (</w:t>
      </w:r>
      <w:r>
        <w:rPr>
          <w:rFonts w:hint="eastAsia" w:ascii="宋体" w:hAnsi="宋体" w:cs="宋体"/>
          <w:color w:val="auto"/>
          <w:sz w:val="24"/>
          <w:szCs w:val="24"/>
          <w:highlight w:val="none"/>
          <w:lang w:val="zh-TW"/>
        </w:rPr>
        <w:fldChar w:fldCharType="begin"/>
      </w:r>
      <w:r>
        <w:rPr>
          <w:rFonts w:hint="eastAsia" w:ascii="宋体" w:hAnsi="宋体" w:cs="宋体"/>
          <w:color w:val="auto"/>
          <w:sz w:val="24"/>
          <w:szCs w:val="24"/>
          <w:highlight w:val="none"/>
          <w:lang w:val="zh-TW"/>
        </w:rPr>
        <w:instrText xml:space="preserve"> HYPERLINK "https://www.creditchina.gov.cn," </w:instrText>
      </w:r>
      <w:r>
        <w:rPr>
          <w:rFonts w:hint="eastAsia" w:ascii="宋体" w:hAnsi="宋体" w:cs="宋体"/>
          <w:color w:val="auto"/>
          <w:sz w:val="24"/>
          <w:szCs w:val="24"/>
          <w:highlight w:val="none"/>
          <w:lang w:val="zh-TW"/>
        </w:rPr>
        <w:fldChar w:fldCharType="separate"/>
      </w:r>
      <w:r>
        <w:rPr>
          <w:rFonts w:hint="eastAsia" w:ascii="宋体" w:hAnsi="宋体" w:cs="宋体"/>
          <w:color w:val="auto"/>
          <w:sz w:val="24"/>
          <w:szCs w:val="24"/>
          <w:highlight w:val="none"/>
          <w:lang w:val="zh-TW"/>
        </w:rPr>
        <w:t>www.creditchina.gov.cn,</w:t>
      </w:r>
      <w:r>
        <w:rPr>
          <w:rFonts w:hint="eastAsia" w:ascii="宋体" w:hAnsi="宋体" w:cs="宋体"/>
          <w:color w:val="auto"/>
          <w:sz w:val="24"/>
          <w:szCs w:val="24"/>
          <w:highlight w:val="none"/>
          <w:lang w:val="zh-TW"/>
        </w:rPr>
        <w:fldChar w:fldCharType="end"/>
      </w:r>
      <w:r>
        <w:rPr>
          <w:rFonts w:hint="eastAsia" w:ascii="宋体" w:hAnsi="宋体" w:cs="宋体"/>
          <w:color w:val="auto"/>
          <w:sz w:val="24"/>
          <w:szCs w:val="24"/>
          <w:highlight w:val="none"/>
          <w:lang w:val="zh-TW"/>
        </w:rPr>
        <w:t>查询内容为：重大税收违法失信主体)、“中国执行信息公开网” 网站(</w:t>
      </w:r>
      <w:r>
        <w:rPr>
          <w:rFonts w:hint="eastAsia" w:ascii="宋体" w:hAnsi="宋体" w:cs="宋体"/>
          <w:color w:val="auto"/>
          <w:sz w:val="24"/>
          <w:szCs w:val="24"/>
          <w:highlight w:val="none"/>
          <w:lang w:val="zh-TW"/>
        </w:rPr>
        <w:fldChar w:fldCharType="begin"/>
      </w:r>
      <w:r>
        <w:rPr>
          <w:rFonts w:hint="eastAsia" w:ascii="宋体" w:hAnsi="宋体" w:cs="宋体"/>
          <w:color w:val="auto"/>
          <w:sz w:val="24"/>
          <w:szCs w:val="24"/>
          <w:highlight w:val="none"/>
          <w:lang w:val="zh-TW"/>
        </w:rPr>
        <w:instrText xml:space="preserve"> HYPERLINK "http://zxgk.court.gov.cn" </w:instrText>
      </w:r>
      <w:r>
        <w:rPr>
          <w:rFonts w:hint="eastAsia" w:ascii="宋体" w:hAnsi="宋体" w:cs="宋体"/>
          <w:color w:val="auto"/>
          <w:sz w:val="24"/>
          <w:szCs w:val="24"/>
          <w:highlight w:val="none"/>
          <w:lang w:val="zh-TW"/>
        </w:rPr>
        <w:fldChar w:fldCharType="separate"/>
      </w:r>
      <w:r>
        <w:rPr>
          <w:rFonts w:hint="eastAsia" w:ascii="宋体" w:hAnsi="宋体" w:cs="宋体"/>
          <w:color w:val="auto"/>
          <w:sz w:val="24"/>
          <w:szCs w:val="24"/>
          <w:highlight w:val="none"/>
          <w:lang w:val="zh-TW"/>
        </w:rPr>
        <w:t>http://zxgk.court.gov.cn</w:t>
      </w:r>
      <w:r>
        <w:rPr>
          <w:rFonts w:hint="eastAsia" w:ascii="宋体" w:hAnsi="宋体" w:cs="宋体"/>
          <w:color w:val="auto"/>
          <w:sz w:val="24"/>
          <w:szCs w:val="24"/>
          <w:highlight w:val="none"/>
          <w:lang w:val="zh-TW"/>
        </w:rPr>
        <w:fldChar w:fldCharType="end"/>
      </w:r>
      <w:r>
        <w:rPr>
          <w:rFonts w:hint="eastAsia" w:ascii="宋体" w:hAnsi="宋体" w:cs="宋体"/>
          <w:color w:val="auto"/>
          <w:sz w:val="24"/>
          <w:szCs w:val="24"/>
          <w:highlight w:val="none"/>
          <w:lang w:val="zh-TW"/>
        </w:rPr>
        <w:t>,查询内容为：失信被执行人)2.中国政府采购网(</w:t>
      </w:r>
      <w:r>
        <w:rPr>
          <w:rFonts w:hint="eastAsia" w:ascii="宋体" w:hAnsi="宋体" w:cs="宋体"/>
          <w:color w:val="auto"/>
          <w:sz w:val="24"/>
          <w:szCs w:val="24"/>
          <w:highlight w:val="none"/>
          <w:lang w:val="zh-TW"/>
        </w:rPr>
        <w:fldChar w:fldCharType="begin"/>
      </w:r>
      <w:r>
        <w:rPr>
          <w:rFonts w:hint="eastAsia" w:ascii="宋体" w:hAnsi="宋体" w:cs="宋体"/>
          <w:color w:val="auto"/>
          <w:sz w:val="24"/>
          <w:szCs w:val="24"/>
          <w:highlight w:val="none"/>
          <w:lang w:val="zh-TW"/>
        </w:rPr>
        <w:instrText xml:space="preserve"> HYPERLINK "https://www.ccgp.gov.cn" </w:instrText>
      </w:r>
      <w:r>
        <w:rPr>
          <w:rFonts w:hint="eastAsia" w:ascii="宋体" w:hAnsi="宋体" w:cs="宋体"/>
          <w:color w:val="auto"/>
          <w:sz w:val="24"/>
          <w:szCs w:val="24"/>
          <w:highlight w:val="none"/>
          <w:lang w:val="zh-TW"/>
        </w:rPr>
        <w:fldChar w:fldCharType="separate"/>
      </w:r>
      <w:r>
        <w:rPr>
          <w:rFonts w:hint="eastAsia" w:ascii="宋体" w:hAnsi="宋体" w:cs="宋体"/>
          <w:color w:val="auto"/>
          <w:sz w:val="24"/>
          <w:szCs w:val="24"/>
          <w:highlight w:val="none"/>
          <w:lang w:val="zh-TW"/>
        </w:rPr>
        <w:t>www.ccgp.gov.cn</w:t>
      </w:r>
      <w:r>
        <w:rPr>
          <w:rFonts w:hint="eastAsia" w:ascii="宋体" w:hAnsi="宋体" w:cs="宋体"/>
          <w:color w:val="auto"/>
          <w:sz w:val="24"/>
          <w:szCs w:val="24"/>
          <w:highlight w:val="none"/>
          <w:lang w:val="zh-TW"/>
        </w:rPr>
        <w:fldChar w:fldCharType="end"/>
      </w:r>
      <w:r>
        <w:rPr>
          <w:rFonts w:hint="eastAsia" w:ascii="宋体" w:hAnsi="宋体" w:cs="宋体"/>
          <w:color w:val="auto"/>
          <w:sz w:val="24"/>
          <w:szCs w:val="24"/>
          <w:highlight w:val="none"/>
          <w:lang w:val="zh-TW"/>
        </w:rPr>
        <w:t>, 查询内容为：政府采购严重违法失信行为记录名单)】</w:t>
      </w:r>
    </w:p>
    <w:p w14:paraId="50C44C58">
      <w:pPr>
        <w:wordWrap w:val="0"/>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TW"/>
        </w:rPr>
        <w:t>单位负责人为同一人或者存在直接控股、管理关系的不同供应商，不得参加同一合同项下的政府采购活动。提供国家企业信用信息公示系统的企业信用信息公示报告或承诺书(格式自拟)。</w:t>
      </w:r>
    </w:p>
    <w:p w14:paraId="15B1AA4E">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val="zh-TW"/>
        </w:rPr>
        <w:t>本项目不接受联合体投标。</w:t>
      </w:r>
    </w:p>
    <w:p w14:paraId="5BDF401C">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注：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14:paraId="1EAB60D8">
      <w:pPr>
        <w:spacing w:line="360" w:lineRule="auto"/>
        <w:ind w:firstLine="480" w:firstLineChars="200"/>
        <w:rPr>
          <w:rFonts w:hint="eastAsia" w:ascii="宋体" w:hAnsi="宋体" w:cs="宋体"/>
          <w:b/>
          <w:bCs/>
          <w:color w:val="auto"/>
          <w:sz w:val="24"/>
          <w:szCs w:val="24"/>
          <w:highlight w:val="none"/>
          <w:lang w:val="zh-TW"/>
        </w:rPr>
      </w:pPr>
      <w:r>
        <w:rPr>
          <w:rFonts w:hint="eastAsia" w:ascii="宋体" w:hAnsi="宋体" w:cs="宋体"/>
          <w:b/>
          <w:bCs/>
          <w:color w:val="auto"/>
          <w:sz w:val="24"/>
          <w:szCs w:val="24"/>
          <w:highlight w:val="none"/>
          <w:lang w:val="zh-TW"/>
        </w:rPr>
        <w:t>三、获取招标文件</w:t>
      </w:r>
    </w:p>
    <w:p w14:paraId="2FAEFC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1.时间：2025年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default" w:ascii="宋体" w:hAnsi="宋体" w:cs="宋体"/>
          <w:color w:val="auto"/>
          <w:sz w:val="24"/>
          <w:szCs w:val="24"/>
          <w:highlight w:val="none"/>
          <w:lang w:val="en-US" w:eastAsia="zh-CN"/>
        </w:rPr>
        <w:t>25</w:t>
      </w:r>
      <w:r>
        <w:rPr>
          <w:rFonts w:hint="eastAsia" w:ascii="宋体" w:hAnsi="宋体" w:cs="宋体"/>
          <w:color w:val="auto"/>
          <w:sz w:val="24"/>
          <w:szCs w:val="24"/>
          <w:highlight w:val="none"/>
        </w:rPr>
        <w:t>日 至 2025年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日，每天上午00:00至12:00，下午12:00至23:59（北京时间，法定节假日除外。）</w:t>
      </w:r>
    </w:p>
    <w:p w14:paraId="67256FD5">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2.地点：三门峡市公共资源交易中心网（网址：http://gzjy.smx.gov.cn/）</w:t>
      </w:r>
    </w:p>
    <w:p w14:paraId="2240280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3.方式：</w:t>
      </w:r>
      <w:r>
        <w:rPr>
          <w:rFonts w:hint="eastAsia" w:ascii="宋体" w:hAnsi="宋体" w:cs="宋体"/>
          <w:color w:val="auto"/>
          <w:sz w:val="24"/>
          <w:szCs w:val="24"/>
          <w:highlight w:val="none"/>
          <w:lang w:val="zh-TW"/>
        </w:rPr>
        <w:t>本项目没有报名环节，供应商凭CA数字证书通过三门峡市公共资源交易中心网（网址：</w:t>
      </w:r>
      <w:r>
        <w:rPr>
          <w:rFonts w:hint="eastAsia" w:ascii="宋体" w:hAnsi="宋体" w:cs="宋体"/>
          <w:color w:val="auto"/>
          <w:sz w:val="24"/>
          <w:szCs w:val="24"/>
          <w:highlight w:val="none"/>
          <w:lang w:val="zh-TW"/>
        </w:rPr>
        <w:fldChar w:fldCharType="begin"/>
      </w:r>
      <w:r>
        <w:rPr>
          <w:rFonts w:hint="eastAsia" w:ascii="宋体" w:hAnsi="宋体" w:cs="宋体"/>
          <w:color w:val="auto"/>
          <w:sz w:val="24"/>
          <w:szCs w:val="24"/>
          <w:highlight w:val="none"/>
          <w:lang w:val="zh-TW"/>
        </w:rPr>
        <w:instrText xml:space="preserve"> HYPERLINK "http://gzjy.smx.gov.cn/SMX/Home/index.do），点击交易平台选择" </w:instrText>
      </w:r>
      <w:r>
        <w:rPr>
          <w:rFonts w:hint="eastAsia" w:ascii="宋体" w:hAnsi="宋体" w:cs="宋体"/>
          <w:color w:val="auto"/>
          <w:sz w:val="24"/>
          <w:szCs w:val="24"/>
          <w:highlight w:val="none"/>
          <w:lang w:val="zh-TW"/>
        </w:rPr>
        <w:fldChar w:fldCharType="separate"/>
      </w:r>
      <w:r>
        <w:rPr>
          <w:rFonts w:hint="eastAsia" w:ascii="宋体" w:hAnsi="宋体" w:cs="宋体"/>
          <w:color w:val="auto"/>
          <w:sz w:val="24"/>
          <w:szCs w:val="24"/>
          <w:highlight w:val="none"/>
          <w:lang w:val="zh-TW"/>
        </w:rPr>
        <w:t>http://gzjy.smx.gov.cn/），点击交易平台选择“市场主体登录”，在所参与项目右侧点击参与投标，即可直接下载本项目招标文件。</w:t>
      </w:r>
      <w:r>
        <w:rPr>
          <w:rFonts w:hint="eastAsia" w:ascii="宋体" w:hAnsi="宋体" w:cs="宋体"/>
          <w:color w:val="auto"/>
          <w:sz w:val="24"/>
          <w:szCs w:val="24"/>
          <w:highlight w:val="none"/>
          <w:lang w:val="zh-TW"/>
        </w:rPr>
        <w:fldChar w:fldCharType="end"/>
      </w:r>
    </w:p>
    <w:p w14:paraId="124C72BB">
      <w:pPr>
        <w:spacing w:line="360" w:lineRule="auto"/>
        <w:ind w:firstLine="480" w:firstLineChars="200"/>
        <w:jc w:val="left"/>
        <w:rPr>
          <w:rFonts w:hint="eastAsia" w:ascii="宋体" w:hAnsi="宋体" w:cs="宋体"/>
          <w:color w:val="auto"/>
          <w:sz w:val="24"/>
          <w:szCs w:val="24"/>
          <w:highlight w:val="none"/>
          <w:lang w:val="zh-TW"/>
        </w:rPr>
      </w:pPr>
      <w:r>
        <w:rPr>
          <w:rFonts w:hint="eastAsia" w:ascii="宋体" w:hAnsi="宋体" w:cs="宋体"/>
          <w:color w:val="auto"/>
          <w:sz w:val="24"/>
          <w:szCs w:val="24"/>
          <w:highlight w:val="none"/>
        </w:rPr>
        <w:t>办理CA证书：http://gzjy.smx.gov.cn/bzzx/008001/20231102/4defc9b5-408e-47f2-9e9f-1f376a06ee1f.html</w:t>
      </w:r>
    </w:p>
    <w:p w14:paraId="19DA2FC6">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4.售价：0元</w:t>
      </w:r>
    </w:p>
    <w:p w14:paraId="62678F7A">
      <w:pPr>
        <w:spacing w:line="360" w:lineRule="auto"/>
        <w:ind w:firstLine="567" w:firstLineChars="236"/>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四、投标截止时间及地点</w:t>
      </w:r>
    </w:p>
    <w:p w14:paraId="39F81F46">
      <w:pPr>
        <w:spacing w:line="360" w:lineRule="auto"/>
        <w:ind w:firstLine="566" w:firstLineChars="236"/>
        <w:rPr>
          <w:rFonts w:hint="eastAsia" w:ascii="宋体" w:hAnsi="宋体" w:cs="宋体"/>
          <w:color w:val="auto"/>
          <w:sz w:val="24"/>
          <w:szCs w:val="24"/>
          <w:highlight w:val="none"/>
          <w:u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u w:val="none"/>
          <w:lang w:val="en-US" w:eastAsia="zh-CN"/>
        </w:rPr>
        <w:t>2025</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16</w:t>
      </w:r>
      <w:r>
        <w:rPr>
          <w:rFonts w:hint="eastAsia" w:ascii="宋体" w:hAnsi="宋体" w:cs="宋体"/>
          <w:color w:val="auto"/>
          <w:sz w:val="24"/>
          <w:szCs w:val="24"/>
          <w:highlight w:val="none"/>
          <w:u w:val="none"/>
        </w:rPr>
        <w:t>日</w:t>
      </w:r>
      <w:r>
        <w:rPr>
          <w:rFonts w:hint="eastAsia" w:ascii="宋体" w:hAnsi="宋体" w:cs="宋体"/>
          <w:color w:val="auto"/>
          <w:sz w:val="24"/>
          <w:szCs w:val="24"/>
          <w:highlight w:val="none"/>
          <w:u w:val="none"/>
          <w:lang w:val="en-US" w:eastAsia="zh-CN"/>
        </w:rPr>
        <w:t>09</w:t>
      </w:r>
      <w:r>
        <w:rPr>
          <w:rFonts w:hint="eastAsia" w:ascii="宋体" w:hAnsi="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cs="宋体"/>
          <w:color w:val="auto"/>
          <w:sz w:val="24"/>
          <w:szCs w:val="24"/>
          <w:highlight w:val="none"/>
          <w:u w:val="none"/>
        </w:rPr>
        <w:t>分（北京时间）</w:t>
      </w:r>
    </w:p>
    <w:p w14:paraId="7ED4A61B">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2.地点：加密电子投标文件须在投标截止时间前通过三门峡市公共资源交易中心电子交易平台加密上传。</w:t>
      </w:r>
    </w:p>
    <w:p w14:paraId="3EF5464E">
      <w:pPr>
        <w:spacing w:line="360" w:lineRule="auto"/>
        <w:ind w:firstLine="567" w:firstLineChars="236"/>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五、开标时间及地点</w:t>
      </w:r>
    </w:p>
    <w:p w14:paraId="6296F8C6">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1.时间：2025年12月16日09时00分</w:t>
      </w:r>
      <w:r>
        <w:rPr>
          <w:rFonts w:hint="eastAsia" w:ascii="宋体" w:hAnsi="宋体" w:cs="宋体"/>
          <w:color w:val="auto"/>
          <w:sz w:val="24"/>
          <w:szCs w:val="24"/>
          <w:highlight w:val="none"/>
          <w:u w:val="none"/>
        </w:rPr>
        <w:t>（北京时间）</w:t>
      </w:r>
    </w:p>
    <w:p w14:paraId="54D2A6FC">
      <w:pPr>
        <w:spacing w:line="360" w:lineRule="auto"/>
        <w:ind w:firstLine="566" w:firstLineChars="23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2.地点：</w:t>
      </w:r>
      <w:r>
        <w:rPr>
          <w:rFonts w:hint="eastAsia" w:ascii="宋体" w:hAnsi="宋体" w:cs="宋体"/>
          <w:color w:val="auto"/>
          <w:sz w:val="24"/>
          <w:szCs w:val="24"/>
          <w:highlight w:val="none"/>
          <w:u w:val="none"/>
        </w:rPr>
        <w:t>三门峡市公共资源交易中心第</w:t>
      </w:r>
      <w:r>
        <w:rPr>
          <w:rFonts w:hint="eastAsia" w:ascii="宋体" w:hAnsi="宋体" w:cs="宋体"/>
          <w:color w:val="auto"/>
          <w:sz w:val="24"/>
          <w:szCs w:val="24"/>
          <w:highlight w:val="none"/>
          <w:u w:val="none"/>
          <w:lang w:val="en-US" w:eastAsia="zh-CN"/>
        </w:rPr>
        <w:t>四</w:t>
      </w:r>
      <w:r>
        <w:rPr>
          <w:rFonts w:hint="eastAsia" w:ascii="宋体" w:hAnsi="宋体" w:cs="宋体"/>
          <w:color w:val="auto"/>
          <w:sz w:val="24"/>
          <w:szCs w:val="24"/>
          <w:highlight w:val="none"/>
          <w:u w:val="none"/>
        </w:rPr>
        <w:t>开标室</w:t>
      </w:r>
    </w:p>
    <w:p w14:paraId="305CF055">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787CBE19">
      <w:pPr>
        <w:spacing w:line="360" w:lineRule="auto"/>
        <w:ind w:firstLine="567" w:firstLineChars="236"/>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六、发布公告的媒介</w:t>
      </w:r>
    </w:p>
    <w:p w14:paraId="6495C163">
      <w:pPr>
        <w:spacing w:line="360" w:lineRule="auto"/>
        <w:ind w:firstLine="566" w:firstLineChars="236"/>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本次公告在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中国政府采购网》、</w:t>
      </w:r>
      <w:r>
        <w:rPr>
          <w:rFonts w:hint="eastAsia" w:ascii="宋体" w:hAnsi="宋体" w:cs="宋体"/>
          <w:color w:val="auto"/>
          <w:sz w:val="24"/>
          <w:szCs w:val="24"/>
          <w:highlight w:val="none"/>
        </w:rPr>
        <w:t>《河南省政府采购网》、《中国招标投标公共服务平台》、《三门峡市公共资源交易中心网》上发布。招标公告期限为五个工作日。</w:t>
      </w:r>
    </w:p>
    <w:p w14:paraId="6028D9FD">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七、其他事项</w:t>
      </w:r>
    </w:p>
    <w:p w14:paraId="1A3FB5C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1、供应商应仔细阅读操作手册，在本公告中要求的截止时间前完成投标工作，因投标人操作不当等问题造成的无法投标等一切后果，由供应商自行承担。</w:t>
      </w:r>
    </w:p>
    <w:p w14:paraId="192C3D6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2、本项目资格评审和业绩以投标文件为准，投标人可使用电子营业执照。</w:t>
      </w:r>
    </w:p>
    <w:p w14:paraId="513B4F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（1）资格评（预）审部分：资格评（预）审以投标文件为准，其上传资料真实性由投标人自行承担，同时，投标人应在开标前自行完善主体库信息。</w:t>
      </w:r>
    </w:p>
    <w:p w14:paraId="6B5E75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（2）评标打分部分：评标打分部分按照100分制原则进行，涉及到资格审查、企业荣誉、人员业绩、企业业绩等计分部分时，以投标单位自行上传到投标文件中的各类相应内容为准。</w:t>
      </w:r>
    </w:p>
    <w:p w14:paraId="21DAD7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38083B2">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3、根据《河南省财政厅关于优化政府采购营商环境有关问题的通知》（豫财购【2019】4号）第6条的规定，投标保证金不再收取。</w:t>
      </w:r>
    </w:p>
    <w:p w14:paraId="54492E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温馨提示：本项目为电子化、无纸化交易项目，开标时不再接受任何纸质资料，为保证您能投标成功，请需仔细阅读招标文件和三门峡市公共资源交易中心官网业务办理指南。</w:t>
      </w:r>
    </w:p>
    <w:p w14:paraId="168A322E">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八、联系方式</w:t>
      </w:r>
    </w:p>
    <w:p w14:paraId="6131BDAC">
      <w:pPr>
        <w:spacing w:line="360" w:lineRule="auto"/>
        <w:ind w:firstLine="480" w:firstLineChars="200"/>
        <w:rPr>
          <w:rFonts w:hint="eastAsia" w:ascii="宋体" w:hAnsi="宋体" w:cs="宋体"/>
          <w:color w:val="auto"/>
          <w:sz w:val="24"/>
          <w:szCs w:val="24"/>
          <w:highlight w:val="none"/>
          <w:lang w:val="en-US" w:eastAsia="zh-CN"/>
        </w:rPr>
      </w:pPr>
      <w:bookmarkStart w:id="4" w:name="_Toc28449"/>
      <w:bookmarkStart w:id="5" w:name="_Toc270604573"/>
      <w:bookmarkStart w:id="6" w:name="_Toc410126998"/>
      <w:r>
        <w:rPr>
          <w:rFonts w:hint="eastAsia" w:ascii="宋体" w:hAnsi="宋体" w:cs="宋体"/>
          <w:color w:val="auto"/>
          <w:sz w:val="24"/>
          <w:szCs w:val="24"/>
          <w:highlight w:val="none"/>
        </w:rPr>
        <w:t>招标人：</w:t>
      </w:r>
      <w:r>
        <w:rPr>
          <w:rFonts w:hint="eastAsia" w:ascii="宋体" w:hAnsi="宋体" w:cs="宋体"/>
          <w:color w:val="auto"/>
          <w:sz w:val="24"/>
          <w:szCs w:val="24"/>
          <w:highlight w:val="none"/>
          <w:lang w:val="en-US" w:eastAsia="zh-CN"/>
        </w:rPr>
        <w:t>三门峡市气象局</w:t>
      </w:r>
    </w:p>
    <w:p w14:paraId="64A5B5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址：三门峡市湖滨区甘棠南路与五原西路交叉路口往南约140米</w:t>
      </w:r>
    </w:p>
    <w:p w14:paraId="442344C7">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效文娟</w:t>
      </w:r>
    </w:p>
    <w:p w14:paraId="2FC6675A">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电  话：0398-2181355</w:t>
      </w:r>
      <w:r>
        <w:rPr>
          <w:rFonts w:hint="eastAsia" w:ascii="宋体" w:hAnsi="宋体" w:cs="宋体"/>
          <w:color w:val="auto"/>
          <w:sz w:val="24"/>
          <w:szCs w:val="24"/>
          <w:highlight w:val="none"/>
          <w:lang w:val="en-US" w:eastAsia="zh-CN"/>
        </w:rPr>
        <w:t xml:space="preserve"> </w:t>
      </w:r>
    </w:p>
    <w:p w14:paraId="125B1CE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s="宋体"/>
          <w:color w:val="auto"/>
          <w:kern w:val="0"/>
          <w:sz w:val="24"/>
          <w:szCs w:val="24"/>
          <w:highlight w:val="none"/>
          <w:lang w:eastAsia="zh-CN"/>
        </w:rPr>
        <w:t>中恒晟（北京）工程管理有限公司</w:t>
      </w:r>
    </w:p>
    <w:p w14:paraId="4C70BD88">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  址：三门峡</w:t>
      </w:r>
      <w:r>
        <w:rPr>
          <w:rFonts w:hint="eastAsia" w:ascii="宋体" w:hAnsi="宋体" w:cs="宋体"/>
          <w:color w:val="auto"/>
          <w:sz w:val="24"/>
          <w:szCs w:val="24"/>
          <w:highlight w:val="none"/>
          <w:lang w:val="en-US" w:eastAsia="zh-CN"/>
        </w:rPr>
        <w:t>鸿庆国际大厦1710</w:t>
      </w:r>
    </w:p>
    <w:p w14:paraId="1C23EEA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lang w:val="en-US" w:eastAsia="zh-CN"/>
        </w:rPr>
        <w:t>昝洋帆</w:t>
      </w:r>
    </w:p>
    <w:p w14:paraId="2987A495">
      <w:pPr>
        <w:widowControl/>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kern w:val="0"/>
          <w:sz w:val="24"/>
          <w:szCs w:val="24"/>
          <w:highlight w:val="none"/>
          <w:lang w:val="en-US" w:eastAsia="zh-CN"/>
        </w:rPr>
        <w:t>18503986091</w:t>
      </w:r>
    </w:p>
    <w:p w14:paraId="53C1C4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监督单位：三门峡市财政局政府采购监督管理科</w:t>
      </w:r>
    </w:p>
    <w:p w14:paraId="4B8E750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电话：0398-2608915</w:t>
      </w:r>
    </w:p>
    <w:p w14:paraId="1F8C4AA3">
      <w:pPr>
        <w:pStyle w:val="2"/>
        <w:jc w:val="right"/>
        <w:rPr>
          <w:rFonts w:hint="default" w:ascii="宋体" w:hAnsi="宋体" w:eastAsia="宋体" w:cs="宋体"/>
          <w:b w:val="0"/>
          <w:bCs w:val="0"/>
          <w:caps w:val="0"/>
          <w:color w:val="auto"/>
          <w:kern w:val="2"/>
          <w:sz w:val="24"/>
          <w:szCs w:val="24"/>
          <w:highlight w:val="none"/>
          <w:lang w:val="en-US" w:eastAsia="zh-CN" w:bidi="ar-SA"/>
        </w:rPr>
      </w:pPr>
      <w:r>
        <w:rPr>
          <w:rFonts w:hint="eastAsia" w:ascii="宋体" w:hAnsi="宋体" w:eastAsia="宋体" w:cs="宋体"/>
          <w:b w:val="0"/>
          <w:bCs w:val="0"/>
          <w:caps w:val="0"/>
          <w:color w:val="auto"/>
          <w:kern w:val="2"/>
          <w:sz w:val="24"/>
          <w:szCs w:val="24"/>
          <w:highlight w:val="none"/>
          <w:lang w:val="en-US" w:eastAsia="zh-CN" w:bidi="ar-SA"/>
        </w:rPr>
        <w:t>2025年11月</w:t>
      </w:r>
      <w:r>
        <w:rPr>
          <w:rFonts w:hint="default" w:cs="宋体"/>
          <w:b w:val="0"/>
          <w:bCs w:val="0"/>
          <w:caps w:val="0"/>
          <w:color w:val="auto"/>
          <w:kern w:val="2"/>
          <w:sz w:val="24"/>
          <w:szCs w:val="24"/>
          <w:highlight w:val="none"/>
          <w:lang w:val="en-US" w:eastAsia="zh-CN" w:bidi="ar-SA"/>
        </w:rPr>
        <w:t>24</w:t>
      </w:r>
      <w:r>
        <w:rPr>
          <w:rFonts w:hint="eastAsia" w:ascii="宋体" w:hAnsi="宋体" w:eastAsia="宋体" w:cs="宋体"/>
          <w:b w:val="0"/>
          <w:bCs w:val="0"/>
          <w:caps w:val="0"/>
          <w:color w:val="auto"/>
          <w:kern w:val="2"/>
          <w:sz w:val="24"/>
          <w:szCs w:val="24"/>
          <w:highlight w:val="none"/>
          <w:lang w:val="en-US" w:eastAsia="zh-CN" w:bidi="ar-SA"/>
        </w:rPr>
        <w:t>日</w:t>
      </w:r>
    </w:p>
    <w:p w14:paraId="332BEF6C">
      <w:pPr>
        <w:pStyle w:val="3"/>
        <w:keepNext w:val="0"/>
        <w:keepLines w:val="0"/>
        <w:pageBreakBefore/>
        <w:spacing w:before="120" w:after="120" w:line="400" w:lineRule="exact"/>
        <w:jc w:val="center"/>
        <w:rPr>
          <w:rFonts w:hint="eastAsia" w:ascii="宋体" w:hAnsi="宋体" w:cs="宋体"/>
          <w:color w:val="auto"/>
          <w:sz w:val="36"/>
          <w:szCs w:val="36"/>
          <w:highlight w:val="none"/>
        </w:rPr>
      </w:pPr>
      <w:bookmarkStart w:id="7" w:name="_Toc12317"/>
      <w:bookmarkStart w:id="8" w:name="_Toc28372"/>
      <w:r>
        <w:rPr>
          <w:rFonts w:hint="eastAsia" w:ascii="宋体" w:hAnsi="宋体" w:cs="宋体"/>
          <w:color w:val="auto"/>
          <w:sz w:val="36"/>
          <w:szCs w:val="36"/>
          <w:highlight w:val="none"/>
        </w:rPr>
        <w:t>第二章 供应商须知</w:t>
      </w:r>
      <w:bookmarkEnd w:id="4"/>
      <w:bookmarkEnd w:id="5"/>
      <w:bookmarkEnd w:id="6"/>
      <w:bookmarkEnd w:id="7"/>
      <w:bookmarkEnd w:id="8"/>
      <w:bookmarkStart w:id="9" w:name="_Toc503886922"/>
      <w:bookmarkStart w:id="10" w:name="_Toc503885586"/>
      <w:bookmarkStart w:id="11" w:name="_Toc31918"/>
      <w:bookmarkStart w:id="12" w:name="_Toc503112329"/>
      <w:bookmarkStart w:id="13" w:name="_Toc504055106"/>
      <w:bookmarkStart w:id="14" w:name="_Toc4962"/>
      <w:bookmarkStart w:id="15" w:name="_Toc269470293"/>
      <w:bookmarkStart w:id="16" w:name="_Toc15504"/>
      <w:bookmarkStart w:id="17" w:name="_Toc505073888"/>
      <w:bookmarkStart w:id="18" w:name="_Toc270604574"/>
    </w:p>
    <w:p w14:paraId="378CDB53">
      <w:pPr>
        <w:spacing w:line="360" w:lineRule="auto"/>
        <w:jc w:val="center"/>
        <w:rPr>
          <w:rFonts w:hint="eastAsia" w:ascii="宋体" w:hAnsi="宋体" w:cs="宋体"/>
          <w:color w:val="auto"/>
          <w:sz w:val="24"/>
          <w:szCs w:val="24"/>
          <w:highlight w:val="none"/>
        </w:rPr>
      </w:pPr>
      <w:bookmarkStart w:id="19" w:name="_Toc31332"/>
      <w:bookmarkStart w:id="20" w:name="_Toc6916"/>
      <w:r>
        <w:rPr>
          <w:rFonts w:hint="eastAsia" w:ascii="宋体" w:hAnsi="宋体" w:cs="宋体"/>
          <w:b/>
          <w:color w:val="auto"/>
          <w:sz w:val="24"/>
          <w:szCs w:val="20"/>
          <w:highlight w:val="none"/>
        </w:rPr>
        <w:t>供应商须知前附表</w:t>
      </w:r>
      <w:bookmarkEnd w:id="9"/>
      <w:bookmarkEnd w:id="10"/>
      <w:bookmarkEnd w:id="11"/>
      <w:bookmarkEnd w:id="12"/>
      <w:bookmarkEnd w:id="13"/>
      <w:bookmarkEnd w:id="14"/>
      <w:bookmarkEnd w:id="15"/>
      <w:bookmarkEnd w:id="16"/>
      <w:bookmarkEnd w:id="17"/>
      <w:bookmarkEnd w:id="18"/>
      <w:bookmarkEnd w:id="19"/>
      <w:bookmarkEnd w:id="20"/>
    </w:p>
    <w:tbl>
      <w:tblPr>
        <w:tblStyle w:val="22"/>
        <w:tblW w:w="96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6803"/>
      </w:tblGrid>
      <w:tr w14:paraId="38773585">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1C6D7DE">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条款号</w:t>
            </w:r>
          </w:p>
        </w:tc>
        <w:tc>
          <w:tcPr>
            <w:tcW w:w="1843" w:type="dxa"/>
            <w:tcBorders>
              <w:top w:val="single" w:color="auto" w:sz="4" w:space="0"/>
              <w:left w:val="nil"/>
              <w:bottom w:val="single" w:color="auto" w:sz="4" w:space="0"/>
              <w:right w:val="single" w:color="auto" w:sz="4" w:space="0"/>
            </w:tcBorders>
            <w:vAlign w:val="center"/>
          </w:tcPr>
          <w:p w14:paraId="34543BE3">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条款名称</w:t>
            </w:r>
          </w:p>
        </w:tc>
        <w:tc>
          <w:tcPr>
            <w:tcW w:w="6803" w:type="dxa"/>
            <w:tcBorders>
              <w:top w:val="single" w:color="auto" w:sz="4" w:space="0"/>
              <w:left w:val="nil"/>
              <w:bottom w:val="single" w:color="auto" w:sz="4" w:space="0"/>
              <w:right w:val="single" w:color="auto" w:sz="4" w:space="0"/>
            </w:tcBorders>
            <w:vAlign w:val="center"/>
          </w:tcPr>
          <w:p w14:paraId="1E8A3DF2">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编  列  内  容</w:t>
            </w:r>
          </w:p>
        </w:tc>
      </w:tr>
      <w:tr w14:paraId="23F92DED">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04D0988">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1843" w:type="dxa"/>
            <w:tcBorders>
              <w:top w:val="single" w:color="auto" w:sz="4" w:space="0"/>
              <w:left w:val="nil"/>
              <w:bottom w:val="single" w:color="auto" w:sz="4" w:space="0"/>
              <w:right w:val="single" w:color="auto" w:sz="4" w:space="0"/>
            </w:tcBorders>
            <w:vAlign w:val="center"/>
          </w:tcPr>
          <w:p w14:paraId="3673748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采购人</w:t>
            </w:r>
          </w:p>
        </w:tc>
        <w:tc>
          <w:tcPr>
            <w:tcW w:w="6803" w:type="dxa"/>
            <w:tcBorders>
              <w:top w:val="single" w:color="auto" w:sz="4" w:space="0"/>
              <w:left w:val="nil"/>
              <w:bottom w:val="single" w:color="auto" w:sz="4" w:space="0"/>
              <w:right w:val="single" w:color="auto" w:sz="4" w:space="0"/>
            </w:tcBorders>
            <w:vAlign w:val="center"/>
          </w:tcPr>
          <w:p w14:paraId="4AECDEF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招标人：三门峡市气象局</w:t>
            </w:r>
          </w:p>
          <w:p w14:paraId="70D0CDF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  址：三门峡市湖滨区甘棠南路与五原西路交叉路口往南约140米</w:t>
            </w:r>
          </w:p>
          <w:p w14:paraId="3602F8F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联系人：效文娟</w:t>
            </w:r>
          </w:p>
          <w:p w14:paraId="5451C97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电  话：0398-2181355 </w:t>
            </w:r>
          </w:p>
        </w:tc>
      </w:tr>
      <w:tr w14:paraId="5EE771BC">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963A64E">
            <w:pPr>
              <w:widowControl/>
              <w:spacing w:line="360" w:lineRule="auto"/>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1843" w:type="dxa"/>
            <w:tcBorders>
              <w:top w:val="single" w:color="auto" w:sz="4" w:space="0"/>
              <w:left w:val="nil"/>
              <w:bottom w:val="single" w:color="auto" w:sz="4" w:space="0"/>
              <w:right w:val="single" w:color="auto" w:sz="4" w:space="0"/>
            </w:tcBorders>
            <w:vAlign w:val="center"/>
          </w:tcPr>
          <w:p w14:paraId="6EEFC39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采购代理</w:t>
            </w:r>
          </w:p>
          <w:p w14:paraId="7F2E8B9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机构</w:t>
            </w:r>
          </w:p>
        </w:tc>
        <w:tc>
          <w:tcPr>
            <w:tcW w:w="6803" w:type="dxa"/>
            <w:tcBorders>
              <w:top w:val="single" w:color="auto" w:sz="4" w:space="0"/>
              <w:left w:val="nil"/>
              <w:bottom w:val="single" w:color="auto" w:sz="4" w:space="0"/>
              <w:right w:val="single" w:color="auto" w:sz="4" w:space="0"/>
            </w:tcBorders>
            <w:vAlign w:val="center"/>
          </w:tcPr>
          <w:p w14:paraId="76427E8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招标代理机构：中恒晟（北京）工程管理有限公司</w:t>
            </w:r>
          </w:p>
          <w:p w14:paraId="01523A4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  址：三门峡鸿庆国际大厦1710</w:t>
            </w:r>
          </w:p>
          <w:p w14:paraId="0DB5660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联系人：昝洋帆</w:t>
            </w:r>
          </w:p>
          <w:p w14:paraId="43E2AB4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  话：18503986091</w:t>
            </w:r>
          </w:p>
        </w:tc>
      </w:tr>
      <w:tr w14:paraId="54376211">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0032484">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w:t>
            </w:r>
          </w:p>
        </w:tc>
        <w:tc>
          <w:tcPr>
            <w:tcW w:w="1843" w:type="dxa"/>
            <w:tcBorders>
              <w:top w:val="single" w:color="auto" w:sz="4" w:space="0"/>
              <w:left w:val="nil"/>
              <w:bottom w:val="single" w:color="auto" w:sz="4" w:space="0"/>
              <w:right w:val="single" w:color="auto" w:sz="4" w:space="0"/>
            </w:tcBorders>
            <w:vAlign w:val="center"/>
          </w:tcPr>
          <w:p w14:paraId="439CD96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803" w:type="dxa"/>
            <w:tcBorders>
              <w:top w:val="single" w:color="auto" w:sz="4" w:space="0"/>
              <w:left w:val="nil"/>
              <w:bottom w:val="single" w:color="auto" w:sz="4" w:space="0"/>
              <w:right w:val="single" w:color="auto" w:sz="4" w:space="0"/>
            </w:tcBorders>
            <w:vAlign w:val="center"/>
          </w:tcPr>
          <w:p w14:paraId="734C612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三门峡市气象局三门峡市精准化气象防灾减灾工程项目</w:t>
            </w:r>
          </w:p>
        </w:tc>
      </w:tr>
      <w:tr w14:paraId="47382866">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BBA04CF">
            <w:pPr>
              <w:widowControl/>
              <w:spacing w:line="360" w:lineRule="auto"/>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w:t>
            </w:r>
          </w:p>
        </w:tc>
        <w:tc>
          <w:tcPr>
            <w:tcW w:w="1843" w:type="dxa"/>
            <w:tcBorders>
              <w:top w:val="single" w:color="auto" w:sz="4" w:space="0"/>
              <w:left w:val="nil"/>
              <w:bottom w:val="single" w:color="auto" w:sz="4" w:space="0"/>
              <w:right w:val="single" w:color="auto" w:sz="4" w:space="0"/>
            </w:tcBorders>
            <w:vAlign w:val="center"/>
          </w:tcPr>
          <w:p w14:paraId="5A5762D9">
            <w:pPr>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最高限价</w:t>
            </w:r>
          </w:p>
        </w:tc>
        <w:tc>
          <w:tcPr>
            <w:tcW w:w="6803" w:type="dxa"/>
            <w:tcBorders>
              <w:top w:val="single" w:color="auto" w:sz="4" w:space="0"/>
              <w:left w:val="nil"/>
              <w:bottom w:val="single" w:color="auto" w:sz="4" w:space="0"/>
              <w:right w:val="single" w:color="auto" w:sz="4" w:space="0"/>
            </w:tcBorders>
            <w:vAlign w:val="center"/>
          </w:tcPr>
          <w:p w14:paraId="6577FD2A">
            <w:pPr>
              <w:spacing w:line="360" w:lineRule="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6770173元</w:t>
            </w:r>
          </w:p>
        </w:tc>
      </w:tr>
      <w:tr w14:paraId="10EB2AA1">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072995C">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w:t>
            </w:r>
          </w:p>
        </w:tc>
        <w:tc>
          <w:tcPr>
            <w:tcW w:w="1843" w:type="dxa"/>
            <w:tcBorders>
              <w:top w:val="single" w:color="auto" w:sz="4" w:space="0"/>
              <w:left w:val="nil"/>
              <w:bottom w:val="single" w:color="auto" w:sz="4" w:space="0"/>
              <w:right w:val="single" w:color="auto" w:sz="4" w:space="0"/>
            </w:tcBorders>
            <w:vAlign w:val="center"/>
          </w:tcPr>
          <w:p w14:paraId="57724320">
            <w:pPr>
              <w:pStyle w:val="26"/>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资金来源</w:t>
            </w:r>
          </w:p>
        </w:tc>
        <w:tc>
          <w:tcPr>
            <w:tcW w:w="6803" w:type="dxa"/>
            <w:tcBorders>
              <w:top w:val="single" w:color="auto" w:sz="4" w:space="0"/>
              <w:left w:val="nil"/>
              <w:bottom w:val="single" w:color="auto" w:sz="4" w:space="0"/>
              <w:right w:val="single" w:color="auto" w:sz="4" w:space="0"/>
            </w:tcBorders>
            <w:vAlign w:val="center"/>
          </w:tcPr>
          <w:p w14:paraId="55860142">
            <w:pPr>
              <w:pStyle w:val="26"/>
              <w:spacing w:line="360" w:lineRule="auto"/>
              <w:rPr>
                <w:rFonts w:hint="eastAsia" w:ascii="宋体" w:hAnsi="宋体" w:cs="宋体"/>
                <w:color w:val="auto"/>
                <w:szCs w:val="24"/>
                <w:highlight w:val="none"/>
              </w:rPr>
            </w:pPr>
            <w:r>
              <w:rPr>
                <w:rFonts w:hint="eastAsia" w:ascii="宋体" w:hAnsi="宋体" w:cs="宋体"/>
                <w:color w:val="auto"/>
                <w:szCs w:val="24"/>
                <w:highlight w:val="none"/>
              </w:rPr>
              <w:t>财政资金，已落实</w:t>
            </w:r>
          </w:p>
        </w:tc>
      </w:tr>
      <w:tr w14:paraId="5940CD2F">
        <w:trPr>
          <w:trHeight w:val="1038" w:hRule="atLeast"/>
        </w:trPr>
        <w:tc>
          <w:tcPr>
            <w:tcW w:w="993" w:type="dxa"/>
            <w:tcBorders>
              <w:top w:val="single" w:color="auto" w:sz="4" w:space="0"/>
              <w:left w:val="single" w:color="auto" w:sz="4" w:space="0"/>
              <w:bottom w:val="single" w:color="auto" w:sz="4" w:space="0"/>
              <w:right w:val="single" w:color="auto" w:sz="4" w:space="0"/>
            </w:tcBorders>
            <w:vAlign w:val="center"/>
          </w:tcPr>
          <w:p w14:paraId="28CF1A50">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p>
        </w:tc>
        <w:tc>
          <w:tcPr>
            <w:tcW w:w="1843" w:type="dxa"/>
            <w:tcBorders>
              <w:top w:val="single" w:color="auto" w:sz="4" w:space="0"/>
              <w:left w:val="nil"/>
              <w:bottom w:val="single" w:color="auto" w:sz="4" w:space="0"/>
              <w:right w:val="single" w:color="auto" w:sz="4" w:space="0"/>
            </w:tcBorders>
            <w:vAlign w:val="center"/>
          </w:tcPr>
          <w:p w14:paraId="2C312EE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采购范围</w:t>
            </w:r>
          </w:p>
        </w:tc>
        <w:tc>
          <w:tcPr>
            <w:tcW w:w="6803" w:type="dxa"/>
            <w:tcBorders>
              <w:top w:val="single" w:color="auto" w:sz="4" w:space="0"/>
              <w:left w:val="nil"/>
              <w:bottom w:val="single" w:color="auto" w:sz="4" w:space="0"/>
              <w:right w:val="single" w:color="auto" w:sz="4" w:space="0"/>
            </w:tcBorders>
            <w:vAlign w:val="center"/>
          </w:tcPr>
          <w:p w14:paraId="10E4A232">
            <w:pPr>
              <w:pStyle w:val="26"/>
              <w:spacing w:line="360" w:lineRule="auto"/>
              <w:rPr>
                <w:rFonts w:hint="eastAsia" w:ascii="宋体" w:hAnsi="宋体" w:cs="宋体"/>
                <w:color w:val="auto"/>
                <w:szCs w:val="24"/>
                <w:highlight w:val="none"/>
              </w:rPr>
            </w:pPr>
            <w:r>
              <w:rPr>
                <w:rFonts w:hint="eastAsia" w:ascii="宋体" w:hAnsi="宋体" w:cs="宋体"/>
                <w:color w:val="auto"/>
                <w:szCs w:val="24"/>
                <w:highlight w:val="none"/>
              </w:rPr>
              <w:t>本项目为三门峡市气象局三门峡市精准化气象防灾减灾工程项目。项目主要内容：精准化立体气象观测分系统；精准化气象预报预警系统；智慧型公共气象服务系统。（详见采购内容清单）</w:t>
            </w:r>
          </w:p>
        </w:tc>
      </w:tr>
      <w:tr w14:paraId="2D5A019D">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60C69E7">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1843" w:type="dxa"/>
            <w:tcBorders>
              <w:top w:val="single" w:color="auto" w:sz="4" w:space="0"/>
              <w:left w:val="nil"/>
              <w:bottom w:val="single" w:color="auto" w:sz="4" w:space="0"/>
              <w:right w:val="single" w:color="auto" w:sz="4" w:space="0"/>
            </w:tcBorders>
            <w:vAlign w:val="center"/>
          </w:tcPr>
          <w:p w14:paraId="454796FD">
            <w:pPr>
              <w:pStyle w:val="26"/>
              <w:spacing w:line="360" w:lineRule="auto"/>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服务期限</w:t>
            </w:r>
          </w:p>
        </w:tc>
        <w:tc>
          <w:tcPr>
            <w:tcW w:w="6803" w:type="dxa"/>
            <w:tcBorders>
              <w:top w:val="single" w:color="auto" w:sz="4" w:space="0"/>
              <w:left w:val="nil"/>
              <w:bottom w:val="single" w:color="auto" w:sz="4" w:space="0"/>
              <w:right w:val="single" w:color="auto" w:sz="4" w:space="0"/>
            </w:tcBorders>
            <w:vAlign w:val="center"/>
          </w:tcPr>
          <w:p w14:paraId="66783A1B">
            <w:pPr>
              <w:pStyle w:val="26"/>
              <w:spacing w:line="360" w:lineRule="auto"/>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合同签订后12个月内完成系统开发和项目建设</w:t>
            </w:r>
          </w:p>
        </w:tc>
      </w:tr>
      <w:tr w14:paraId="22C0EB0B">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0FCBBC6">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w:t>
            </w:r>
          </w:p>
        </w:tc>
        <w:tc>
          <w:tcPr>
            <w:tcW w:w="1843" w:type="dxa"/>
            <w:tcBorders>
              <w:top w:val="single" w:color="auto" w:sz="4" w:space="0"/>
              <w:left w:val="nil"/>
              <w:bottom w:val="single" w:color="auto" w:sz="4" w:space="0"/>
              <w:right w:val="single" w:color="auto" w:sz="4" w:space="0"/>
            </w:tcBorders>
            <w:vAlign w:val="center"/>
          </w:tcPr>
          <w:p w14:paraId="2ABC8FAB">
            <w:pPr>
              <w:pStyle w:val="26"/>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项目地点</w:t>
            </w:r>
          </w:p>
        </w:tc>
        <w:tc>
          <w:tcPr>
            <w:tcW w:w="6803" w:type="dxa"/>
            <w:tcBorders>
              <w:top w:val="single" w:color="auto" w:sz="4" w:space="0"/>
              <w:left w:val="nil"/>
              <w:bottom w:val="single" w:color="auto" w:sz="4" w:space="0"/>
              <w:right w:val="single" w:color="auto" w:sz="4" w:space="0"/>
            </w:tcBorders>
            <w:vAlign w:val="center"/>
          </w:tcPr>
          <w:p w14:paraId="1EE06CF6">
            <w:pPr>
              <w:pStyle w:val="26"/>
              <w:spacing w:line="360" w:lineRule="auto"/>
              <w:rPr>
                <w:rFonts w:hint="eastAsia" w:ascii="宋体" w:hAnsi="宋体" w:cs="宋体"/>
                <w:color w:val="auto"/>
                <w:szCs w:val="24"/>
                <w:highlight w:val="none"/>
              </w:rPr>
            </w:pPr>
            <w:r>
              <w:rPr>
                <w:rFonts w:hint="eastAsia" w:ascii="宋体" w:hAnsi="宋体" w:cs="宋体"/>
                <w:color w:val="auto"/>
                <w:szCs w:val="24"/>
                <w:highlight w:val="none"/>
              </w:rPr>
              <w:t>采购人指定地点</w:t>
            </w:r>
          </w:p>
        </w:tc>
      </w:tr>
      <w:tr w14:paraId="48597CBF">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E05B805">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1.9</w:t>
            </w:r>
          </w:p>
        </w:tc>
        <w:tc>
          <w:tcPr>
            <w:tcW w:w="1843" w:type="dxa"/>
            <w:tcBorders>
              <w:top w:val="single" w:color="auto" w:sz="4" w:space="0"/>
              <w:left w:val="nil"/>
              <w:bottom w:val="single" w:color="auto" w:sz="4" w:space="0"/>
              <w:right w:val="single" w:color="auto" w:sz="4" w:space="0"/>
            </w:tcBorders>
            <w:vAlign w:val="center"/>
          </w:tcPr>
          <w:p w14:paraId="1C718C6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质量要求</w:t>
            </w:r>
          </w:p>
        </w:tc>
        <w:tc>
          <w:tcPr>
            <w:tcW w:w="6803" w:type="dxa"/>
            <w:tcBorders>
              <w:top w:val="single" w:color="auto" w:sz="4" w:space="0"/>
              <w:left w:val="nil"/>
              <w:bottom w:val="single" w:color="auto" w:sz="4" w:space="0"/>
              <w:right w:val="single" w:color="auto" w:sz="4" w:space="0"/>
            </w:tcBorders>
            <w:vAlign w:val="center"/>
          </w:tcPr>
          <w:p w14:paraId="4B243D89">
            <w:pPr>
              <w:snapToGrid w:val="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合格，符合国家及行业标准，并满足采购人要求。</w:t>
            </w:r>
          </w:p>
        </w:tc>
      </w:tr>
      <w:tr w14:paraId="1637757B">
        <w:trPr>
          <w:trHeight w:val="336" w:hRule="atLeast"/>
        </w:trPr>
        <w:tc>
          <w:tcPr>
            <w:tcW w:w="993" w:type="dxa"/>
            <w:tcBorders>
              <w:top w:val="single" w:color="auto" w:sz="4" w:space="0"/>
              <w:left w:val="single" w:color="auto" w:sz="4" w:space="0"/>
              <w:bottom w:val="single" w:color="auto" w:sz="4" w:space="0"/>
              <w:right w:val="single" w:color="auto" w:sz="4" w:space="0"/>
            </w:tcBorders>
            <w:vAlign w:val="center"/>
          </w:tcPr>
          <w:p w14:paraId="2C138C4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w:t>
            </w:r>
          </w:p>
        </w:tc>
        <w:tc>
          <w:tcPr>
            <w:tcW w:w="1843" w:type="dxa"/>
            <w:tcBorders>
              <w:top w:val="single" w:color="auto" w:sz="4" w:space="0"/>
              <w:left w:val="nil"/>
              <w:bottom w:val="single" w:color="auto" w:sz="4" w:space="0"/>
              <w:right w:val="single" w:color="auto" w:sz="4" w:space="0"/>
            </w:tcBorders>
            <w:vAlign w:val="center"/>
          </w:tcPr>
          <w:p w14:paraId="04F9079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供应商资质</w:t>
            </w:r>
          </w:p>
          <w:p w14:paraId="60A4DB2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条件、能力</w:t>
            </w:r>
          </w:p>
          <w:p w14:paraId="2F7798C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和信誉</w:t>
            </w:r>
          </w:p>
        </w:tc>
        <w:tc>
          <w:tcPr>
            <w:tcW w:w="6803" w:type="dxa"/>
            <w:tcBorders>
              <w:top w:val="single" w:color="auto" w:sz="4" w:space="0"/>
              <w:left w:val="nil"/>
              <w:bottom w:val="single" w:color="auto" w:sz="4" w:space="0"/>
              <w:right w:val="single" w:color="auto" w:sz="4" w:space="0"/>
            </w:tcBorders>
            <w:vAlign w:val="center"/>
          </w:tcPr>
          <w:p w14:paraId="39C47898">
            <w:pPr>
              <w:spacing w:line="360" w:lineRule="auto"/>
              <w:rPr>
                <w:rFonts w:hint="eastAsia" w:ascii="宋体" w:hAnsi="宋体" w:cs="宋体"/>
                <w:color w:val="auto"/>
                <w:sz w:val="24"/>
                <w:szCs w:val="24"/>
                <w:highlight w:val="none"/>
                <w:lang w:val="zh-TW"/>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TW"/>
              </w:rPr>
              <w:t>供应商须符合《中华人民共和国政府采购法》第二十二条的规定；</w:t>
            </w:r>
          </w:p>
          <w:p w14:paraId="7B15637D">
            <w:pPr>
              <w:spacing w:line="360" w:lineRule="auto"/>
              <w:rPr>
                <w:rFonts w:hint="eastAsia" w:ascii="宋体" w:hAnsi="宋体" w:cs="宋体"/>
                <w:color w:val="auto"/>
                <w:sz w:val="24"/>
                <w:szCs w:val="24"/>
                <w:highlight w:val="none"/>
                <w:lang w:bidi="en-US"/>
              </w:rPr>
            </w:pPr>
            <w:r>
              <w:rPr>
                <w:rFonts w:hint="eastAsia" w:ascii="宋体" w:hAnsi="宋体" w:cs="宋体"/>
                <w:color w:val="auto"/>
                <w:sz w:val="24"/>
                <w:szCs w:val="24"/>
                <w:highlight w:val="none"/>
              </w:rPr>
              <w:t>2、落实相关采购政策</w:t>
            </w:r>
            <w:r>
              <w:rPr>
                <w:rFonts w:hint="eastAsia" w:ascii="宋体" w:hAnsi="宋体" w:cs="宋体"/>
                <w:color w:val="auto"/>
                <w:sz w:val="24"/>
                <w:szCs w:val="24"/>
                <w:highlight w:val="none"/>
                <w:lang w:bidi="en-US"/>
              </w:rPr>
              <w:t>满足的资格要求</w:t>
            </w:r>
            <w:r>
              <w:rPr>
                <w:rFonts w:hint="eastAsia" w:ascii="宋体" w:hAnsi="宋体" w:cs="宋体"/>
                <w:color w:val="auto"/>
                <w:sz w:val="24"/>
                <w:szCs w:val="24"/>
                <w:highlight w:val="none"/>
              </w:rPr>
              <w:t>：无。</w:t>
            </w:r>
          </w:p>
          <w:p w14:paraId="3F4B28B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3、本项目特定资格要求</w:t>
            </w:r>
          </w:p>
          <w:p w14:paraId="728C30FE">
            <w:pPr>
              <w:spacing w:line="360" w:lineRule="auto"/>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TW"/>
              </w:rPr>
              <w:t>具有独立承担民事责任的能力(供应商提供有效的法人证书或者其他组织的营业执照等证明文件或自然人的身份证明)。</w:t>
            </w:r>
          </w:p>
          <w:p w14:paraId="253DD3F6">
            <w:pPr>
              <w:spacing w:line="360" w:lineRule="auto"/>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TW"/>
              </w:rPr>
              <w:t>具有履行合同所必需的设备和专业技术能力(提供承诺书，格式自拟)。</w:t>
            </w:r>
          </w:p>
          <w:p w14:paraId="5D92C348">
            <w:pPr>
              <w:spacing w:line="360" w:lineRule="auto"/>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TW"/>
              </w:rPr>
              <w:t>供应商参加政府采购活动前三年内在经营活动中没有重大违法、违纪行为(提供加盖公章的书面声明，格式自拟)。</w:t>
            </w:r>
          </w:p>
          <w:p w14:paraId="01AB6F8E">
            <w:pPr>
              <w:spacing w:line="360" w:lineRule="auto"/>
              <w:rPr>
                <w:rFonts w:hint="eastAsia" w:ascii="宋体" w:hAnsi="宋体" w:cs="宋体"/>
                <w:color w:val="auto"/>
                <w:sz w:val="24"/>
                <w:szCs w:val="24"/>
                <w:highlight w:val="none"/>
                <w:lang w:val="zh-TW"/>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zh-TW" w:eastAsia="zh-CN"/>
              </w:rPr>
              <w:t>供应商</w:t>
            </w:r>
            <w:r>
              <w:rPr>
                <w:rFonts w:hint="eastAsia" w:ascii="宋体" w:hAnsi="宋体" w:cs="宋体"/>
                <w:color w:val="auto"/>
                <w:sz w:val="24"/>
                <w:szCs w:val="24"/>
                <w:highlight w:val="none"/>
                <w:lang w:val="zh-TW"/>
              </w:rPr>
              <w:t>自行出具本企业无商业贿赂和不正当竞争行为承诺书。</w:t>
            </w:r>
          </w:p>
          <w:p w14:paraId="11AC3B65">
            <w:pPr>
              <w:spacing w:line="360" w:lineRule="auto"/>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TW"/>
              </w:rPr>
              <w:t>根据《关于在政府采购活动中查询及使用信用记录有关问题的通知》(财库[2016]125号)和豫财购【2016】15号的规定， 对列入失信被执行人、重大税收违法失信主体、政府采购严重违 法失信行为记录名单的供应商，拒绝参与本项目政府采购活动。 【提供信用查询的方法：首先供应商自行提供信用查询结果，附 在投标文件内，查询日期不得早于公告发布日期。采购人或采购 代理机构在开标结束后对“信用中国、中国政府采购网”网上即时查询信用项，采购人或采购代理机构即时查询信用结果作为最终 审查依据】。</w:t>
            </w:r>
          </w:p>
          <w:p w14:paraId="0DF32279">
            <w:pPr>
              <w:wordWrap w:val="0"/>
              <w:spacing w:line="360" w:lineRule="auto"/>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【查询渠道：1.“信用中国”网站 (</w:t>
            </w:r>
            <w:r>
              <w:rPr>
                <w:rFonts w:hint="eastAsia" w:ascii="宋体" w:hAnsi="宋体" w:cs="宋体"/>
                <w:color w:val="auto"/>
                <w:sz w:val="24"/>
                <w:szCs w:val="24"/>
                <w:highlight w:val="none"/>
                <w:lang w:val="zh-TW"/>
              </w:rPr>
              <w:fldChar w:fldCharType="begin"/>
            </w:r>
            <w:r>
              <w:rPr>
                <w:rFonts w:hint="eastAsia" w:ascii="宋体" w:hAnsi="宋体" w:cs="宋体"/>
                <w:color w:val="auto"/>
                <w:sz w:val="24"/>
                <w:szCs w:val="24"/>
                <w:highlight w:val="none"/>
                <w:lang w:val="zh-TW"/>
              </w:rPr>
              <w:instrText xml:space="preserve"> HYPERLINK "https://www.creditchina.gov.cn," </w:instrText>
            </w:r>
            <w:r>
              <w:rPr>
                <w:rFonts w:hint="eastAsia" w:ascii="宋体" w:hAnsi="宋体" w:cs="宋体"/>
                <w:color w:val="auto"/>
                <w:sz w:val="24"/>
                <w:szCs w:val="24"/>
                <w:highlight w:val="none"/>
                <w:lang w:val="zh-TW"/>
              </w:rPr>
              <w:fldChar w:fldCharType="separate"/>
            </w:r>
            <w:r>
              <w:rPr>
                <w:rFonts w:hint="eastAsia" w:ascii="宋体" w:hAnsi="宋体" w:cs="宋体"/>
                <w:color w:val="auto"/>
                <w:sz w:val="24"/>
                <w:szCs w:val="24"/>
                <w:highlight w:val="none"/>
                <w:lang w:val="zh-TW"/>
              </w:rPr>
              <w:t>www.creditchina.gov.cn,</w:t>
            </w:r>
            <w:r>
              <w:rPr>
                <w:rFonts w:hint="eastAsia" w:ascii="宋体" w:hAnsi="宋体" w:cs="宋体"/>
                <w:color w:val="auto"/>
                <w:sz w:val="24"/>
                <w:szCs w:val="24"/>
                <w:highlight w:val="none"/>
                <w:lang w:val="zh-TW"/>
              </w:rPr>
              <w:fldChar w:fldCharType="end"/>
            </w:r>
            <w:r>
              <w:rPr>
                <w:rFonts w:hint="eastAsia" w:ascii="宋体" w:hAnsi="宋体" w:cs="宋体"/>
                <w:color w:val="auto"/>
                <w:sz w:val="24"/>
                <w:szCs w:val="24"/>
                <w:highlight w:val="none"/>
                <w:lang w:val="zh-TW"/>
              </w:rPr>
              <w:t>查询内容为：重大税收违法失信主体)、“中国执行信息公开网” 网站(</w:t>
            </w:r>
            <w:r>
              <w:rPr>
                <w:rFonts w:hint="eastAsia" w:ascii="宋体" w:hAnsi="宋体" w:cs="宋体"/>
                <w:color w:val="auto"/>
                <w:sz w:val="24"/>
                <w:szCs w:val="24"/>
                <w:highlight w:val="none"/>
                <w:lang w:val="zh-TW"/>
              </w:rPr>
              <w:fldChar w:fldCharType="begin"/>
            </w:r>
            <w:r>
              <w:rPr>
                <w:rFonts w:hint="eastAsia" w:ascii="宋体" w:hAnsi="宋体" w:cs="宋体"/>
                <w:color w:val="auto"/>
                <w:sz w:val="24"/>
                <w:szCs w:val="24"/>
                <w:highlight w:val="none"/>
                <w:lang w:val="zh-TW"/>
              </w:rPr>
              <w:instrText xml:space="preserve"> HYPERLINK "http://zxgk.court.gov.cn" </w:instrText>
            </w:r>
            <w:r>
              <w:rPr>
                <w:rFonts w:hint="eastAsia" w:ascii="宋体" w:hAnsi="宋体" w:cs="宋体"/>
                <w:color w:val="auto"/>
                <w:sz w:val="24"/>
                <w:szCs w:val="24"/>
                <w:highlight w:val="none"/>
                <w:lang w:val="zh-TW"/>
              </w:rPr>
              <w:fldChar w:fldCharType="separate"/>
            </w:r>
            <w:r>
              <w:rPr>
                <w:rFonts w:hint="eastAsia" w:ascii="宋体" w:hAnsi="宋体" w:cs="宋体"/>
                <w:color w:val="auto"/>
                <w:sz w:val="24"/>
                <w:szCs w:val="24"/>
                <w:highlight w:val="none"/>
                <w:lang w:val="zh-TW"/>
              </w:rPr>
              <w:t>http://zxgk.court.gov.cn</w:t>
            </w:r>
            <w:r>
              <w:rPr>
                <w:rFonts w:hint="eastAsia" w:ascii="宋体" w:hAnsi="宋体" w:cs="宋体"/>
                <w:color w:val="auto"/>
                <w:sz w:val="24"/>
                <w:szCs w:val="24"/>
                <w:highlight w:val="none"/>
                <w:lang w:val="zh-TW"/>
              </w:rPr>
              <w:fldChar w:fldCharType="end"/>
            </w:r>
            <w:r>
              <w:rPr>
                <w:rFonts w:hint="eastAsia" w:ascii="宋体" w:hAnsi="宋体" w:cs="宋体"/>
                <w:color w:val="auto"/>
                <w:sz w:val="24"/>
                <w:szCs w:val="24"/>
                <w:highlight w:val="none"/>
                <w:lang w:val="zh-TW"/>
              </w:rPr>
              <w:t>,查询内容为：失信被执行人)2.中国政府采购网(</w:t>
            </w:r>
            <w:r>
              <w:rPr>
                <w:rFonts w:hint="eastAsia" w:ascii="宋体" w:hAnsi="宋体" w:cs="宋体"/>
                <w:color w:val="auto"/>
                <w:sz w:val="24"/>
                <w:szCs w:val="24"/>
                <w:highlight w:val="none"/>
                <w:lang w:val="zh-TW"/>
              </w:rPr>
              <w:fldChar w:fldCharType="begin"/>
            </w:r>
            <w:r>
              <w:rPr>
                <w:rFonts w:hint="eastAsia" w:ascii="宋体" w:hAnsi="宋体" w:cs="宋体"/>
                <w:color w:val="auto"/>
                <w:sz w:val="24"/>
                <w:szCs w:val="24"/>
                <w:highlight w:val="none"/>
                <w:lang w:val="zh-TW"/>
              </w:rPr>
              <w:instrText xml:space="preserve"> HYPERLINK "https://www.ccgp.gov.cn" </w:instrText>
            </w:r>
            <w:r>
              <w:rPr>
                <w:rFonts w:hint="eastAsia" w:ascii="宋体" w:hAnsi="宋体" w:cs="宋体"/>
                <w:color w:val="auto"/>
                <w:sz w:val="24"/>
                <w:szCs w:val="24"/>
                <w:highlight w:val="none"/>
                <w:lang w:val="zh-TW"/>
              </w:rPr>
              <w:fldChar w:fldCharType="separate"/>
            </w:r>
            <w:r>
              <w:rPr>
                <w:rFonts w:hint="eastAsia" w:ascii="宋体" w:hAnsi="宋体" w:cs="宋体"/>
                <w:color w:val="auto"/>
                <w:sz w:val="24"/>
                <w:szCs w:val="24"/>
                <w:highlight w:val="none"/>
                <w:lang w:val="zh-TW"/>
              </w:rPr>
              <w:t>www.ccgp.gov.cn</w:t>
            </w:r>
            <w:r>
              <w:rPr>
                <w:rFonts w:hint="eastAsia" w:ascii="宋体" w:hAnsi="宋体" w:cs="宋体"/>
                <w:color w:val="auto"/>
                <w:sz w:val="24"/>
                <w:szCs w:val="24"/>
                <w:highlight w:val="none"/>
                <w:lang w:val="zh-TW"/>
              </w:rPr>
              <w:fldChar w:fldCharType="end"/>
            </w:r>
            <w:r>
              <w:rPr>
                <w:rFonts w:hint="eastAsia" w:ascii="宋体" w:hAnsi="宋体" w:cs="宋体"/>
                <w:color w:val="auto"/>
                <w:sz w:val="24"/>
                <w:szCs w:val="24"/>
                <w:highlight w:val="none"/>
                <w:lang w:val="zh-TW"/>
              </w:rPr>
              <w:t>, 查询内容为：政府采购严重违法失信行为记录名单)】</w:t>
            </w:r>
          </w:p>
          <w:p w14:paraId="278267DE">
            <w:pPr>
              <w:wordWrap w:val="0"/>
              <w:spacing w:line="360" w:lineRule="auto"/>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TW"/>
              </w:rPr>
              <w:t>单位负责人为同一人或者存在直接控股、管理关系的不同供应商，不得参加同一合同项下的政府采购活动。提供国家企业信用信息公示系统的企业信用信息公示报告或承诺书(格式自拟)。</w:t>
            </w:r>
          </w:p>
          <w:p w14:paraId="4380A203">
            <w:pPr>
              <w:spacing w:line="360" w:lineRule="auto"/>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3.</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val="zh-TW"/>
              </w:rPr>
              <w:t>本项目不接受联合体投标。</w:t>
            </w:r>
          </w:p>
          <w:p w14:paraId="539BF1C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zh-TW"/>
              </w:rPr>
              <w:t>注：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tc>
      </w:tr>
      <w:tr w14:paraId="73B56415">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8A2BB0F">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2.1</w:t>
            </w:r>
          </w:p>
        </w:tc>
        <w:tc>
          <w:tcPr>
            <w:tcW w:w="1843" w:type="dxa"/>
            <w:tcBorders>
              <w:top w:val="single" w:color="auto" w:sz="4" w:space="0"/>
              <w:left w:val="nil"/>
              <w:bottom w:val="single" w:color="auto" w:sz="4" w:space="0"/>
              <w:right w:val="single" w:color="auto" w:sz="4" w:space="0"/>
            </w:tcBorders>
            <w:vAlign w:val="center"/>
          </w:tcPr>
          <w:p w14:paraId="45EF245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是否接受联合体</w:t>
            </w:r>
          </w:p>
        </w:tc>
        <w:tc>
          <w:tcPr>
            <w:tcW w:w="6803" w:type="dxa"/>
            <w:tcBorders>
              <w:top w:val="single" w:color="auto" w:sz="4" w:space="0"/>
              <w:left w:val="nil"/>
              <w:bottom w:val="single" w:color="auto" w:sz="4" w:space="0"/>
              <w:right w:val="single" w:color="auto" w:sz="4" w:space="0"/>
            </w:tcBorders>
            <w:vAlign w:val="center"/>
          </w:tcPr>
          <w:p w14:paraId="0250E03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不接受</w:t>
            </w:r>
          </w:p>
        </w:tc>
      </w:tr>
      <w:tr w14:paraId="7A61178F">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0CD60E3">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w:t>
            </w:r>
          </w:p>
        </w:tc>
        <w:tc>
          <w:tcPr>
            <w:tcW w:w="1843" w:type="dxa"/>
            <w:tcBorders>
              <w:top w:val="single" w:color="auto" w:sz="4" w:space="0"/>
              <w:left w:val="nil"/>
              <w:bottom w:val="single" w:color="auto" w:sz="4" w:space="0"/>
              <w:right w:val="single" w:color="auto" w:sz="4" w:space="0"/>
            </w:tcBorders>
            <w:vAlign w:val="center"/>
          </w:tcPr>
          <w:p w14:paraId="320A9432">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踏勘现场</w:t>
            </w:r>
          </w:p>
        </w:tc>
        <w:tc>
          <w:tcPr>
            <w:tcW w:w="6803" w:type="dxa"/>
            <w:tcBorders>
              <w:top w:val="single" w:color="auto" w:sz="4" w:space="0"/>
              <w:left w:val="nil"/>
              <w:bottom w:val="single" w:color="auto" w:sz="4" w:space="0"/>
              <w:right w:val="single" w:color="auto" w:sz="4" w:space="0"/>
            </w:tcBorders>
            <w:vAlign w:val="center"/>
          </w:tcPr>
          <w:p w14:paraId="5AE410B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不组织</w:t>
            </w:r>
          </w:p>
        </w:tc>
      </w:tr>
      <w:tr w14:paraId="7906DAB5">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9D1D12A">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w:t>
            </w:r>
          </w:p>
        </w:tc>
        <w:tc>
          <w:tcPr>
            <w:tcW w:w="1843" w:type="dxa"/>
            <w:tcBorders>
              <w:top w:val="single" w:color="auto" w:sz="4" w:space="0"/>
              <w:left w:val="nil"/>
              <w:bottom w:val="single" w:color="auto" w:sz="4" w:space="0"/>
              <w:right w:val="single" w:color="auto" w:sz="4" w:space="0"/>
            </w:tcBorders>
            <w:vAlign w:val="center"/>
          </w:tcPr>
          <w:p w14:paraId="0152412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招标预备会</w:t>
            </w:r>
          </w:p>
        </w:tc>
        <w:tc>
          <w:tcPr>
            <w:tcW w:w="6803" w:type="dxa"/>
            <w:tcBorders>
              <w:top w:val="single" w:color="auto" w:sz="4" w:space="0"/>
              <w:left w:val="nil"/>
              <w:bottom w:val="single" w:color="auto" w:sz="4" w:space="0"/>
              <w:right w:val="single" w:color="auto" w:sz="4" w:space="0"/>
            </w:tcBorders>
            <w:vAlign w:val="center"/>
          </w:tcPr>
          <w:p w14:paraId="4B9A499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不召开</w:t>
            </w:r>
          </w:p>
        </w:tc>
      </w:tr>
      <w:tr w14:paraId="5AFE8365">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70152C9">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2.4</w:t>
            </w:r>
          </w:p>
        </w:tc>
        <w:tc>
          <w:tcPr>
            <w:tcW w:w="1843" w:type="dxa"/>
            <w:tcBorders>
              <w:top w:val="single" w:color="auto" w:sz="4" w:space="0"/>
              <w:left w:val="nil"/>
              <w:bottom w:val="single" w:color="auto" w:sz="4" w:space="0"/>
              <w:right w:val="single" w:color="auto" w:sz="4" w:space="0"/>
            </w:tcBorders>
            <w:vAlign w:val="center"/>
          </w:tcPr>
          <w:p w14:paraId="28D1946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  包</w:t>
            </w:r>
          </w:p>
        </w:tc>
        <w:tc>
          <w:tcPr>
            <w:tcW w:w="6803" w:type="dxa"/>
            <w:tcBorders>
              <w:top w:val="single" w:color="auto" w:sz="4" w:space="0"/>
              <w:left w:val="nil"/>
              <w:bottom w:val="single" w:color="auto" w:sz="4" w:space="0"/>
              <w:right w:val="single" w:color="auto" w:sz="4" w:space="0"/>
            </w:tcBorders>
            <w:vAlign w:val="center"/>
          </w:tcPr>
          <w:p w14:paraId="0B3713C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允许</w:t>
            </w:r>
          </w:p>
        </w:tc>
      </w:tr>
      <w:tr w14:paraId="0CAF4FD7">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103AC2E">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2.5</w:t>
            </w:r>
          </w:p>
        </w:tc>
        <w:tc>
          <w:tcPr>
            <w:tcW w:w="1843" w:type="dxa"/>
            <w:tcBorders>
              <w:top w:val="single" w:color="auto" w:sz="4" w:space="0"/>
              <w:left w:val="nil"/>
              <w:bottom w:val="single" w:color="auto" w:sz="4" w:space="0"/>
              <w:right w:val="single" w:color="auto" w:sz="4" w:space="0"/>
            </w:tcBorders>
            <w:vAlign w:val="center"/>
          </w:tcPr>
          <w:p w14:paraId="34F14F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构成招标文件的其他材料</w:t>
            </w:r>
          </w:p>
        </w:tc>
        <w:tc>
          <w:tcPr>
            <w:tcW w:w="6803" w:type="dxa"/>
            <w:tcBorders>
              <w:top w:val="single" w:color="auto" w:sz="4" w:space="0"/>
              <w:left w:val="nil"/>
              <w:bottom w:val="single" w:color="auto" w:sz="4" w:space="0"/>
              <w:right w:val="single" w:color="auto" w:sz="4" w:space="0"/>
            </w:tcBorders>
            <w:vAlign w:val="center"/>
          </w:tcPr>
          <w:p w14:paraId="2884E0C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对招标文件所作的澄清（含答疑）、修改，补充构成招标文件的组成部分。</w:t>
            </w:r>
          </w:p>
        </w:tc>
      </w:tr>
      <w:tr w14:paraId="054DBE40">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C96AB05">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2.6</w:t>
            </w:r>
          </w:p>
        </w:tc>
        <w:tc>
          <w:tcPr>
            <w:tcW w:w="1843" w:type="dxa"/>
            <w:tcBorders>
              <w:top w:val="single" w:color="auto" w:sz="4" w:space="0"/>
              <w:left w:val="nil"/>
              <w:bottom w:val="single" w:color="auto" w:sz="4" w:space="0"/>
              <w:right w:val="single" w:color="auto" w:sz="4" w:space="0"/>
            </w:tcBorders>
            <w:vAlign w:val="center"/>
          </w:tcPr>
          <w:p w14:paraId="7B2BB65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供应商要求澄清招标文件的截止时间</w:t>
            </w:r>
          </w:p>
        </w:tc>
        <w:tc>
          <w:tcPr>
            <w:tcW w:w="6803" w:type="dxa"/>
            <w:tcBorders>
              <w:top w:val="single" w:color="auto" w:sz="4" w:space="0"/>
              <w:left w:val="nil"/>
              <w:bottom w:val="single" w:color="auto" w:sz="4" w:space="0"/>
              <w:right w:val="single" w:color="auto" w:sz="4" w:space="0"/>
            </w:tcBorders>
            <w:vAlign w:val="center"/>
          </w:tcPr>
          <w:p w14:paraId="56FEBAB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投标文件递交截止时间15日前</w:t>
            </w:r>
          </w:p>
        </w:tc>
      </w:tr>
      <w:tr w14:paraId="60027D7A">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12884078">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2.7</w:t>
            </w:r>
          </w:p>
        </w:tc>
        <w:tc>
          <w:tcPr>
            <w:tcW w:w="1843" w:type="dxa"/>
            <w:tcBorders>
              <w:top w:val="single" w:color="auto" w:sz="4" w:space="0"/>
              <w:left w:val="nil"/>
              <w:bottom w:val="single" w:color="auto" w:sz="4" w:space="0"/>
              <w:right w:val="single" w:color="auto" w:sz="4" w:space="0"/>
            </w:tcBorders>
            <w:vAlign w:val="center"/>
          </w:tcPr>
          <w:p w14:paraId="101DFD4F">
            <w:pPr>
              <w:spacing w:line="360" w:lineRule="auto"/>
              <w:ind w:left="240" w:hanging="240" w:hangingChars="1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投标文件递</w:t>
            </w:r>
          </w:p>
          <w:p w14:paraId="698B7EA3">
            <w:pPr>
              <w:spacing w:line="360" w:lineRule="auto"/>
              <w:ind w:left="240" w:hanging="240" w:hangingChars="1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交截止时间</w:t>
            </w:r>
          </w:p>
        </w:tc>
        <w:tc>
          <w:tcPr>
            <w:tcW w:w="6803" w:type="dxa"/>
            <w:tcBorders>
              <w:top w:val="single" w:color="auto" w:sz="4" w:space="0"/>
              <w:left w:val="nil"/>
              <w:bottom w:val="single" w:color="auto" w:sz="4" w:space="0"/>
              <w:right w:val="single" w:color="auto" w:sz="4" w:space="0"/>
            </w:tcBorders>
            <w:vAlign w:val="center"/>
          </w:tcPr>
          <w:p w14:paraId="2786233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同开标时间</w:t>
            </w:r>
          </w:p>
        </w:tc>
      </w:tr>
      <w:tr w14:paraId="09CDAF47">
        <w:trPr>
          <w:trHeight w:val="1164" w:hRule="atLeast"/>
        </w:trPr>
        <w:tc>
          <w:tcPr>
            <w:tcW w:w="993" w:type="dxa"/>
            <w:tcBorders>
              <w:top w:val="single" w:color="auto" w:sz="4" w:space="0"/>
              <w:left w:val="single" w:color="auto" w:sz="4" w:space="0"/>
              <w:bottom w:val="single" w:color="auto" w:sz="4" w:space="0"/>
              <w:right w:val="single" w:color="auto" w:sz="4" w:space="0"/>
            </w:tcBorders>
            <w:vAlign w:val="center"/>
          </w:tcPr>
          <w:p w14:paraId="5A949280">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w:t>
            </w:r>
          </w:p>
        </w:tc>
        <w:tc>
          <w:tcPr>
            <w:tcW w:w="1843" w:type="dxa"/>
            <w:tcBorders>
              <w:top w:val="single" w:color="auto" w:sz="4" w:space="0"/>
              <w:left w:val="nil"/>
              <w:bottom w:val="single" w:color="auto" w:sz="4" w:space="0"/>
              <w:right w:val="single" w:color="auto" w:sz="4" w:space="0"/>
            </w:tcBorders>
            <w:vAlign w:val="center"/>
          </w:tcPr>
          <w:p w14:paraId="10C528E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供应商确认收到招标文件澄清的时间</w:t>
            </w:r>
          </w:p>
        </w:tc>
        <w:tc>
          <w:tcPr>
            <w:tcW w:w="6803" w:type="dxa"/>
            <w:tcBorders>
              <w:top w:val="single" w:color="auto" w:sz="4" w:space="0"/>
              <w:left w:val="nil"/>
              <w:bottom w:val="single" w:color="auto" w:sz="4" w:space="0"/>
              <w:right w:val="single" w:color="auto" w:sz="4" w:space="0"/>
            </w:tcBorders>
            <w:vAlign w:val="center"/>
          </w:tcPr>
          <w:p w14:paraId="76BE9E59">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在收到相应澄清文件后</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小时内</w:t>
            </w:r>
          </w:p>
        </w:tc>
      </w:tr>
      <w:tr w14:paraId="072A11A4">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2C9DC7C">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w:t>
            </w:r>
          </w:p>
        </w:tc>
        <w:tc>
          <w:tcPr>
            <w:tcW w:w="1843" w:type="dxa"/>
            <w:tcBorders>
              <w:top w:val="single" w:color="auto" w:sz="4" w:space="0"/>
              <w:left w:val="nil"/>
              <w:bottom w:val="single" w:color="auto" w:sz="4" w:space="0"/>
              <w:right w:val="single" w:color="auto" w:sz="4" w:space="0"/>
            </w:tcBorders>
            <w:vAlign w:val="center"/>
          </w:tcPr>
          <w:p w14:paraId="051C428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供应商确认收到招标文件修改的时间</w:t>
            </w:r>
          </w:p>
        </w:tc>
        <w:tc>
          <w:tcPr>
            <w:tcW w:w="6803" w:type="dxa"/>
            <w:tcBorders>
              <w:top w:val="single" w:color="auto" w:sz="4" w:space="0"/>
              <w:left w:val="nil"/>
              <w:bottom w:val="single" w:color="auto" w:sz="4" w:space="0"/>
              <w:right w:val="single" w:color="auto" w:sz="4" w:space="0"/>
            </w:tcBorders>
            <w:vAlign w:val="center"/>
          </w:tcPr>
          <w:p w14:paraId="2831522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在收到相应修改文件后</w:t>
            </w:r>
            <w:r>
              <w:rPr>
                <w:rFonts w:hint="eastAsia" w:ascii="宋体" w:hAnsi="宋体" w:cs="宋体"/>
                <w:color w:val="auto"/>
                <w:sz w:val="24"/>
                <w:szCs w:val="24"/>
                <w:highlight w:val="none"/>
                <w:u w:val="single"/>
              </w:rPr>
              <w:t xml:space="preserve"> 24</w:t>
            </w:r>
            <w:r>
              <w:rPr>
                <w:rFonts w:hint="eastAsia" w:ascii="宋体" w:hAnsi="宋体" w:cs="宋体"/>
                <w:color w:val="auto"/>
                <w:sz w:val="24"/>
                <w:szCs w:val="24"/>
                <w:highlight w:val="none"/>
              </w:rPr>
              <w:t>小时内</w:t>
            </w:r>
          </w:p>
        </w:tc>
      </w:tr>
      <w:tr w14:paraId="100D25F6">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3F38822">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2.4</w:t>
            </w:r>
          </w:p>
        </w:tc>
        <w:tc>
          <w:tcPr>
            <w:tcW w:w="1843" w:type="dxa"/>
            <w:tcBorders>
              <w:top w:val="single" w:color="auto" w:sz="4" w:space="0"/>
              <w:left w:val="nil"/>
              <w:bottom w:val="single" w:color="auto" w:sz="4" w:space="0"/>
              <w:right w:val="single" w:color="auto" w:sz="4" w:space="0"/>
            </w:tcBorders>
            <w:vAlign w:val="center"/>
          </w:tcPr>
          <w:p w14:paraId="60BA6C1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构成投标文件的其他材料</w:t>
            </w:r>
          </w:p>
        </w:tc>
        <w:tc>
          <w:tcPr>
            <w:tcW w:w="6803" w:type="dxa"/>
            <w:tcBorders>
              <w:top w:val="single" w:color="auto" w:sz="4" w:space="0"/>
              <w:left w:val="nil"/>
              <w:bottom w:val="single" w:color="auto" w:sz="4" w:space="0"/>
              <w:right w:val="single" w:color="auto" w:sz="4" w:space="0"/>
            </w:tcBorders>
            <w:vAlign w:val="center"/>
          </w:tcPr>
          <w:p w14:paraId="6AD1DCB6">
            <w:pPr>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供应商认为与本投标可能有关的其他资料</w:t>
            </w:r>
          </w:p>
        </w:tc>
      </w:tr>
      <w:tr w14:paraId="6E873229">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375FAF3">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2.5</w:t>
            </w:r>
          </w:p>
        </w:tc>
        <w:tc>
          <w:tcPr>
            <w:tcW w:w="1843" w:type="dxa"/>
            <w:tcBorders>
              <w:top w:val="single" w:color="auto" w:sz="4" w:space="0"/>
              <w:left w:val="nil"/>
              <w:bottom w:val="single" w:color="auto" w:sz="4" w:space="0"/>
              <w:right w:val="single" w:color="auto" w:sz="4" w:space="0"/>
            </w:tcBorders>
            <w:vAlign w:val="center"/>
          </w:tcPr>
          <w:p w14:paraId="4029190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803" w:type="dxa"/>
            <w:tcBorders>
              <w:top w:val="single" w:color="auto" w:sz="4" w:space="0"/>
              <w:left w:val="nil"/>
              <w:bottom w:val="single" w:color="auto" w:sz="4" w:space="0"/>
              <w:right w:val="single" w:color="auto" w:sz="4" w:space="0"/>
            </w:tcBorders>
            <w:vAlign w:val="center"/>
          </w:tcPr>
          <w:p w14:paraId="03B2698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自投标文件递交截止之日起60日历天</w:t>
            </w:r>
          </w:p>
        </w:tc>
      </w:tr>
      <w:tr w14:paraId="65D44116">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39C5218">
            <w:pPr>
              <w:keepLines/>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2.6</w:t>
            </w:r>
          </w:p>
        </w:tc>
        <w:tc>
          <w:tcPr>
            <w:tcW w:w="1843" w:type="dxa"/>
            <w:tcBorders>
              <w:top w:val="single" w:color="auto" w:sz="4" w:space="0"/>
              <w:left w:val="nil"/>
              <w:bottom w:val="single" w:color="auto" w:sz="4" w:space="0"/>
              <w:right w:val="single" w:color="auto" w:sz="4" w:space="0"/>
            </w:tcBorders>
            <w:vAlign w:val="center"/>
          </w:tcPr>
          <w:p w14:paraId="2F063EA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近年完成的类似项目的年份要求</w:t>
            </w:r>
          </w:p>
        </w:tc>
        <w:tc>
          <w:tcPr>
            <w:tcW w:w="6803" w:type="dxa"/>
            <w:tcBorders>
              <w:top w:val="single" w:color="auto" w:sz="4" w:space="0"/>
              <w:left w:val="nil"/>
              <w:bottom w:val="single" w:color="auto" w:sz="4" w:space="0"/>
              <w:right w:val="single" w:color="auto" w:sz="4" w:space="0"/>
            </w:tcBorders>
            <w:vAlign w:val="center"/>
          </w:tcPr>
          <w:p w14:paraId="1D9E8801">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none"/>
              </w:rPr>
              <w:t>近</w:t>
            </w:r>
            <w:r>
              <w:rPr>
                <w:rFonts w:hint="eastAsia" w:ascii="宋体" w:hAnsi="宋体" w:cs="宋体"/>
                <w:color w:val="auto"/>
                <w:sz w:val="24"/>
                <w:szCs w:val="24"/>
                <w:highlight w:val="none"/>
              </w:rPr>
              <w:t>年，指</w:t>
            </w:r>
            <w:r>
              <w:rPr>
                <w:rFonts w:hint="eastAsia" w:ascii="宋体" w:hAnsi="宋体" w:cs="宋体"/>
                <w:color w:val="auto"/>
                <w:sz w:val="24"/>
                <w:szCs w:val="24"/>
                <w:highlight w:val="none"/>
                <w:u w:val="single"/>
              </w:rPr>
              <w:t>2022</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01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01</w:t>
            </w:r>
            <w:r>
              <w:rPr>
                <w:rFonts w:hint="eastAsia" w:ascii="宋体" w:hAnsi="宋体" w:cs="宋体"/>
                <w:color w:val="auto"/>
                <w:sz w:val="24"/>
                <w:szCs w:val="24"/>
                <w:highlight w:val="none"/>
              </w:rPr>
              <w:t>日以来</w:t>
            </w:r>
          </w:p>
        </w:tc>
      </w:tr>
      <w:tr w14:paraId="5EFF283E">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D1E81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2.7</w:t>
            </w:r>
          </w:p>
        </w:tc>
        <w:tc>
          <w:tcPr>
            <w:tcW w:w="1843" w:type="dxa"/>
            <w:tcBorders>
              <w:top w:val="single" w:color="auto" w:sz="4" w:space="0"/>
              <w:left w:val="nil"/>
              <w:bottom w:val="single" w:color="auto" w:sz="4" w:space="0"/>
              <w:right w:val="single" w:color="auto" w:sz="4" w:space="0"/>
            </w:tcBorders>
            <w:vAlign w:val="center"/>
          </w:tcPr>
          <w:p w14:paraId="01C0D6C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签字和（或）盖章要求</w:t>
            </w:r>
          </w:p>
        </w:tc>
        <w:tc>
          <w:tcPr>
            <w:tcW w:w="6803" w:type="dxa"/>
            <w:tcBorders>
              <w:top w:val="single" w:color="auto" w:sz="4" w:space="0"/>
              <w:left w:val="nil"/>
              <w:bottom w:val="single" w:color="auto" w:sz="4" w:space="0"/>
              <w:right w:val="single" w:color="auto" w:sz="4" w:space="0"/>
            </w:tcBorders>
            <w:vAlign w:val="center"/>
          </w:tcPr>
          <w:p w14:paraId="5DFC5AC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电子化投标文件的签章：</w:t>
            </w:r>
          </w:p>
          <w:p w14:paraId="3533268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1、供应商在生成电子化投标文件后，应对电子化投标文件进行签章，未对电子化文件进行签章的视为无效投标。</w:t>
            </w:r>
          </w:p>
          <w:p w14:paraId="065A46FD">
            <w:pPr>
              <w:autoSpaceDE w:val="0"/>
              <w:autoSpaceDN w:val="0"/>
              <w:adjustRightIn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2、招标文件中要求</w:t>
            </w:r>
            <w:r>
              <w:rPr>
                <w:rFonts w:hint="eastAsia" w:ascii="宋体" w:hAnsi="宋体" w:cs="宋体"/>
                <w:bCs/>
                <w:color w:val="auto"/>
                <w:sz w:val="24"/>
                <w:szCs w:val="24"/>
                <w:highlight w:val="none"/>
              </w:rPr>
              <w:t>法定代表人签字或盖章的，</w:t>
            </w:r>
            <w:r>
              <w:rPr>
                <w:rFonts w:hint="eastAsia" w:ascii="宋体" w:hAnsi="宋体" w:cs="宋体"/>
                <w:color w:val="auto"/>
                <w:sz w:val="24"/>
                <w:szCs w:val="24"/>
                <w:highlight w:val="none"/>
              </w:rPr>
              <w:t>供应商在进行</w:t>
            </w:r>
            <w:r>
              <w:rPr>
                <w:rFonts w:hint="eastAsia" w:ascii="宋体" w:hAnsi="宋体" w:cs="宋体"/>
                <w:bCs/>
                <w:color w:val="auto"/>
                <w:sz w:val="24"/>
                <w:szCs w:val="24"/>
                <w:highlight w:val="none"/>
              </w:rPr>
              <w:t>电子化投标文件签章时，以签盖法定代表人签章为准</w:t>
            </w:r>
            <w:r>
              <w:rPr>
                <w:rFonts w:hint="eastAsia" w:ascii="宋体" w:hAnsi="宋体" w:cs="宋体"/>
                <w:color w:val="auto"/>
                <w:sz w:val="24"/>
                <w:szCs w:val="24"/>
                <w:highlight w:val="none"/>
              </w:rPr>
              <w:t>。</w:t>
            </w:r>
          </w:p>
          <w:p w14:paraId="50621CFE">
            <w:pPr>
              <w:autoSpaceDE w:val="0"/>
              <w:autoSpaceDN w:val="0"/>
              <w:adjustRightIn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电子化投标文件具体制作文件请点击：https://download.bqpoint.com/download/downloaddetail.html?SourceFrom=Ztb&amp;ZtbSoftXiaQuCode=1506&amp;ZtbSoftType=tballinclusive进行下载。</w:t>
            </w:r>
          </w:p>
        </w:tc>
      </w:tr>
      <w:tr w14:paraId="2AAEB6A9">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DB7C8E8">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2.8</w:t>
            </w:r>
          </w:p>
        </w:tc>
        <w:tc>
          <w:tcPr>
            <w:tcW w:w="1843" w:type="dxa"/>
            <w:tcBorders>
              <w:top w:val="single" w:color="auto" w:sz="4" w:space="0"/>
              <w:left w:val="nil"/>
              <w:bottom w:val="single" w:color="auto" w:sz="4" w:space="0"/>
              <w:right w:val="single" w:color="auto" w:sz="4" w:space="0"/>
            </w:tcBorders>
            <w:vAlign w:val="center"/>
          </w:tcPr>
          <w:p w14:paraId="0EA36C30">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电子化投标文件上传</w:t>
            </w:r>
          </w:p>
        </w:tc>
        <w:tc>
          <w:tcPr>
            <w:tcW w:w="6803" w:type="dxa"/>
            <w:tcBorders>
              <w:top w:val="single" w:color="auto" w:sz="4" w:space="0"/>
              <w:left w:val="nil"/>
              <w:bottom w:val="single" w:color="auto" w:sz="4" w:space="0"/>
              <w:right w:val="single" w:color="auto" w:sz="4" w:space="0"/>
            </w:tcBorders>
            <w:vAlign w:val="center"/>
          </w:tcPr>
          <w:p w14:paraId="2E7A2350">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EA97E8B">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67686319">
            <w:pPr>
              <w:keepLine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注：如按照电子化投标操作教材制作完成的电子化投标文件无法上传的，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应在投标截止时间前尽早的联系中心技术人员，以便有充分的时间进行处理。</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应充分考虑到处理技术问题和上传数据等工作所需的时间问题，投标文件未在投标截止时间前成功上传的，其投标文件不予接收。</w:t>
            </w:r>
          </w:p>
        </w:tc>
      </w:tr>
      <w:tr w14:paraId="2B12B424">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BA23F8C">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2.9</w:t>
            </w:r>
          </w:p>
        </w:tc>
        <w:tc>
          <w:tcPr>
            <w:tcW w:w="1843" w:type="dxa"/>
            <w:tcBorders>
              <w:top w:val="single" w:color="auto" w:sz="4" w:space="0"/>
              <w:left w:val="nil"/>
              <w:bottom w:val="single" w:color="auto" w:sz="4" w:space="0"/>
              <w:right w:val="single" w:color="auto" w:sz="4" w:space="0"/>
            </w:tcBorders>
            <w:vAlign w:val="center"/>
          </w:tcPr>
          <w:p w14:paraId="6A6CA2A4">
            <w:pPr>
              <w:keepLines/>
              <w:spacing w:line="360" w:lineRule="auto"/>
              <w:jc w:val="center"/>
              <w:rPr>
                <w:rFonts w:hint="eastAsia" w:ascii="宋体" w:hAnsi="宋体" w:cs="宋体"/>
                <w:color w:val="auto"/>
                <w:kern w:val="0"/>
                <w:sz w:val="24"/>
                <w:szCs w:val="24"/>
                <w:highlight w:val="none"/>
              </w:rPr>
            </w:pPr>
            <w:r>
              <w:rPr>
                <w:rFonts w:hint="eastAsia" w:ascii="宋体" w:hAnsi="宋体" w:cs="宋体"/>
                <w:bCs/>
                <w:color w:val="auto"/>
                <w:spacing w:val="7"/>
                <w:sz w:val="24"/>
                <w:szCs w:val="24"/>
                <w:highlight w:val="none"/>
              </w:rPr>
              <w:t>合同价格形式</w:t>
            </w:r>
          </w:p>
        </w:tc>
        <w:tc>
          <w:tcPr>
            <w:tcW w:w="6803" w:type="dxa"/>
            <w:tcBorders>
              <w:top w:val="single" w:color="auto" w:sz="4" w:space="0"/>
              <w:left w:val="nil"/>
              <w:bottom w:val="single" w:color="auto" w:sz="4" w:space="0"/>
              <w:right w:val="single" w:color="auto" w:sz="4" w:space="0"/>
            </w:tcBorders>
            <w:vAlign w:val="center"/>
          </w:tcPr>
          <w:p w14:paraId="64A8640A">
            <w:pPr>
              <w:keepLines/>
              <w:spacing w:line="360" w:lineRule="auto"/>
              <w:jc w:val="left"/>
              <w:rPr>
                <w:rFonts w:hint="eastAsia" w:ascii="宋体" w:hAnsi="宋体" w:cs="宋体"/>
                <w:color w:val="auto"/>
                <w:kern w:val="0"/>
                <w:sz w:val="24"/>
                <w:szCs w:val="24"/>
                <w:highlight w:val="none"/>
              </w:rPr>
            </w:pPr>
            <w:r>
              <w:rPr>
                <w:rFonts w:hint="eastAsia" w:ascii="宋体" w:hAnsi="宋体" w:cs="宋体"/>
                <w:bCs/>
                <w:color w:val="auto"/>
                <w:spacing w:val="7"/>
                <w:sz w:val="24"/>
                <w:szCs w:val="24"/>
                <w:highlight w:val="none"/>
              </w:rPr>
              <w:t>/</w:t>
            </w:r>
          </w:p>
        </w:tc>
      </w:tr>
      <w:tr w14:paraId="63AC16CF">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795A11F">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w:t>
            </w:r>
          </w:p>
        </w:tc>
        <w:tc>
          <w:tcPr>
            <w:tcW w:w="1843" w:type="dxa"/>
            <w:tcBorders>
              <w:top w:val="single" w:color="auto" w:sz="4" w:space="0"/>
              <w:left w:val="nil"/>
              <w:bottom w:val="single" w:color="auto" w:sz="4" w:space="0"/>
              <w:right w:val="single" w:color="auto" w:sz="4" w:space="0"/>
            </w:tcBorders>
            <w:vAlign w:val="center"/>
          </w:tcPr>
          <w:p w14:paraId="1252E626">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开标时间和</w:t>
            </w:r>
          </w:p>
          <w:p w14:paraId="11540903">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地点</w:t>
            </w:r>
          </w:p>
        </w:tc>
        <w:tc>
          <w:tcPr>
            <w:tcW w:w="6803" w:type="dxa"/>
            <w:tcBorders>
              <w:top w:val="single" w:color="auto" w:sz="4" w:space="0"/>
              <w:left w:val="nil"/>
              <w:bottom w:val="single" w:color="auto" w:sz="4" w:space="0"/>
              <w:right w:val="single" w:color="auto" w:sz="4" w:space="0"/>
            </w:tcBorders>
            <w:vAlign w:val="center"/>
          </w:tcPr>
          <w:p w14:paraId="5FEA7D52">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2025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09</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lang w:val="en-US" w:eastAsia="zh-CN"/>
              </w:rPr>
              <w:t>00</w:t>
            </w:r>
            <w:r>
              <w:rPr>
                <w:rFonts w:hint="eastAsia" w:ascii="宋体" w:hAnsi="宋体" w:cs="宋体"/>
                <w:color w:val="auto"/>
                <w:kern w:val="0"/>
                <w:sz w:val="24"/>
                <w:szCs w:val="24"/>
                <w:highlight w:val="none"/>
              </w:rPr>
              <w:t>分（北京时间）</w:t>
            </w:r>
          </w:p>
          <w:p w14:paraId="41D6ACB3">
            <w:pPr>
              <w:keepLines/>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地点：三门峡市公共资源交易中心第</w:t>
            </w:r>
            <w:r>
              <w:rPr>
                <w:rFonts w:hint="eastAsia" w:ascii="宋体" w:hAnsi="宋体" w:cs="宋体"/>
                <w:color w:val="auto"/>
                <w:kern w:val="0"/>
                <w:sz w:val="24"/>
                <w:szCs w:val="24"/>
                <w:highlight w:val="none"/>
                <w:lang w:eastAsia="zh-CN"/>
              </w:rPr>
              <w:t>二</w:t>
            </w:r>
            <w:r>
              <w:rPr>
                <w:rFonts w:hint="eastAsia" w:ascii="宋体" w:hAnsi="宋体" w:cs="宋体"/>
                <w:color w:val="auto"/>
                <w:kern w:val="0"/>
                <w:sz w:val="24"/>
                <w:szCs w:val="24"/>
                <w:highlight w:val="none"/>
              </w:rPr>
              <w:t>开标室。</w:t>
            </w:r>
          </w:p>
        </w:tc>
      </w:tr>
      <w:tr w14:paraId="61A83E03">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BF3DD7D">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1843" w:type="dxa"/>
            <w:tcBorders>
              <w:top w:val="single" w:color="auto" w:sz="4" w:space="0"/>
              <w:left w:val="nil"/>
              <w:bottom w:val="single" w:color="auto" w:sz="4" w:space="0"/>
              <w:right w:val="single" w:color="auto" w:sz="4" w:space="0"/>
            </w:tcBorders>
            <w:vAlign w:val="center"/>
          </w:tcPr>
          <w:p w14:paraId="3584D988">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偏离</w:t>
            </w:r>
          </w:p>
        </w:tc>
        <w:tc>
          <w:tcPr>
            <w:tcW w:w="6803" w:type="dxa"/>
            <w:tcBorders>
              <w:top w:val="single" w:color="auto" w:sz="4" w:space="0"/>
              <w:left w:val="nil"/>
              <w:bottom w:val="single" w:color="auto" w:sz="4" w:space="0"/>
              <w:right w:val="single" w:color="auto" w:sz="4" w:space="0"/>
            </w:tcBorders>
            <w:vAlign w:val="center"/>
          </w:tcPr>
          <w:p w14:paraId="4499F712">
            <w:pPr>
              <w:keepLines/>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允许</w:t>
            </w:r>
          </w:p>
        </w:tc>
      </w:tr>
      <w:tr w14:paraId="3789BD27">
        <w:trPr>
          <w:trHeight w:val="1085" w:hRule="atLeast"/>
        </w:trPr>
        <w:tc>
          <w:tcPr>
            <w:tcW w:w="993" w:type="dxa"/>
            <w:tcBorders>
              <w:top w:val="single" w:color="auto" w:sz="4" w:space="0"/>
              <w:left w:val="single" w:color="auto" w:sz="4" w:space="0"/>
              <w:bottom w:val="single" w:color="auto" w:sz="4" w:space="0"/>
              <w:right w:val="single" w:color="auto" w:sz="4" w:space="0"/>
            </w:tcBorders>
            <w:vAlign w:val="center"/>
          </w:tcPr>
          <w:p w14:paraId="0E5FD614">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w:t>
            </w:r>
          </w:p>
        </w:tc>
        <w:tc>
          <w:tcPr>
            <w:tcW w:w="1843" w:type="dxa"/>
            <w:tcBorders>
              <w:top w:val="single" w:color="auto" w:sz="4" w:space="0"/>
              <w:left w:val="nil"/>
              <w:bottom w:val="single" w:color="auto" w:sz="4" w:space="0"/>
              <w:right w:val="single" w:color="auto" w:sz="4" w:space="0"/>
            </w:tcBorders>
            <w:vAlign w:val="center"/>
          </w:tcPr>
          <w:p w14:paraId="0DA480B4">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评标委员会</w:t>
            </w:r>
          </w:p>
          <w:p w14:paraId="7AEA3F25">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的组建</w:t>
            </w:r>
          </w:p>
        </w:tc>
        <w:tc>
          <w:tcPr>
            <w:tcW w:w="6803" w:type="dxa"/>
            <w:tcBorders>
              <w:top w:val="single" w:color="auto" w:sz="4" w:space="0"/>
              <w:left w:val="nil"/>
              <w:bottom w:val="single" w:color="auto" w:sz="4" w:space="0"/>
              <w:right w:val="single" w:color="auto" w:sz="4" w:space="0"/>
            </w:tcBorders>
            <w:vAlign w:val="center"/>
          </w:tcPr>
          <w:p w14:paraId="078572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人，其中采购人代表</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人，专家</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人；</w:t>
            </w:r>
          </w:p>
          <w:p w14:paraId="25909AA7">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评标专家确定方式：从河南省政府采购专家库中随机抽取</w:t>
            </w:r>
            <w:r>
              <w:rPr>
                <w:rFonts w:hint="eastAsia" w:ascii="宋体" w:hAnsi="宋体" w:cs="宋体"/>
                <w:color w:val="auto"/>
                <w:sz w:val="24"/>
                <w:szCs w:val="24"/>
                <w:highlight w:val="none"/>
                <w:lang w:eastAsia="zh-CN"/>
              </w:rPr>
              <w:t>。</w:t>
            </w:r>
          </w:p>
        </w:tc>
      </w:tr>
      <w:tr w14:paraId="4BBBB4AB">
        <w:trPr>
          <w:trHeight w:val="1223" w:hRule="atLeast"/>
        </w:trPr>
        <w:tc>
          <w:tcPr>
            <w:tcW w:w="993" w:type="dxa"/>
            <w:tcBorders>
              <w:top w:val="single" w:color="auto" w:sz="4" w:space="0"/>
              <w:left w:val="single" w:color="auto" w:sz="4" w:space="0"/>
              <w:bottom w:val="single" w:color="auto" w:sz="4" w:space="0"/>
              <w:right w:val="single" w:color="auto" w:sz="4" w:space="0"/>
            </w:tcBorders>
            <w:vAlign w:val="center"/>
          </w:tcPr>
          <w:p w14:paraId="3A2A5BC2">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w:t>
            </w:r>
          </w:p>
        </w:tc>
        <w:tc>
          <w:tcPr>
            <w:tcW w:w="1843" w:type="dxa"/>
            <w:tcBorders>
              <w:top w:val="single" w:color="auto" w:sz="4" w:space="0"/>
              <w:left w:val="nil"/>
              <w:bottom w:val="single" w:color="auto" w:sz="4" w:space="0"/>
              <w:right w:val="single" w:color="auto" w:sz="4" w:space="0"/>
            </w:tcBorders>
            <w:vAlign w:val="center"/>
          </w:tcPr>
          <w:p w14:paraId="060EEC1C">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是否授权评标委员会确定中标供应商</w:t>
            </w:r>
          </w:p>
        </w:tc>
        <w:tc>
          <w:tcPr>
            <w:tcW w:w="6803" w:type="dxa"/>
            <w:tcBorders>
              <w:top w:val="single" w:color="auto" w:sz="4" w:space="0"/>
              <w:left w:val="nil"/>
              <w:bottom w:val="single" w:color="auto" w:sz="4" w:space="0"/>
              <w:right w:val="single" w:color="auto" w:sz="4" w:space="0"/>
            </w:tcBorders>
            <w:vAlign w:val="center"/>
          </w:tcPr>
          <w:p w14:paraId="05849E5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否，评标委员会原则上推荐3名中标候选人并排序；</w:t>
            </w:r>
          </w:p>
        </w:tc>
      </w:tr>
      <w:tr w14:paraId="731C03CD">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B0ED304">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w:t>
            </w:r>
          </w:p>
        </w:tc>
        <w:tc>
          <w:tcPr>
            <w:tcW w:w="1843" w:type="dxa"/>
            <w:tcBorders>
              <w:top w:val="single" w:color="auto" w:sz="4" w:space="0"/>
              <w:left w:val="nil"/>
              <w:bottom w:val="single" w:color="auto" w:sz="4" w:space="0"/>
              <w:right w:val="single" w:color="auto" w:sz="4" w:space="0"/>
            </w:tcBorders>
            <w:vAlign w:val="center"/>
          </w:tcPr>
          <w:p w14:paraId="02C24AED">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履约保证金</w:t>
            </w:r>
          </w:p>
        </w:tc>
        <w:tc>
          <w:tcPr>
            <w:tcW w:w="6803" w:type="dxa"/>
            <w:tcBorders>
              <w:top w:val="single" w:color="auto" w:sz="4" w:space="0"/>
              <w:left w:val="nil"/>
              <w:bottom w:val="single" w:color="auto" w:sz="4" w:space="0"/>
              <w:right w:val="single" w:color="auto" w:sz="4" w:space="0"/>
            </w:tcBorders>
            <w:vAlign w:val="center"/>
          </w:tcPr>
          <w:p w14:paraId="72C10CFC">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本项目不收取履约保证金。如供应商违反政府采购合同约定给采购人造成损失的,采购人按照合同约定,要求供应商承担赔偿责任。</w:t>
            </w:r>
          </w:p>
        </w:tc>
      </w:tr>
      <w:tr w14:paraId="189191C9">
        <w:trPr>
          <w:trHeight w:val="573" w:hRule="atLeast"/>
        </w:trPr>
        <w:tc>
          <w:tcPr>
            <w:tcW w:w="993" w:type="dxa"/>
            <w:tcBorders>
              <w:top w:val="single" w:color="auto" w:sz="4" w:space="0"/>
              <w:left w:val="single" w:color="auto" w:sz="4" w:space="0"/>
              <w:bottom w:val="single" w:color="auto" w:sz="4" w:space="0"/>
              <w:right w:val="single" w:color="auto" w:sz="4" w:space="0"/>
            </w:tcBorders>
            <w:vAlign w:val="center"/>
          </w:tcPr>
          <w:p w14:paraId="14CAC1BE">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w:t>
            </w:r>
          </w:p>
        </w:tc>
        <w:tc>
          <w:tcPr>
            <w:tcW w:w="1843" w:type="dxa"/>
            <w:tcBorders>
              <w:top w:val="single" w:color="auto" w:sz="4" w:space="0"/>
              <w:left w:val="nil"/>
              <w:bottom w:val="single" w:color="auto" w:sz="4" w:space="0"/>
              <w:right w:val="single" w:color="auto" w:sz="4" w:space="0"/>
            </w:tcBorders>
            <w:vAlign w:val="center"/>
          </w:tcPr>
          <w:p w14:paraId="417749A6">
            <w:pPr>
              <w:keepLines/>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无效标条件</w:t>
            </w:r>
          </w:p>
        </w:tc>
        <w:tc>
          <w:tcPr>
            <w:tcW w:w="6803" w:type="dxa"/>
            <w:tcBorders>
              <w:top w:val="single" w:color="auto" w:sz="4" w:space="0"/>
              <w:left w:val="nil"/>
              <w:bottom w:val="single" w:color="auto" w:sz="4" w:space="0"/>
              <w:right w:val="single" w:color="auto" w:sz="4" w:space="0"/>
            </w:tcBorders>
            <w:vAlign w:val="center"/>
          </w:tcPr>
          <w:p w14:paraId="185144E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1.电子化投标文件附有采购人不能接受的条件的；</w:t>
            </w:r>
          </w:p>
          <w:p w14:paraId="00CD962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2.投标报价高于招标文件中投标最高限价的；</w:t>
            </w:r>
          </w:p>
          <w:p w14:paraId="6A064B8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3.以他人的名义投标、串通投标、以行贿手段谋取中标或者以其他弄虚作假方式投标的；</w:t>
            </w:r>
          </w:p>
          <w:p w14:paraId="0E8B7EF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4.采取不正当手段谋取中标的。</w:t>
            </w:r>
          </w:p>
        </w:tc>
      </w:tr>
      <w:tr w14:paraId="5BA38C12">
        <w:trPr>
          <w:trHeight w:val="573" w:hRule="atLeast"/>
        </w:trPr>
        <w:tc>
          <w:tcPr>
            <w:tcW w:w="993" w:type="dxa"/>
            <w:tcBorders>
              <w:top w:val="single" w:color="auto" w:sz="4" w:space="0"/>
              <w:left w:val="single" w:color="auto" w:sz="4" w:space="0"/>
              <w:bottom w:val="single" w:color="auto" w:sz="4" w:space="0"/>
              <w:right w:val="single" w:color="auto" w:sz="4" w:space="0"/>
            </w:tcBorders>
            <w:vAlign w:val="center"/>
          </w:tcPr>
          <w:p w14:paraId="23928245">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w:t>
            </w:r>
          </w:p>
        </w:tc>
        <w:tc>
          <w:tcPr>
            <w:tcW w:w="1843" w:type="dxa"/>
            <w:tcBorders>
              <w:top w:val="single" w:color="auto" w:sz="4" w:space="0"/>
              <w:left w:val="nil"/>
              <w:bottom w:val="single" w:color="auto" w:sz="4" w:space="0"/>
              <w:right w:val="single" w:color="auto" w:sz="4" w:space="0"/>
            </w:tcBorders>
            <w:vAlign w:val="center"/>
          </w:tcPr>
          <w:p w14:paraId="469C5806">
            <w:pPr>
              <w:keepLines/>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投标最高限价</w:t>
            </w:r>
          </w:p>
        </w:tc>
        <w:tc>
          <w:tcPr>
            <w:tcW w:w="6803" w:type="dxa"/>
            <w:tcBorders>
              <w:top w:val="single" w:color="auto" w:sz="4" w:space="0"/>
              <w:left w:val="nil"/>
              <w:bottom w:val="single" w:color="auto" w:sz="4" w:space="0"/>
              <w:right w:val="single" w:color="auto" w:sz="4" w:space="0"/>
            </w:tcBorders>
            <w:vAlign w:val="center"/>
          </w:tcPr>
          <w:p w14:paraId="76E9B88A">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本项目投标</w:t>
            </w:r>
            <w:r>
              <w:rPr>
                <w:rFonts w:hint="eastAsia" w:ascii="宋体" w:hAnsi="宋体" w:cs="宋体"/>
                <w:color w:val="auto"/>
                <w:kern w:val="0"/>
                <w:sz w:val="24"/>
                <w:szCs w:val="24"/>
                <w:highlight w:val="none"/>
              </w:rPr>
              <w:t>最高限价</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6770173元</w:t>
            </w:r>
          </w:p>
          <w:p w14:paraId="55FCBB2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凡</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投标报价超出“投标最高限价”的，该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的电子化投标文件应作无效标处理。</w:t>
            </w:r>
          </w:p>
        </w:tc>
      </w:tr>
      <w:tr w14:paraId="47F885BA">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C417963">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3.7</w:t>
            </w:r>
          </w:p>
        </w:tc>
        <w:tc>
          <w:tcPr>
            <w:tcW w:w="1843" w:type="dxa"/>
            <w:tcBorders>
              <w:top w:val="single" w:color="auto" w:sz="4" w:space="0"/>
              <w:left w:val="single" w:color="auto" w:sz="4" w:space="0"/>
              <w:bottom w:val="single" w:color="auto" w:sz="4" w:space="0"/>
              <w:right w:val="single" w:color="auto" w:sz="4" w:space="0"/>
            </w:tcBorders>
            <w:vAlign w:val="center"/>
          </w:tcPr>
          <w:p w14:paraId="66DAA58D">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报价及费用</w:t>
            </w:r>
          </w:p>
        </w:tc>
        <w:tc>
          <w:tcPr>
            <w:tcW w:w="6803" w:type="dxa"/>
            <w:tcBorders>
              <w:top w:val="single" w:color="auto" w:sz="4" w:space="0"/>
              <w:left w:val="single" w:color="auto" w:sz="4" w:space="0"/>
              <w:bottom w:val="single" w:color="auto" w:sz="4" w:space="0"/>
              <w:right w:val="single" w:color="auto" w:sz="4" w:space="0"/>
            </w:tcBorders>
            <w:vAlign w:val="center"/>
          </w:tcPr>
          <w:p w14:paraId="6D0E0336">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1．本项目应以人民币报价，供应商应就该项目完整投标（报价、服务、税费、售后服务等综合费用），采购人不另外支付其他任何费用；</w:t>
            </w:r>
          </w:p>
          <w:p w14:paraId="4D9E2B86">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招标代理服务费按《河南省招标代理服务收费指导意见（豫招协【2023】002号）》</w:t>
            </w:r>
            <w:r>
              <w:rPr>
                <w:rFonts w:hint="eastAsia" w:ascii="宋体" w:hAnsi="宋体" w:cs="宋体"/>
                <w:color w:val="auto"/>
                <w:sz w:val="24"/>
                <w:szCs w:val="24"/>
                <w:highlight w:val="none"/>
                <w:lang w:val="en-US" w:eastAsia="zh-CN"/>
              </w:rPr>
              <w:t>的80%</w:t>
            </w:r>
            <w:r>
              <w:rPr>
                <w:rFonts w:hint="eastAsia" w:ascii="宋体" w:hAnsi="宋体" w:cs="宋体"/>
                <w:color w:val="auto"/>
                <w:sz w:val="24"/>
                <w:szCs w:val="24"/>
                <w:highlight w:val="none"/>
              </w:rPr>
              <w:t>进行计取。由中标人支付。</w:t>
            </w:r>
          </w:p>
        </w:tc>
      </w:tr>
      <w:tr w14:paraId="314F2C8B">
        <w:trPr>
          <w:trHeight w:val="198" w:hRule="atLeast"/>
        </w:trPr>
        <w:tc>
          <w:tcPr>
            <w:tcW w:w="993" w:type="dxa"/>
            <w:tcBorders>
              <w:top w:val="single" w:color="auto" w:sz="4" w:space="0"/>
              <w:left w:val="single" w:color="auto" w:sz="4" w:space="0"/>
              <w:bottom w:val="single" w:color="auto" w:sz="4" w:space="0"/>
              <w:right w:val="single" w:color="auto" w:sz="4" w:space="0"/>
            </w:tcBorders>
            <w:vAlign w:val="center"/>
          </w:tcPr>
          <w:p w14:paraId="242F0671">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3.8</w:t>
            </w:r>
          </w:p>
        </w:tc>
        <w:tc>
          <w:tcPr>
            <w:tcW w:w="1843" w:type="dxa"/>
            <w:tcBorders>
              <w:top w:val="single" w:color="auto" w:sz="4" w:space="0"/>
              <w:left w:val="nil"/>
              <w:bottom w:val="single" w:color="auto" w:sz="4" w:space="0"/>
              <w:right w:val="single" w:color="auto" w:sz="4" w:space="0"/>
            </w:tcBorders>
            <w:vAlign w:val="center"/>
          </w:tcPr>
          <w:p w14:paraId="3B16D6AC">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质疑和投诉</w:t>
            </w:r>
          </w:p>
        </w:tc>
        <w:tc>
          <w:tcPr>
            <w:tcW w:w="6803" w:type="dxa"/>
            <w:tcBorders>
              <w:top w:val="single" w:color="auto" w:sz="4" w:space="0"/>
              <w:left w:val="nil"/>
              <w:bottom w:val="single" w:color="auto" w:sz="4" w:space="0"/>
              <w:right w:val="single" w:color="auto" w:sz="4" w:space="0"/>
            </w:tcBorders>
            <w:vAlign w:val="center"/>
          </w:tcPr>
          <w:p w14:paraId="7636521B">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1.供应商认为采购文件、采购过程和中标或者成交结果使自己的权益受到损害的，可以在知道或者应知其权益受到损害之日起7个工作日内，以书面形式向采购人、采购代理机构提出质疑。</w:t>
            </w:r>
          </w:p>
          <w:p w14:paraId="1CF8DCE8">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123F76F1">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超出法定质疑期的、重复提出的、分次提出的或内容、形式不符合《政府采购质疑和投诉办法》的，提出质疑的供应商将依法承担不利后果。</w:t>
            </w:r>
          </w:p>
          <w:p w14:paraId="27C2BA0B">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3.质疑函接收部门、联系电话和通讯地址,见供应商须知前附表</w:t>
            </w:r>
          </w:p>
          <w:p w14:paraId="7467FE33">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4.质疑供应商对采购人、采购代理机构的答复不满意，或者采购人、采购代理机构未在规定时间内作出答复的，可以在答复期满后15个工作日内向财政部门提起投诉。</w:t>
            </w:r>
          </w:p>
          <w:p w14:paraId="548FF24C">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5.投诉人投诉时,应当提交投诉书和必要的证明材料，并按照被投诉采购人、采购代理机构（以下简称被投诉人）和与投诉事项有关的供应商数量提供投诉书的副本。</w:t>
            </w:r>
          </w:p>
        </w:tc>
      </w:tr>
      <w:tr w14:paraId="6D6BFDAC">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56CAFA8">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3.9</w:t>
            </w:r>
          </w:p>
        </w:tc>
        <w:tc>
          <w:tcPr>
            <w:tcW w:w="1843" w:type="dxa"/>
            <w:tcBorders>
              <w:top w:val="single" w:color="auto" w:sz="4" w:space="0"/>
              <w:left w:val="nil"/>
              <w:bottom w:val="single" w:color="auto" w:sz="4" w:space="0"/>
              <w:right w:val="single" w:color="auto" w:sz="4" w:space="0"/>
            </w:tcBorders>
            <w:vAlign w:val="center"/>
          </w:tcPr>
          <w:p w14:paraId="759B8DBB">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招标文件解释</w:t>
            </w:r>
          </w:p>
        </w:tc>
        <w:tc>
          <w:tcPr>
            <w:tcW w:w="6803" w:type="dxa"/>
            <w:tcBorders>
              <w:top w:val="single" w:color="auto" w:sz="4" w:space="0"/>
              <w:left w:val="nil"/>
              <w:bottom w:val="single" w:color="auto" w:sz="4" w:space="0"/>
              <w:right w:val="single" w:color="auto" w:sz="4" w:space="0"/>
            </w:tcBorders>
            <w:vAlign w:val="center"/>
          </w:tcPr>
          <w:p w14:paraId="6B9926A2">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4B157BB">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2EFB42E">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4.0</w:t>
            </w:r>
          </w:p>
        </w:tc>
        <w:tc>
          <w:tcPr>
            <w:tcW w:w="1843" w:type="dxa"/>
            <w:tcBorders>
              <w:top w:val="single" w:color="auto" w:sz="4" w:space="0"/>
              <w:left w:val="nil"/>
              <w:bottom w:val="single" w:color="auto" w:sz="4" w:space="0"/>
              <w:right w:val="single" w:color="auto" w:sz="4" w:space="0"/>
            </w:tcBorders>
            <w:vAlign w:val="center"/>
          </w:tcPr>
          <w:p w14:paraId="20E03CE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中标结果</w:t>
            </w:r>
          </w:p>
        </w:tc>
        <w:tc>
          <w:tcPr>
            <w:tcW w:w="6803" w:type="dxa"/>
            <w:tcBorders>
              <w:top w:val="single" w:color="auto" w:sz="4" w:space="0"/>
              <w:left w:val="nil"/>
              <w:bottom w:val="single" w:color="auto" w:sz="4" w:space="0"/>
              <w:right w:val="single" w:color="auto" w:sz="4" w:space="0"/>
            </w:tcBorders>
            <w:vAlign w:val="center"/>
          </w:tcPr>
          <w:p w14:paraId="558E1F5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在《中国招标投标公共服务平台》、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中国政府采购网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《河南省政府采购网》和《三门峡市公共资源交易中心网》</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个网站同步中标结果公告。</w:t>
            </w:r>
          </w:p>
          <w:p w14:paraId="4856601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采购人以书面形式向中标人发出中标通知书。</w:t>
            </w:r>
          </w:p>
        </w:tc>
      </w:tr>
      <w:tr w14:paraId="480A4AE8">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27F60B3">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w:t>
            </w:r>
          </w:p>
        </w:tc>
        <w:tc>
          <w:tcPr>
            <w:tcW w:w="1843" w:type="dxa"/>
            <w:tcBorders>
              <w:top w:val="single" w:color="auto" w:sz="4" w:space="0"/>
              <w:left w:val="nil"/>
              <w:bottom w:val="single" w:color="auto" w:sz="4" w:space="0"/>
              <w:right w:val="single" w:color="auto" w:sz="4" w:space="0"/>
            </w:tcBorders>
            <w:vAlign w:val="center"/>
          </w:tcPr>
          <w:p w14:paraId="3BAD7C9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重新招标的其他情形</w:t>
            </w:r>
          </w:p>
        </w:tc>
        <w:tc>
          <w:tcPr>
            <w:tcW w:w="6803" w:type="dxa"/>
            <w:tcBorders>
              <w:top w:val="single" w:color="auto" w:sz="4" w:space="0"/>
              <w:left w:val="nil"/>
              <w:bottom w:val="single" w:color="auto" w:sz="4" w:space="0"/>
              <w:right w:val="single" w:color="auto" w:sz="4" w:space="0"/>
            </w:tcBorders>
            <w:vAlign w:val="center"/>
          </w:tcPr>
          <w:p w14:paraId="09922E6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除供应商须知规定的情形外，除非已经产生中标候选人，在投标有效期内同意延长投标有效期的供应商少于三个的，采购人应当依法重新招标。</w:t>
            </w:r>
          </w:p>
        </w:tc>
      </w:tr>
      <w:tr w14:paraId="44F94868">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DE86FEF">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w:t>
            </w:r>
          </w:p>
        </w:tc>
        <w:tc>
          <w:tcPr>
            <w:tcW w:w="1843" w:type="dxa"/>
            <w:tcBorders>
              <w:top w:val="single" w:color="auto" w:sz="4" w:space="0"/>
              <w:left w:val="nil"/>
              <w:bottom w:val="single" w:color="auto" w:sz="4" w:space="0"/>
              <w:right w:val="single" w:color="auto" w:sz="4" w:space="0"/>
            </w:tcBorders>
            <w:vAlign w:val="center"/>
          </w:tcPr>
          <w:p w14:paraId="691B12D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监督</w:t>
            </w:r>
          </w:p>
        </w:tc>
        <w:tc>
          <w:tcPr>
            <w:tcW w:w="6803" w:type="dxa"/>
            <w:tcBorders>
              <w:top w:val="single" w:color="auto" w:sz="4" w:space="0"/>
              <w:left w:val="nil"/>
              <w:bottom w:val="single" w:color="auto" w:sz="4" w:space="0"/>
              <w:right w:val="single" w:color="auto" w:sz="4" w:space="0"/>
            </w:tcBorders>
            <w:vAlign w:val="center"/>
          </w:tcPr>
          <w:p w14:paraId="4EAFAFD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本项目的招标投标活动及其相关当事人应当接受有管辖权的行政监督部门依法实施的监督。</w:t>
            </w:r>
          </w:p>
        </w:tc>
      </w:tr>
      <w:tr w14:paraId="2AB22B3A">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A5BA94E">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w:t>
            </w:r>
          </w:p>
        </w:tc>
        <w:tc>
          <w:tcPr>
            <w:tcW w:w="1843" w:type="dxa"/>
            <w:tcBorders>
              <w:top w:val="single" w:color="auto" w:sz="4" w:space="0"/>
              <w:left w:val="nil"/>
              <w:bottom w:val="single" w:color="auto" w:sz="4" w:space="0"/>
              <w:right w:val="single" w:color="auto" w:sz="4" w:space="0"/>
            </w:tcBorders>
            <w:vAlign w:val="center"/>
          </w:tcPr>
          <w:p w14:paraId="197AE1EA">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其他</w:t>
            </w:r>
          </w:p>
        </w:tc>
        <w:tc>
          <w:tcPr>
            <w:tcW w:w="6803" w:type="dxa"/>
            <w:tcBorders>
              <w:top w:val="single" w:color="auto" w:sz="4" w:space="0"/>
              <w:left w:val="nil"/>
              <w:bottom w:val="single" w:color="auto" w:sz="4" w:space="0"/>
              <w:right w:val="single" w:color="auto" w:sz="4" w:space="0"/>
            </w:tcBorders>
            <w:vAlign w:val="center"/>
          </w:tcPr>
          <w:p w14:paraId="1A3999EA">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bidi="en-US"/>
              </w:rPr>
              <w:t xml:space="preserve"> 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14:paraId="2ED2598F">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2.评标打分部分：评标打分部分仍按照100分制原则进行，涉及到资格审查、企业荣誉、企业业绩等计分部分时，以投标单位自行上传到投标文件中的相应内容为准。</w:t>
            </w:r>
          </w:p>
          <w:p w14:paraId="56C29B97">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3.在招标文件中要求供应商按照投标文件格式进行投标文件编制，在投标文件编制时，应明确将供应商企业基本情况、人员情况、财务情况、业绩情况编入投标文件，便于进行资格审查及评标打分。</w:t>
            </w:r>
          </w:p>
          <w:p w14:paraId="02D7C521">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4.我单位（采购人）严格按三财购【2021】9号文要求的时限发布中标结果公告，发出中标通知书，签订采购合同，上传采购合同。</w:t>
            </w:r>
          </w:p>
        </w:tc>
      </w:tr>
      <w:tr w14:paraId="25AA9FB6">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031184F">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4.4</w:t>
            </w:r>
          </w:p>
        </w:tc>
        <w:tc>
          <w:tcPr>
            <w:tcW w:w="1843" w:type="dxa"/>
            <w:tcBorders>
              <w:top w:val="single" w:color="auto" w:sz="4" w:space="0"/>
              <w:left w:val="nil"/>
              <w:bottom w:val="single" w:color="auto" w:sz="4" w:space="0"/>
              <w:right w:val="single" w:color="auto" w:sz="4" w:space="0"/>
            </w:tcBorders>
            <w:vAlign w:val="center"/>
          </w:tcPr>
          <w:p w14:paraId="467E36B6">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电子化交易</w:t>
            </w:r>
          </w:p>
          <w:p w14:paraId="7305BDCE">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注意事项</w:t>
            </w:r>
          </w:p>
        </w:tc>
        <w:tc>
          <w:tcPr>
            <w:tcW w:w="6803" w:type="dxa"/>
            <w:tcBorders>
              <w:top w:val="single" w:color="auto" w:sz="4" w:space="0"/>
              <w:left w:val="nil"/>
              <w:bottom w:val="single" w:color="auto" w:sz="4" w:space="0"/>
              <w:right w:val="single" w:color="auto" w:sz="4" w:space="0"/>
            </w:tcBorders>
            <w:vAlign w:val="center"/>
          </w:tcPr>
          <w:p w14:paraId="3E4F71E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具体要求：本项目为电子化、无纸化交易项目，投标文件是</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、供应商（以下简称“</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”）通过中心投标文件制作系统制作，并经过签章和加密后生成的电子版投标文件。</w:t>
            </w:r>
          </w:p>
          <w:p w14:paraId="08D2BF76">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温馨提示：本项目为电子化、无纸化交易项目，为保证您能投标成功，请需仔细阅读以下条款。</w:t>
            </w:r>
          </w:p>
          <w:p w14:paraId="1807B8FC">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一、电子化投标</w:t>
            </w:r>
          </w:p>
          <w:p w14:paraId="7B5047F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（一）网上投标保证金的缴纳</w:t>
            </w:r>
          </w:p>
          <w:p w14:paraId="51E6370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根据《河南省财政厅关于优化政府采购营商环境有关问题的通知》（豫财购【2019】4号）第6条的规定，投标保证金不再收取。</w:t>
            </w:r>
          </w:p>
          <w:p w14:paraId="07D924D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（二）电子化投标文件的签章</w:t>
            </w:r>
          </w:p>
          <w:p w14:paraId="306803A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在生成电子化投标文件后，应对电子化投标文件进行签章，未进行签章的视为无效投标。</w:t>
            </w:r>
          </w:p>
          <w:p w14:paraId="216127E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b/>
                <w:color w:val="auto"/>
                <w:sz w:val="24"/>
                <w:szCs w:val="24"/>
                <w:highlight w:val="none"/>
              </w:rPr>
              <w:t>招标文件中要求</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盖章的，以签盖单位章为准；要求法定代表人签章的，以签盖法定代表人签章为准。</w:t>
            </w:r>
          </w:p>
          <w:p w14:paraId="2744F45B">
            <w:pPr>
              <w:spacing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t>（三）电子化投标文件的格式及上传投标</w:t>
            </w:r>
          </w:p>
          <w:p w14:paraId="1B5F1151">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2928042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7F332633">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如按照电子化投标操作教材制作完成的电子化投标文件无法上传的，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应在</w:t>
            </w:r>
            <w:r>
              <w:rPr>
                <w:rFonts w:hint="eastAsia" w:ascii="宋体" w:hAnsi="宋体" w:cs="宋体"/>
                <w:b/>
                <w:color w:val="auto"/>
                <w:sz w:val="24"/>
                <w:szCs w:val="24"/>
                <w:highlight w:val="none"/>
              </w:rPr>
              <w:t>投标截止时间前尽早的</w:t>
            </w:r>
            <w:r>
              <w:rPr>
                <w:rFonts w:hint="eastAsia" w:ascii="宋体" w:hAnsi="宋体" w:cs="宋体"/>
                <w:color w:val="auto"/>
                <w:sz w:val="24"/>
                <w:szCs w:val="24"/>
                <w:highlight w:val="none"/>
              </w:rPr>
              <w:t>联系中心技术人员，以便有充分的时间进行处理。</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应充分考虑到处理技术问题和上传数据等工作所需的时间问题，投标文件未在投标截止时间前成功上传的，其投标文件不予接收。</w:t>
            </w:r>
          </w:p>
          <w:p w14:paraId="684D65E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新点客服电话:4009980000</w:t>
            </w:r>
          </w:p>
          <w:p w14:paraId="7C4BB7B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（四）电子化项目开标、解密、唱标、评标</w:t>
            </w:r>
          </w:p>
          <w:p w14:paraId="7FD3F56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w:t>
            </w:r>
            <w:r>
              <w:rPr>
                <w:rFonts w:hint="eastAsia" w:ascii="宋体" w:hAnsi="宋体" w:cs="宋体"/>
                <w:b/>
                <w:color w:val="auto"/>
                <w:sz w:val="24"/>
                <w:szCs w:val="24"/>
                <w:highlight w:val="none"/>
              </w:rPr>
              <w:t>电子化、无纸化</w:t>
            </w:r>
            <w:r>
              <w:rPr>
                <w:rFonts w:hint="eastAsia" w:ascii="宋体" w:hAnsi="宋体" w:cs="宋体"/>
                <w:color w:val="auto"/>
                <w:sz w:val="24"/>
                <w:szCs w:val="24"/>
                <w:highlight w:val="none"/>
              </w:rPr>
              <w:t>进行招标，开标当日，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无需到开标现场参加开标会议，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0179FEB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2.电子化投标文件采用一次加密方式。开标时，由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使用CA 证书，在规定时间内对其电子化投标文件进行解密。每位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的解密时间为开标时间起30 分钟内，如在规定时间内未完成解密的，其投标文件不予开标、唱标。</w:t>
            </w:r>
          </w:p>
          <w:p w14:paraId="402E1A16">
            <w:pPr>
              <w:spacing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t>3.电子化投标文件解密异常的处理</w:t>
            </w:r>
          </w:p>
          <w:p w14:paraId="43AB82C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如出现</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的电子投标文件无法解密等异常情况，</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应及时致电中介服务机构说明。投标文件异常，按以下步骤进行处理：</w:t>
            </w:r>
          </w:p>
          <w:p w14:paraId="25C4E7D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（1）首先由技术人员进行问题排查。</w:t>
            </w:r>
          </w:p>
          <w:p w14:paraId="0DFF950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（2）经技术人员排查后，是</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文件自身问题导致投标文件无法解密的，该投标文件将不予接收、解密和唱标。开标会议继续进行。</w:t>
            </w:r>
          </w:p>
          <w:p w14:paraId="2105DB0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8B17EE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4.待所有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投标文件解密完成后，由中介服务机构操作，对所有已解密投标文件进行唱标。</w:t>
            </w:r>
          </w:p>
          <w:p w14:paraId="4C5F37F1">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应保证在开标期间电话、电脑、网络能够正常工作，</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因停电、电脑病毒、网络堵塞等原因，未在规定的解密时间内对投标文件进行解密的，其投标文件不予接收、唱标。</w:t>
            </w:r>
          </w:p>
          <w:p w14:paraId="7BF1FD7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5.开标时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可登录到交易系统中在开标解密栏中点击报价一览表查看自己的投标报价。如对自己的唱标内容有异议的，应在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解密成功后10分钟内向中介服务机构电话质疑。中介服务机构应在监督人员的监督下进行免提通话接受</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的质疑并做好书面记录。</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未在规定时间内提出质疑的，视为认可唱标内容。</w:t>
            </w:r>
          </w:p>
          <w:p w14:paraId="0D9624D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6.评标时，评标委员会对电子化投标文件有质疑的，将通过电子化交易系统对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发起质疑，并在监督人员的监督下，用免提模式致电需要答复的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对质疑进行回复。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的回复文件必须以经过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和其法定代表人签章的PDF格式文件为准，并通过电子化交易系统提交至评标委员会。</w:t>
            </w:r>
          </w:p>
          <w:p w14:paraId="5410E95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7.如评标委员会对需要回复的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连续三次致电未接通的，视为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放弃回复，评标委员会将自行对需要回复的内容进行认定。</w:t>
            </w:r>
          </w:p>
          <w:p w14:paraId="27D5354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评标委员会对原件的核验工作按以下条款进行：</w:t>
            </w:r>
          </w:p>
          <w:p w14:paraId="396AC4BB">
            <w:pPr>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评标时，评委先查阅投标文件中是否具有该资料的原件扫描件，其上传资料真实性由供应商自行承担，同时，供应商请完善主体库。</w:t>
            </w:r>
          </w:p>
          <w:p w14:paraId="500A1A2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具体操作详见《三门峡市公共资源交易服务平台市场主体信息库操作手册》。链接地址：</w:t>
            </w:r>
          </w:p>
          <w:p w14:paraId="2E99B99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http://gzjy.smx.gov.cn/fwzn/004003/20200325/b13aa3fa-a543-403f-b537-82cb417132bd.html</w:t>
            </w:r>
          </w:p>
          <w:p w14:paraId="5A726A0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需应仔细阅读操作手册，保证上传内容齐全，真实有效，原件扫描件清晰可辨。因</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上传原因导致应得分项而未得分或资格审查不合格等情况的，由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自行承担责任。</w:t>
            </w:r>
          </w:p>
          <w:p w14:paraId="725AEFB3">
            <w:pPr>
              <w:keepLines/>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提示：本项目为电子化、无纸化交易项目，为保证您能投标成功，请需仔细阅读以上条款。</w:t>
            </w:r>
          </w:p>
        </w:tc>
      </w:tr>
      <w:tr w14:paraId="35BE90C4">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DBDE25C">
            <w:pPr>
              <w:keepLines/>
              <w:spacing w:line="360" w:lineRule="auto"/>
              <w:ind w:firstLine="120" w:firstLineChars="50"/>
              <w:jc w:val="left"/>
              <w:rPr>
                <w:rFonts w:hint="eastAsia" w:ascii="宋体" w:hAnsi="宋体" w:cs="宋体"/>
                <w:color w:val="auto"/>
                <w:kern w:val="0"/>
                <w:sz w:val="24"/>
                <w:szCs w:val="24"/>
                <w:highlight w:val="none"/>
              </w:rPr>
            </w:pPr>
            <w:bookmarkStart w:id="21" w:name="_Toc28251186"/>
            <w:bookmarkStart w:id="22" w:name="_Toc38013513"/>
            <w:bookmarkStart w:id="23" w:name="_Toc16690619"/>
            <w:r>
              <w:rPr>
                <w:rFonts w:hint="eastAsia" w:ascii="宋体" w:hAnsi="宋体" w:cs="宋体"/>
                <w:color w:val="auto"/>
                <w:kern w:val="0"/>
                <w:sz w:val="24"/>
                <w:szCs w:val="24"/>
                <w:highlight w:val="none"/>
              </w:rPr>
              <w:t>4.5</w:t>
            </w:r>
          </w:p>
        </w:tc>
        <w:tc>
          <w:tcPr>
            <w:tcW w:w="1843" w:type="dxa"/>
            <w:tcBorders>
              <w:top w:val="single" w:color="auto" w:sz="4" w:space="0"/>
              <w:left w:val="nil"/>
              <w:bottom w:val="single" w:color="auto" w:sz="4" w:space="0"/>
              <w:right w:val="single" w:color="auto" w:sz="4" w:space="0"/>
            </w:tcBorders>
            <w:vAlign w:val="center"/>
          </w:tcPr>
          <w:p w14:paraId="18A1A3B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付款方式</w:t>
            </w:r>
          </w:p>
        </w:tc>
        <w:tc>
          <w:tcPr>
            <w:tcW w:w="6803" w:type="dxa"/>
            <w:tcBorders>
              <w:top w:val="single" w:color="auto" w:sz="4" w:space="0"/>
              <w:left w:val="nil"/>
              <w:bottom w:val="single" w:color="auto" w:sz="4" w:space="0"/>
              <w:right w:val="single" w:color="auto" w:sz="4" w:space="0"/>
            </w:tcBorders>
            <w:vAlign w:val="center"/>
          </w:tcPr>
          <w:p w14:paraId="0C12511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最终付款方式以合同签订为准。</w:t>
            </w:r>
          </w:p>
        </w:tc>
      </w:tr>
      <w:tr w14:paraId="428FFF1E">
        <w:trPr>
          <w:trHeight w:val="1374" w:hRule="atLeast"/>
        </w:trPr>
        <w:tc>
          <w:tcPr>
            <w:tcW w:w="993" w:type="dxa"/>
            <w:tcBorders>
              <w:top w:val="single" w:color="auto" w:sz="4" w:space="0"/>
              <w:left w:val="single" w:color="auto" w:sz="4" w:space="0"/>
              <w:bottom w:val="single" w:color="auto" w:sz="4" w:space="0"/>
              <w:right w:val="single" w:color="auto" w:sz="4" w:space="0"/>
            </w:tcBorders>
            <w:vAlign w:val="center"/>
          </w:tcPr>
          <w:p w14:paraId="6AC470C3">
            <w:pPr>
              <w:keepLines/>
              <w:spacing w:line="360" w:lineRule="auto"/>
              <w:ind w:firstLine="120" w:firstLineChars="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4.6</w:t>
            </w:r>
          </w:p>
        </w:tc>
        <w:tc>
          <w:tcPr>
            <w:tcW w:w="1843" w:type="dxa"/>
            <w:tcBorders>
              <w:top w:val="single" w:color="auto" w:sz="4" w:space="0"/>
              <w:left w:val="nil"/>
              <w:bottom w:val="single" w:color="auto" w:sz="4" w:space="0"/>
              <w:right w:val="single" w:color="auto" w:sz="4" w:space="0"/>
            </w:tcBorders>
            <w:vAlign w:val="center"/>
          </w:tcPr>
          <w:p w14:paraId="0D26E69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招标代理服务费</w:t>
            </w:r>
          </w:p>
        </w:tc>
        <w:tc>
          <w:tcPr>
            <w:tcW w:w="6803" w:type="dxa"/>
            <w:tcBorders>
              <w:top w:val="single" w:color="auto" w:sz="4" w:space="0"/>
              <w:left w:val="nil"/>
              <w:bottom w:val="single" w:color="auto" w:sz="4" w:space="0"/>
              <w:right w:val="single" w:color="auto" w:sz="4" w:space="0"/>
            </w:tcBorders>
            <w:vAlign w:val="center"/>
          </w:tcPr>
          <w:p w14:paraId="286840F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本项目招标代理服务费按照河南省招标投标协会关于印发《河南省招标代理服务收费指导意见》的通知【豫招协（2023）002号】文件中招标代理服务收费标准。由中标人承担中标服务费。</w:t>
            </w:r>
          </w:p>
        </w:tc>
      </w:tr>
      <w:tr w14:paraId="0B02F53A">
        <w:trPr>
          <w:trHeight w:val="854" w:hRule="atLeast"/>
        </w:trPr>
        <w:tc>
          <w:tcPr>
            <w:tcW w:w="993" w:type="dxa"/>
            <w:tcBorders>
              <w:top w:val="single" w:color="auto" w:sz="4" w:space="0"/>
              <w:left w:val="single" w:color="auto" w:sz="4" w:space="0"/>
              <w:bottom w:val="single" w:color="auto" w:sz="4" w:space="0"/>
              <w:right w:val="single" w:color="auto" w:sz="4" w:space="0"/>
            </w:tcBorders>
            <w:vAlign w:val="center"/>
          </w:tcPr>
          <w:p w14:paraId="293B0A20">
            <w:pPr>
              <w:keepLines/>
              <w:spacing w:line="360" w:lineRule="auto"/>
              <w:ind w:firstLine="120" w:firstLineChars="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4.7</w:t>
            </w:r>
          </w:p>
        </w:tc>
        <w:tc>
          <w:tcPr>
            <w:tcW w:w="1843" w:type="dxa"/>
            <w:tcBorders>
              <w:top w:val="single" w:color="auto" w:sz="4" w:space="0"/>
              <w:left w:val="nil"/>
              <w:bottom w:val="single" w:color="auto" w:sz="4" w:space="0"/>
              <w:right w:val="single" w:color="auto" w:sz="4" w:space="0"/>
            </w:tcBorders>
            <w:vAlign w:val="center"/>
          </w:tcPr>
          <w:p w14:paraId="59003A8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本项目对应的中小企业划分标准所属行业</w:t>
            </w:r>
          </w:p>
        </w:tc>
        <w:tc>
          <w:tcPr>
            <w:tcW w:w="6803" w:type="dxa"/>
            <w:tcBorders>
              <w:top w:val="single" w:color="auto" w:sz="4" w:space="0"/>
              <w:left w:val="nil"/>
              <w:bottom w:val="single" w:color="auto" w:sz="4" w:space="0"/>
              <w:right w:val="single" w:color="auto" w:sz="4" w:space="0"/>
            </w:tcBorders>
            <w:vAlign w:val="center"/>
          </w:tcPr>
          <w:p w14:paraId="78D1284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其他未列明行业</w:t>
            </w:r>
          </w:p>
        </w:tc>
      </w:tr>
    </w:tbl>
    <w:p w14:paraId="0B8665D9">
      <w:pPr>
        <w:rPr>
          <w:rFonts w:hint="eastAsia" w:ascii="宋体" w:hAnsi="宋体" w:cs="宋体"/>
          <w:color w:val="auto"/>
          <w:highlight w:val="none"/>
        </w:rPr>
      </w:pPr>
    </w:p>
    <w:bookmarkEnd w:id="21"/>
    <w:bookmarkEnd w:id="22"/>
    <w:bookmarkEnd w:id="23"/>
    <w:p w14:paraId="3DFDFD04">
      <w:pPr>
        <w:rPr>
          <w:rFonts w:hint="eastAsia" w:ascii="宋体" w:hAnsi="宋体" w:cs="宋体"/>
          <w:color w:val="auto"/>
          <w:sz w:val="24"/>
          <w:szCs w:val="24"/>
          <w:highlight w:val="none"/>
        </w:rPr>
      </w:pPr>
      <w:bookmarkStart w:id="24" w:name="_Toc28251187"/>
      <w:bookmarkStart w:id="25" w:name="_Toc38013514"/>
      <w:r>
        <w:rPr>
          <w:rFonts w:hint="eastAsia" w:ascii="宋体" w:hAnsi="宋体" w:cs="宋体"/>
          <w:color w:val="auto"/>
          <w:sz w:val="24"/>
          <w:szCs w:val="24"/>
          <w:highlight w:val="none"/>
        </w:rPr>
        <w:br w:type="page"/>
      </w:r>
    </w:p>
    <w:p w14:paraId="53E04B5C">
      <w:pPr>
        <w:pStyle w:val="2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一、总则</w:t>
      </w:r>
    </w:p>
    <w:bookmarkEnd w:id="24"/>
    <w:bookmarkEnd w:id="25"/>
    <w:p w14:paraId="5EB7D825">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bookmarkStart w:id="26" w:name="_Toc466566784"/>
      <w:bookmarkEnd w:id="26"/>
      <w:bookmarkStart w:id="27" w:name="_Toc271556721"/>
      <w:bookmarkStart w:id="28" w:name="_Toc5478"/>
      <w:bookmarkStart w:id="29" w:name="_Toc270604617"/>
      <w:bookmarkStart w:id="30" w:name="_Toc256519755"/>
      <w:bookmarkStart w:id="31" w:name="_Toc254788523"/>
      <w:r>
        <w:rPr>
          <w:rFonts w:hint="eastAsia" w:ascii="宋体" w:hAnsi="宋体" w:cs="宋体"/>
          <w:b/>
          <w:bCs/>
          <w:color w:val="auto"/>
          <w:sz w:val="24"/>
          <w:szCs w:val="24"/>
          <w:highlight w:val="none"/>
        </w:rPr>
        <w:t>1、</w:t>
      </w:r>
      <w:r>
        <w:rPr>
          <w:rFonts w:hint="eastAsia" w:ascii="宋体" w:hAnsi="宋体" w:cs="宋体"/>
          <w:color w:val="auto"/>
          <w:sz w:val="24"/>
          <w:szCs w:val="24"/>
          <w:highlight w:val="none"/>
        </w:rPr>
        <w:t>项目概况</w:t>
      </w:r>
    </w:p>
    <w:p w14:paraId="2251583C">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1.1采购范围：本项目为三门峡市气象局三门峡市精准化气象防灾减灾工程项目。项目主要内容</w:t>
      </w:r>
      <w:r>
        <w:rPr>
          <w:rFonts w:hint="eastAsia" w:ascii="宋体" w:hAnsi="宋体" w:cs="宋体"/>
          <w:color w:val="auto"/>
          <w:sz w:val="24"/>
          <w:szCs w:val="24"/>
          <w:highlight w:val="none"/>
          <w:lang w:eastAsia="zh-CN"/>
        </w:rPr>
        <w:t>：</w:t>
      </w:r>
    </w:p>
    <w:p w14:paraId="03D17727">
      <w:pPr>
        <w:pStyle w:val="14"/>
        <w:spacing w:line="360" w:lineRule="auto"/>
        <w:ind w:left="0"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本项目为三门峡市气象局三门峡市精准化气象防灾减灾工程项目。项目主要内容</w:t>
      </w:r>
      <w:r>
        <w:rPr>
          <w:rFonts w:hint="eastAsia" w:ascii="宋体" w:hAnsi="宋体" w:cs="宋体"/>
          <w:color w:val="auto"/>
          <w:kern w:val="0"/>
          <w:sz w:val="24"/>
          <w:szCs w:val="24"/>
          <w:highlight w:val="none"/>
          <w:lang w:eastAsia="zh-CN"/>
        </w:rPr>
        <w:t>：精准化立体气象观测分系统；精准化气象预报预警系统；智慧型公共气象服务系统。（</w:t>
      </w:r>
      <w:r>
        <w:rPr>
          <w:rFonts w:hint="eastAsia" w:ascii="宋体" w:hAnsi="宋体" w:cs="宋体"/>
          <w:color w:val="auto"/>
          <w:kern w:val="0"/>
          <w:sz w:val="24"/>
          <w:szCs w:val="24"/>
          <w:highlight w:val="none"/>
          <w:lang w:val="en-US" w:eastAsia="zh-CN"/>
        </w:rPr>
        <w:t>详见采购内容清单</w:t>
      </w:r>
      <w:r>
        <w:rPr>
          <w:rFonts w:hint="eastAsia" w:ascii="宋体" w:hAnsi="宋体" w:cs="宋体"/>
          <w:color w:val="auto"/>
          <w:kern w:val="0"/>
          <w:sz w:val="24"/>
          <w:szCs w:val="24"/>
          <w:highlight w:val="none"/>
          <w:lang w:eastAsia="zh-CN"/>
        </w:rPr>
        <w:t>）</w:t>
      </w:r>
    </w:p>
    <w:p w14:paraId="6E1BD33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1.2资金来源：财政资金，已落实。</w:t>
      </w:r>
    </w:p>
    <w:p w14:paraId="3C83B3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1.3质量要求：</w:t>
      </w:r>
      <w:r>
        <w:rPr>
          <w:rFonts w:hint="eastAsia" w:ascii="宋体" w:hAnsi="宋体" w:cs="宋体"/>
          <w:color w:val="auto"/>
          <w:sz w:val="24"/>
          <w:szCs w:val="24"/>
          <w:highlight w:val="none"/>
        </w:rPr>
        <w:t>合格，符合国家及行业标准，并满足采购人要求。</w:t>
      </w:r>
    </w:p>
    <w:p w14:paraId="238B69A9">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2、投标费用</w:t>
      </w:r>
    </w:p>
    <w:p w14:paraId="36613889">
      <w:pPr>
        <w:shd w:val="clear" w:color="auto" w:fill="FFFFFF"/>
        <w:snapToGrid w:val="0"/>
        <w:spacing w:line="360" w:lineRule="auto"/>
        <w:ind w:right="105" w:rightChars="50" w:firstLine="360" w:firstLineChars="150"/>
        <w:rPr>
          <w:rFonts w:hint="eastAsia" w:ascii="宋体" w:hAnsi="宋体" w:cs="宋体"/>
          <w:color w:val="auto"/>
          <w:sz w:val="24"/>
          <w:szCs w:val="24"/>
          <w:highlight w:val="none"/>
        </w:rPr>
      </w:pPr>
      <w:r>
        <w:rPr>
          <w:rFonts w:hint="eastAsia" w:ascii="宋体" w:hAnsi="宋体" w:cs="宋体"/>
          <w:b/>
          <w:bCs/>
          <w:color w:val="auto"/>
          <w:sz w:val="24"/>
          <w:szCs w:val="24"/>
          <w:highlight w:val="none"/>
        </w:rPr>
        <w:t xml:space="preserve"> 2.1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承担其投标文件编制与递交所涉及的一切费用。在任何情况下采购人和招标代理机构对上述费用均不承担任何责任。</w:t>
      </w:r>
    </w:p>
    <w:p w14:paraId="4AC2A5D4">
      <w:pPr>
        <w:shd w:val="clear" w:color="auto" w:fill="FFFFFF"/>
        <w:snapToGrid w:val="0"/>
        <w:spacing w:line="360" w:lineRule="auto"/>
        <w:ind w:right="105" w:rightChars="50" w:firstLine="118" w:firstLineChars="49"/>
        <w:rPr>
          <w:rFonts w:hint="eastAsia" w:ascii="宋体" w:hAnsi="宋体" w:cs="宋体"/>
          <w:color w:val="auto"/>
          <w:sz w:val="24"/>
          <w:szCs w:val="24"/>
          <w:highlight w:val="none"/>
        </w:rPr>
      </w:pPr>
      <w:r>
        <w:rPr>
          <w:rFonts w:hint="eastAsia" w:ascii="宋体" w:hAnsi="宋体" w:cs="宋体"/>
          <w:b/>
          <w:bCs/>
          <w:color w:val="auto"/>
          <w:sz w:val="24"/>
          <w:szCs w:val="24"/>
          <w:highlight w:val="none"/>
        </w:rPr>
        <w:t xml:space="preserve">   3、定义及解释</w:t>
      </w:r>
    </w:p>
    <w:p w14:paraId="2860897D">
      <w:pPr>
        <w:spacing w:line="360" w:lineRule="auto"/>
        <w:ind w:right="105" w:rightChars="5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3.1</w:t>
      </w:r>
      <w:r>
        <w:rPr>
          <w:rFonts w:hint="eastAsia" w:ascii="宋体" w:hAnsi="宋体" w:cs="宋体"/>
          <w:color w:val="auto"/>
          <w:sz w:val="24"/>
          <w:szCs w:val="24"/>
          <w:highlight w:val="none"/>
        </w:rPr>
        <w:t>货物：系指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按招标文件规定而提供的设备、工具、备品备件、手册及其他有关技术资料和材料。</w:t>
      </w:r>
    </w:p>
    <w:p w14:paraId="1A87413A">
      <w:pPr>
        <w:spacing w:line="360" w:lineRule="auto"/>
        <w:ind w:right="105" w:rightChars="50" w:firstLine="476" w:firstLineChars="198"/>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3.2</w:t>
      </w:r>
      <w:r>
        <w:rPr>
          <w:rFonts w:hint="eastAsia" w:ascii="宋体" w:hAnsi="宋体" w:cs="宋体"/>
          <w:color w:val="auto"/>
          <w:sz w:val="24"/>
          <w:szCs w:val="24"/>
          <w:highlight w:val="none"/>
        </w:rPr>
        <w:t>服务：系指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提供的安装、调试、验收、培训、质保期服务、与货物有关的运输和保险及其他伴随服务。</w:t>
      </w:r>
    </w:p>
    <w:p w14:paraId="51DE061E">
      <w:pPr>
        <w:spacing w:line="360" w:lineRule="auto"/>
        <w:ind w:right="105" w:rightChars="50" w:firstLine="351" w:firstLineChars="146"/>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rPr>
        <w:t xml:space="preserve"> 3.3</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三门峡市气象局</w:t>
      </w:r>
    </w:p>
    <w:p w14:paraId="4D9D81A4">
      <w:pPr>
        <w:spacing w:line="360" w:lineRule="auto"/>
        <w:ind w:right="105" w:rightChars="50" w:firstLine="351" w:firstLineChars="146"/>
        <w:rPr>
          <w:rFonts w:hint="eastAsia" w:ascii="宋体" w:hAnsi="宋体" w:cs="宋体"/>
          <w:color w:val="auto"/>
          <w:sz w:val="24"/>
          <w:szCs w:val="24"/>
          <w:highlight w:val="none"/>
        </w:rPr>
      </w:pPr>
      <w:r>
        <w:rPr>
          <w:rFonts w:hint="eastAsia" w:ascii="宋体" w:hAnsi="宋体" w:cs="宋体"/>
          <w:b/>
          <w:bCs/>
          <w:color w:val="auto"/>
          <w:sz w:val="24"/>
          <w:szCs w:val="24"/>
          <w:highlight w:val="none"/>
        </w:rPr>
        <w:t xml:space="preserve"> 3.4</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：是指响应招标、参加投标竞争的法人或者其他组织。</w:t>
      </w:r>
    </w:p>
    <w:p w14:paraId="2E835B21">
      <w:pPr>
        <w:spacing w:line="360" w:lineRule="auto"/>
        <w:ind w:right="105" w:rightChars="50" w:firstLine="235" w:firstLineChars="98"/>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 xml:space="preserve">  3.5</w:t>
      </w: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中恒晟（北京）工程管理有限公司</w:t>
      </w:r>
    </w:p>
    <w:p w14:paraId="004BBFB5">
      <w:pPr>
        <w:spacing w:line="360" w:lineRule="auto"/>
        <w:ind w:right="105" w:rightChars="50"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3.6</w:t>
      </w:r>
      <w:r>
        <w:rPr>
          <w:rFonts w:hint="eastAsia" w:ascii="宋体" w:hAnsi="宋体" w:cs="宋体"/>
          <w:color w:val="auto"/>
          <w:sz w:val="24"/>
          <w:szCs w:val="24"/>
          <w:highlight w:val="none"/>
        </w:rPr>
        <w:t>评标委员会：是指按照《中华人民共和国政府采购法》和《评标委员会和评标方法暂行规定》的规定组建的专门负责本次招标的评标工作的临时机构。</w:t>
      </w:r>
    </w:p>
    <w:p w14:paraId="75063780">
      <w:pPr>
        <w:spacing w:line="360" w:lineRule="auto"/>
        <w:ind w:right="105" w:rightChars="50"/>
        <w:rPr>
          <w:rFonts w:hint="eastAsia" w:ascii="宋体" w:hAnsi="宋体" w:cs="宋体"/>
          <w:color w:val="auto"/>
          <w:sz w:val="24"/>
          <w:szCs w:val="24"/>
          <w:highlight w:val="none"/>
        </w:rPr>
      </w:pPr>
      <w:r>
        <w:rPr>
          <w:rFonts w:hint="eastAsia" w:ascii="宋体" w:hAnsi="宋体" w:cs="宋体"/>
          <w:b/>
          <w:bCs/>
          <w:color w:val="auto"/>
          <w:sz w:val="24"/>
          <w:szCs w:val="24"/>
          <w:highlight w:val="none"/>
        </w:rPr>
        <w:t xml:space="preserve">    3.7</w:t>
      </w:r>
      <w:r>
        <w:rPr>
          <w:rFonts w:hint="eastAsia" w:ascii="宋体" w:hAnsi="宋体" w:cs="宋体"/>
          <w:color w:val="auto"/>
          <w:sz w:val="24"/>
          <w:szCs w:val="24"/>
          <w:highlight w:val="none"/>
        </w:rPr>
        <w:t>日期、天数、时间：无特别说明时是指公历日及北京时间。</w:t>
      </w:r>
    </w:p>
    <w:p w14:paraId="0A8C24E9">
      <w:pPr>
        <w:spacing w:line="360" w:lineRule="auto"/>
        <w:ind w:right="105" w:rightChars="50" w:firstLine="118" w:firstLineChars="4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3.8</w:t>
      </w:r>
      <w:r>
        <w:rPr>
          <w:rFonts w:hint="eastAsia" w:ascii="宋体" w:hAnsi="宋体" w:cs="宋体"/>
          <w:color w:val="auto"/>
          <w:sz w:val="24"/>
          <w:szCs w:val="24"/>
          <w:highlight w:val="none"/>
        </w:rPr>
        <w:t>招标文件中所规定的“书面形式”，是指任何手写的、打印或印刷的通讯，不包括传真发送。</w:t>
      </w:r>
    </w:p>
    <w:p w14:paraId="3D70C6CD">
      <w:pPr>
        <w:shd w:val="clear" w:color="auto" w:fill="FFFFFF"/>
        <w:snapToGrid w:val="0"/>
        <w:spacing w:line="360" w:lineRule="auto"/>
        <w:ind w:right="105" w:rightChars="50" w:firstLine="480" w:firstLineChars="20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4、合格的</w:t>
      </w:r>
      <w:r>
        <w:rPr>
          <w:rFonts w:hint="eastAsia" w:ascii="宋体" w:hAnsi="宋体" w:cs="宋体"/>
          <w:b/>
          <w:bCs/>
          <w:color w:val="auto"/>
          <w:sz w:val="24"/>
          <w:szCs w:val="24"/>
          <w:highlight w:val="none"/>
          <w:lang w:eastAsia="zh-CN"/>
        </w:rPr>
        <w:t>供应商</w:t>
      </w:r>
    </w:p>
    <w:p w14:paraId="2A877D3E">
      <w:pPr>
        <w:pStyle w:val="20"/>
        <w:ind w:left="420" w:leftChars="20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详见供应商须知前附表规定</w:t>
      </w:r>
    </w:p>
    <w:p w14:paraId="2ADC740A">
      <w:pPr>
        <w:shd w:val="clear" w:color="auto" w:fill="FFFFFF"/>
        <w:snapToGrid w:val="0"/>
        <w:spacing w:line="360" w:lineRule="auto"/>
        <w:ind w:right="105" w:rightChars="50" w:firstLine="471" w:firstLineChars="196"/>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5、保证</w:t>
      </w:r>
    </w:p>
    <w:p w14:paraId="665C662B">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5.1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应保证在投标文件中所提交的资料和数据是真实的。</w:t>
      </w:r>
    </w:p>
    <w:p w14:paraId="01C864DA">
      <w:pPr>
        <w:pStyle w:val="2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二、招标文件</w:t>
      </w:r>
    </w:p>
    <w:p w14:paraId="7FD1C1E1">
      <w:pPr>
        <w:shd w:val="clear" w:color="auto" w:fill="FFFFFF"/>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6、招标文件的组成</w:t>
      </w:r>
    </w:p>
    <w:p w14:paraId="2D07C7E8">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6.1</w:t>
      </w:r>
      <w:r>
        <w:rPr>
          <w:rFonts w:hint="eastAsia" w:ascii="宋体" w:hAnsi="宋体" w:cs="宋体"/>
          <w:color w:val="auto"/>
          <w:sz w:val="24"/>
          <w:szCs w:val="24"/>
          <w:highlight w:val="none"/>
        </w:rPr>
        <w:t>招标文件包括下列内容及按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须知第7条款内容发出的答疑文件和第8条款内容发出的补充文件。</w:t>
      </w:r>
    </w:p>
    <w:p w14:paraId="1E8CE0BB">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第一章 招标公告</w:t>
      </w:r>
    </w:p>
    <w:p w14:paraId="1D962A6C">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第二章 供应商须知</w:t>
      </w:r>
    </w:p>
    <w:p w14:paraId="2C37EA7F">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第三章 评标办法</w:t>
      </w:r>
    </w:p>
    <w:p w14:paraId="782BE0AD">
      <w:pPr>
        <w:shd w:val="clear" w:color="auto" w:fill="FFFFFF"/>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第四章 合同条款及格式</w:t>
      </w:r>
    </w:p>
    <w:p w14:paraId="7D09CF7E">
      <w:pPr>
        <w:shd w:val="clear" w:color="auto" w:fill="FFFFFF"/>
        <w:snapToGrid w:val="0"/>
        <w:spacing w:line="360" w:lineRule="auto"/>
        <w:ind w:firstLine="480" w:firstLineChars="200"/>
        <w:rPr>
          <w:rFonts w:hint="eastAsia" w:ascii="宋体" w:hAnsi="宋体" w:cs="宋体"/>
          <w:color w:val="auto"/>
          <w:sz w:val="24"/>
          <w:szCs w:val="24"/>
          <w:highlight w:val="none"/>
        </w:rPr>
      </w:pPr>
      <w:r>
        <w:rPr>
          <w:rStyle w:val="23"/>
          <w:rFonts w:hint="eastAsia"/>
          <w:color w:val="auto"/>
          <w:sz w:val="24"/>
          <w:szCs w:val="24"/>
          <w:highlight w:val="none"/>
        </w:rPr>
        <w:t>第五章</w:t>
      </w:r>
      <w:r>
        <w:rPr>
          <w:rFonts w:hint="eastAsia"/>
          <w:color w:val="auto"/>
          <w:sz w:val="24"/>
          <w:szCs w:val="24"/>
          <w:highlight w:val="none"/>
        </w:rPr>
        <w:t xml:space="preserve"> </w:t>
      </w:r>
      <w:r>
        <w:rPr>
          <w:rStyle w:val="23"/>
          <w:rFonts w:hint="eastAsia"/>
          <w:color w:val="auto"/>
          <w:sz w:val="24"/>
          <w:szCs w:val="24"/>
          <w:highlight w:val="none"/>
        </w:rPr>
        <w:t>采购内容及要求</w:t>
      </w:r>
    </w:p>
    <w:p w14:paraId="4657452F">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第六章 投标文件格式</w:t>
      </w:r>
    </w:p>
    <w:p w14:paraId="1D05EB20">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6.2</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应详细阅读招标文件中的所有条款内容、格式、表格和所涉及的相关规范。如果</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不按招标文件的要求提交投标文件和资料的，或者投标文件没有对招标文件提出的实质性要求和条件作出响应，将导致投标文件不被接受，其后果由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自己负责。</w:t>
      </w:r>
    </w:p>
    <w:p w14:paraId="0719F64E">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7、招标文件的澄清</w:t>
      </w:r>
    </w:p>
    <w:p w14:paraId="0A0AD359">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7.1投标人应仔细阅读和检查招标文件的全部内容。如发现缺页或附件不全，应及时向采购人提出，以便补齐。如有疑问，应在投标截止时间10日前登录三门峡市公共资源交易中心网（http://gzjy.smx.gov.cn），在网上向采购人提出澄清要求，要求采购人对招标文件予以澄清。</w:t>
      </w:r>
    </w:p>
    <w:p w14:paraId="5C5ABBF8">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7.2采购人的澄清将在投标截止时间15日前，在三门峡市公共资源交易中心网（http://gzjy.smx.gov.cn）以答疑澄清形式通知所有下载招标文件的投标人，但不指明澄清问题的来源。</w:t>
      </w:r>
    </w:p>
    <w:p w14:paraId="1FEA139B">
      <w:pPr>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7.3投标人应注意及时浏览网上发布的澄清和修改通知并下载，因投标人原因未及时获知澄清、修改内容而导致的任何后果，概由投标人自己承担。</w:t>
      </w:r>
    </w:p>
    <w:p w14:paraId="71FED41B">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8、招标文件的修正</w:t>
      </w:r>
    </w:p>
    <w:p w14:paraId="581C15DB">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8.1在投标截止时间15日前，采购人可以在三门峡市公共资源交易中心网以网上答疑形式修改招标文件，并以网上公告形式通知所有已下载招标文件的投标人。如果修改招标文件的时间距投标截止时间不足15天，相应延长投标截止时间。</w:t>
      </w:r>
    </w:p>
    <w:p w14:paraId="487F4AC0">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8.2招标文件的澄清、修改、补充等内容均以采购人答疑形式明确的内容为准。当招标文件的澄清、修改、补充等在同一内容的表述上不一致时，以最后发出的答疑为准。</w:t>
      </w:r>
    </w:p>
    <w:p w14:paraId="56637992">
      <w:pPr>
        <w:pStyle w:val="2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三、投标文件的编制</w:t>
      </w:r>
    </w:p>
    <w:p w14:paraId="413BBD5E">
      <w:pPr>
        <w:shd w:val="clear" w:color="auto" w:fill="FFFFFF"/>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9、特别说明</w:t>
      </w:r>
    </w:p>
    <w:p w14:paraId="2BDC8522">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9.1</w:t>
      </w:r>
      <w:r>
        <w:rPr>
          <w:rFonts w:hint="eastAsia" w:ascii="宋体" w:hAnsi="宋体" w:cs="宋体"/>
          <w:color w:val="auto"/>
          <w:sz w:val="24"/>
          <w:szCs w:val="24"/>
          <w:highlight w:val="none"/>
        </w:rPr>
        <w:t>投标语言</w:t>
      </w:r>
    </w:p>
    <w:p w14:paraId="45EC35DA">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提交的投标文件以及</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与招标代理机构就有关投标的所有往来函电均应使用中文。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提供的文件可以用英文，但相应内容应附有中文翻译本，在解释时以中文翻译本为准。</w:t>
      </w:r>
    </w:p>
    <w:p w14:paraId="11DAD77F">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9.2</w:t>
      </w:r>
      <w:r>
        <w:rPr>
          <w:rFonts w:hint="eastAsia" w:ascii="宋体" w:hAnsi="宋体" w:cs="宋体"/>
          <w:color w:val="auto"/>
          <w:sz w:val="24"/>
          <w:szCs w:val="24"/>
          <w:highlight w:val="none"/>
        </w:rPr>
        <w:t>计量</w:t>
      </w:r>
    </w:p>
    <w:p w14:paraId="1389DAD0">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在投标文件所有计量单位均采用中华人民共和国法定计量单位。</w:t>
      </w:r>
    </w:p>
    <w:p w14:paraId="2A9C0F77">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9.3</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在投标文件中所提交的所有资料和文件均应是真实的和有效的，如有作假，则将该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的投标作无效标处理，若中标后被发现有上述行为的，则采购人有权取消其中标资格，并且该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应承担由此而造成的一切损失（包括经济损失和法律责任）。</w:t>
      </w:r>
    </w:p>
    <w:p w14:paraId="400A2105">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9.4</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应当按照招标文件和电子招标投标交易平台的要求编制并加密投标文件。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未按规定加密的投标文件，电子招标投标交易平台将拒收并提示。</w:t>
      </w:r>
    </w:p>
    <w:p w14:paraId="5FA1A005">
      <w:pPr>
        <w:shd w:val="clear" w:color="auto" w:fill="FFFFFF"/>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9.5温馨提示：本项目为电子化、无纸化交易项目，开标时不接受任何纸质资料，为保证您能投标成功，请需仔细阅读</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须知前附表第4.6条。</w:t>
      </w:r>
    </w:p>
    <w:p w14:paraId="5684CC89">
      <w:pPr>
        <w:shd w:val="clear" w:color="auto" w:fill="FFFFFF"/>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10、投标货物和服务的报价</w:t>
      </w:r>
    </w:p>
    <w:p w14:paraId="3FA7931D">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10.1 投标报价中应包含以下内容。</w:t>
      </w:r>
    </w:p>
    <w:p w14:paraId="1AC3963B">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10.1.1 </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的投标报价应包含验收合格正式交付使用前所发生的一切费用，且</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只能提出一个不变价格，采购人不接受任何选择报价。</w:t>
      </w:r>
    </w:p>
    <w:p w14:paraId="5C670EFA">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10.1.2 该项目类别及取费标准按照国家相关规定执行。</w:t>
      </w:r>
    </w:p>
    <w:p w14:paraId="78B679D6">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10.1.3 电子化投标文件的投标报价，应是完成本文件所列招标范围的全部内容。</w:t>
      </w:r>
    </w:p>
    <w:p w14:paraId="0B6D11F6">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10.1.4 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7256D0B9">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10.1.5 全部报价均应以人民币为计量币种，并以人民币进行结算。</w:t>
      </w:r>
    </w:p>
    <w:p w14:paraId="0792388E">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10.1.6 采购人对</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提供的货物有权利到生产厂家进行考察和交货前验货，</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应提供便利条件。</w:t>
      </w:r>
    </w:p>
    <w:p w14:paraId="0F905011">
      <w:pPr>
        <w:shd w:val="clear" w:color="auto" w:fill="FFFFFF"/>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11、投标保证金</w:t>
      </w:r>
    </w:p>
    <w:p w14:paraId="2E5C63A9">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根据《河南省财政厅关于优化政府采购营商环境有关问题的通知》（豫财购【2019】4号）第6条的规定，投标保证金不再收取。</w:t>
      </w:r>
    </w:p>
    <w:p w14:paraId="296808D0">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12、投标有效期</w:t>
      </w:r>
    </w:p>
    <w:p w14:paraId="1726D2CE">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12.1</w:t>
      </w:r>
      <w:r>
        <w:rPr>
          <w:rFonts w:hint="eastAsia" w:ascii="宋体" w:hAnsi="宋体" w:cs="宋体"/>
          <w:color w:val="auto"/>
          <w:sz w:val="24"/>
          <w:szCs w:val="24"/>
          <w:highlight w:val="none"/>
        </w:rPr>
        <w:t>投标文件从开标之时起开始生效，投标有效期从投标截止之日起60日历天。</w:t>
      </w:r>
    </w:p>
    <w:p w14:paraId="4771E800">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12.2</w:t>
      </w:r>
      <w:r>
        <w:rPr>
          <w:rFonts w:hint="eastAsia" w:ascii="宋体" w:hAnsi="宋体" w:cs="宋体"/>
          <w:color w:val="auto"/>
          <w:sz w:val="24"/>
          <w:szCs w:val="24"/>
          <w:highlight w:val="none"/>
        </w:rPr>
        <w:t>在特殊情况下，采购人可征求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同意延长投标有效期，这种要求和答复均应以网上形式提交。同意延长投标有效期的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不需要也不允许修改其电子化投标文件。</w:t>
      </w:r>
    </w:p>
    <w:p w14:paraId="77DE268E">
      <w:pPr>
        <w:shd w:val="clear" w:color="auto" w:fill="FFFFFF"/>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13、电子化投标文件的组成</w:t>
      </w:r>
    </w:p>
    <w:p w14:paraId="207A1EA2">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一、法定代表人身份证明书</w:t>
      </w:r>
    </w:p>
    <w:p w14:paraId="07F5E8DF">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二、投标文件签署授权委托书</w:t>
      </w:r>
    </w:p>
    <w:p w14:paraId="7FF37971">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三、投标函及投标函附录</w:t>
      </w:r>
    </w:p>
    <w:p w14:paraId="3A86DA5D">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四、服务方案</w:t>
      </w:r>
    </w:p>
    <w:p w14:paraId="6273F46E">
      <w:pPr>
        <w:shd w:val="clear" w:color="auto" w:fill="FFFFFF"/>
        <w:tabs>
          <w:tab w:val="left" w:pos="353"/>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五、资格审查资料</w:t>
      </w:r>
    </w:p>
    <w:p w14:paraId="15750737">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六、中小企业声明函</w:t>
      </w:r>
    </w:p>
    <w:p w14:paraId="45A287FF">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七、投标承诺函</w:t>
      </w:r>
    </w:p>
    <w:p w14:paraId="07481243">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八、其他资料</w:t>
      </w:r>
    </w:p>
    <w:p w14:paraId="72F158E5">
      <w:pPr>
        <w:autoSpaceDE w:val="0"/>
        <w:autoSpaceDN w:val="0"/>
        <w:adjustRightInd w:val="0"/>
        <w:spacing w:line="360" w:lineRule="auto"/>
        <w:ind w:firstLine="240" w:firstLineChars="1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14、电子化投标文件的格式</w:t>
      </w:r>
    </w:p>
    <w:p w14:paraId="2FEC511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投标人所上传的电子化投标文件，应是通过中心投标文件制作系统制作的（电子化投标文件工具请在三门峡市公共资源交易中心网首页“帮助中心”下载），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17F08C3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注：投标人投报多个标段的，需要每个标段单独制作电子投标文件。</w:t>
      </w:r>
    </w:p>
    <w:p w14:paraId="023F18A9">
      <w:pPr>
        <w:autoSpaceDE w:val="0"/>
        <w:autoSpaceDN w:val="0"/>
        <w:adjustRightInd w:val="0"/>
        <w:spacing w:line="360" w:lineRule="auto"/>
        <w:ind w:firstLine="240" w:firstLineChars="1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15、电子化投标文件的签章</w:t>
      </w:r>
    </w:p>
    <w:p w14:paraId="49A1AB3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15.1投标人在生成电子化投标文件后，应对电子化投标文件进行签章，未进行签章的视为无效投标。</w:t>
      </w:r>
    </w:p>
    <w:p w14:paraId="5A33249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在三门峡市公共资源交易中心网首页“帮助中心”下载。</w:t>
      </w:r>
    </w:p>
    <w:p w14:paraId="770EC49C">
      <w:pPr>
        <w:pStyle w:val="2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四、投标文件的上传</w:t>
      </w:r>
    </w:p>
    <w:p w14:paraId="0C999122">
      <w:pPr>
        <w:shd w:val="clear" w:color="auto" w:fill="FFFFFF"/>
        <w:snapToGrid w:val="0"/>
        <w:spacing w:line="360" w:lineRule="auto"/>
        <w:ind w:firstLine="240" w:firstLineChars="1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16、投标文件上传</w:t>
      </w:r>
    </w:p>
    <w:p w14:paraId="7A616D96">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16.1电子化投标文件应在投标截止时间前成功上传至三门峡市公共资源电子化交易系统。至投标截止时间止，仍未上传成功的电子化投标文件将不予接收。</w:t>
      </w:r>
    </w:p>
    <w:p w14:paraId="06B60217">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F7AE3BB">
      <w:pPr>
        <w:shd w:val="clear" w:color="auto" w:fill="FFFFFF"/>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17.投标截止时间</w:t>
      </w:r>
    </w:p>
    <w:p w14:paraId="787F3953">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17.1</w:t>
      </w:r>
      <w:r>
        <w:rPr>
          <w:rFonts w:hint="eastAsia" w:ascii="宋体" w:hAnsi="宋体" w:cs="宋体"/>
          <w:color w:val="auto"/>
          <w:sz w:val="24"/>
          <w:szCs w:val="24"/>
          <w:highlight w:val="none"/>
        </w:rPr>
        <w:t>投标文件的截止时间见本须知前附表规定。</w:t>
      </w:r>
    </w:p>
    <w:p w14:paraId="43C70E6D">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17.2</w:t>
      </w:r>
      <w:r>
        <w:rPr>
          <w:rFonts w:hint="eastAsia" w:ascii="宋体" w:hAnsi="宋体" w:cs="宋体"/>
          <w:color w:val="auto"/>
          <w:sz w:val="24"/>
          <w:szCs w:val="24"/>
          <w:highlight w:val="none"/>
        </w:rPr>
        <w:t>到投标截止时间止，采购人收到的投标文件少于3个的，采购人将依法重新组织招标。</w:t>
      </w:r>
    </w:p>
    <w:p w14:paraId="46814D61">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17.3电子化投标文件的补充、修改与撤回</w:t>
      </w:r>
    </w:p>
    <w:p w14:paraId="69825DA6">
      <w:pPr>
        <w:shd w:val="clear" w:color="auto" w:fill="FFFFFF"/>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17.3.1在投标截止时间之后，</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不得补充、修改电子化投标文件。</w:t>
      </w:r>
    </w:p>
    <w:p w14:paraId="494F9A39">
      <w:pPr>
        <w:pStyle w:val="2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五、开标</w:t>
      </w:r>
    </w:p>
    <w:p w14:paraId="0DDC4C49">
      <w:pPr>
        <w:shd w:val="clear" w:color="auto" w:fill="FFFFFF"/>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18、开标</w:t>
      </w:r>
    </w:p>
    <w:p w14:paraId="57673C3F">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18.1</w:t>
      </w:r>
      <w:r>
        <w:rPr>
          <w:rFonts w:hint="eastAsia" w:ascii="宋体" w:hAnsi="宋体" w:cs="宋体"/>
          <w:color w:val="auto"/>
          <w:sz w:val="24"/>
          <w:szCs w:val="24"/>
          <w:highlight w:val="none"/>
        </w:rPr>
        <w:t>采购人按本须知前附表所规定的时间和地点公开开标，开标会议由招标代理机构主持，在有关部门监督下进行。</w:t>
      </w:r>
    </w:p>
    <w:p w14:paraId="2E7F31C7">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18.2开标程序：</w:t>
      </w:r>
    </w:p>
    <w:p w14:paraId="60A5608E">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18.2.1</w:t>
      </w:r>
      <w:r>
        <w:rPr>
          <w:rFonts w:hint="eastAsia" w:ascii="宋体" w:hAnsi="宋体" w:cs="宋体"/>
          <w:color w:val="auto"/>
          <w:sz w:val="24"/>
          <w:szCs w:val="24"/>
          <w:highlight w:val="none"/>
        </w:rPr>
        <w:t>开标由招标代理机构主持；</w:t>
      </w:r>
    </w:p>
    <w:p w14:paraId="43760971">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18.2.2</w:t>
      </w:r>
      <w:r>
        <w:rPr>
          <w:rFonts w:hint="eastAsia" w:ascii="宋体" w:hAnsi="宋体" w:cs="宋体"/>
          <w:color w:val="auto"/>
          <w:sz w:val="24"/>
          <w:szCs w:val="24"/>
          <w:highlight w:val="none"/>
        </w:rPr>
        <w:t>介绍本项目的情况；</w:t>
      </w:r>
    </w:p>
    <w:p w14:paraId="2255166F">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18.2.3</w:t>
      </w:r>
      <w:r>
        <w:rPr>
          <w:rFonts w:hint="eastAsia" w:ascii="宋体" w:hAnsi="宋体" w:cs="宋体"/>
          <w:color w:val="auto"/>
          <w:sz w:val="24"/>
          <w:szCs w:val="24"/>
          <w:highlight w:val="none"/>
        </w:rPr>
        <w:t>宣布开标会议纪律；</w:t>
      </w:r>
    </w:p>
    <w:p w14:paraId="354A66C2">
      <w:pPr>
        <w:shd w:val="clear" w:color="auto" w:fill="FFFFFF"/>
        <w:tabs>
          <w:tab w:val="left" w:pos="383"/>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18.2.4</w:t>
      </w:r>
      <w:r>
        <w:rPr>
          <w:rFonts w:hint="eastAsia" w:ascii="宋体" w:hAnsi="宋体" w:cs="宋体"/>
          <w:color w:val="auto"/>
          <w:sz w:val="24"/>
          <w:szCs w:val="24"/>
          <w:highlight w:val="none"/>
        </w:rPr>
        <w:t>介绍参会的采购人、监督人；</w:t>
      </w:r>
    </w:p>
    <w:p w14:paraId="0254F06E">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18.2.5</w:t>
      </w:r>
      <w:r>
        <w:rPr>
          <w:rFonts w:hint="eastAsia" w:ascii="宋体" w:hAnsi="宋体" w:cs="宋体"/>
          <w:color w:val="auto"/>
          <w:sz w:val="24"/>
          <w:szCs w:val="24"/>
          <w:highlight w:val="none"/>
        </w:rPr>
        <w:t>开标时，电子招标投标交易平台自动提取所有投标文件，按时在线解密。解密全部完成后，向所有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公布</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名称、投标价格和招标文件规定的其他内容。</w:t>
      </w:r>
    </w:p>
    <w:p w14:paraId="0F98582C">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18.3</w:t>
      </w:r>
      <w:r>
        <w:rPr>
          <w:rFonts w:hint="eastAsia" w:ascii="宋体" w:hAnsi="宋体" w:cs="宋体"/>
          <w:color w:val="auto"/>
          <w:sz w:val="24"/>
          <w:szCs w:val="24"/>
          <w:highlight w:val="none"/>
        </w:rPr>
        <w:t>投标文件的有效性</w:t>
      </w:r>
    </w:p>
    <w:p w14:paraId="627B49E8">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18.3.1</w:t>
      </w:r>
      <w:r>
        <w:rPr>
          <w:rFonts w:hint="eastAsia" w:ascii="宋体" w:hAnsi="宋体" w:cs="宋体"/>
          <w:color w:val="auto"/>
          <w:sz w:val="24"/>
          <w:szCs w:val="24"/>
          <w:highlight w:val="none"/>
        </w:rPr>
        <w:t>投标文件有下列情形之一的为无效电子化投标文件，采购人不予受理：因</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原因造成投标文件未解密的，视为撤销其投标文件；因</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之外的原因造成投标文件未解密的，视为撤回其投标文件，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有权要求责任方赔偿因此遭受的直接损失。部分投标文件未解密的，其他投标文件的开标可以继续进行。</w:t>
      </w:r>
    </w:p>
    <w:p w14:paraId="2ECF236C">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18.3.2</w:t>
      </w:r>
      <w:r>
        <w:rPr>
          <w:rFonts w:hint="eastAsia" w:ascii="宋体" w:hAnsi="宋体" w:cs="宋体"/>
          <w:color w:val="auto"/>
          <w:sz w:val="24"/>
          <w:szCs w:val="24"/>
          <w:highlight w:val="none"/>
        </w:rPr>
        <w:t>若投标文件解密后，有效电子投标文件不足三家的，本项目应予废标。</w:t>
      </w:r>
    </w:p>
    <w:p w14:paraId="5B8EAD6A">
      <w:pPr>
        <w:pStyle w:val="2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六、评标与定标</w:t>
      </w:r>
    </w:p>
    <w:p w14:paraId="0B9FAAC8">
      <w:pPr>
        <w:shd w:val="clear" w:color="auto" w:fill="FFFFFF"/>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19、评标委员会</w:t>
      </w:r>
    </w:p>
    <w:p w14:paraId="07676405">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19.1</w:t>
      </w:r>
      <w:r>
        <w:rPr>
          <w:rFonts w:hint="eastAsia" w:ascii="宋体" w:hAnsi="宋体" w:cs="宋体"/>
          <w:color w:val="auto"/>
          <w:sz w:val="24"/>
          <w:szCs w:val="24"/>
          <w:highlight w:val="none"/>
        </w:rPr>
        <w:t>评标委员会由采购人依法组建，负责评标活动。</w:t>
      </w:r>
    </w:p>
    <w:p w14:paraId="2474D17C">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19.2评标委员会构成：见供应商须知前附表</w:t>
      </w:r>
    </w:p>
    <w:p w14:paraId="30954855">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19.3参加评标的专家通过相关专家库随机抽取随机选定。与</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有利害关系的人不得进入评标委员会。</w:t>
      </w:r>
    </w:p>
    <w:p w14:paraId="6A04A6E3">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19.4</w:t>
      </w:r>
      <w:r>
        <w:rPr>
          <w:rFonts w:hint="eastAsia" w:ascii="宋体" w:hAnsi="宋体" w:cs="宋体"/>
          <w:color w:val="auto"/>
          <w:sz w:val="24"/>
          <w:szCs w:val="24"/>
          <w:highlight w:val="none"/>
        </w:rPr>
        <w:t>开标结束后，开始评标。评标工作在相关部门监督下，采用保密方式进行。</w:t>
      </w:r>
    </w:p>
    <w:p w14:paraId="4F8353A4">
      <w:pPr>
        <w:shd w:val="clear" w:color="auto" w:fill="FFFFFF"/>
        <w:snapToGrid w:val="0"/>
        <w:spacing w:line="360" w:lineRule="auto"/>
        <w:ind w:right="105" w:rightChars="50"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20、评标过程的保密</w:t>
      </w:r>
    </w:p>
    <w:p w14:paraId="7C2C9A1C">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20.1</w:t>
      </w:r>
      <w:r>
        <w:rPr>
          <w:rFonts w:hint="eastAsia" w:ascii="宋体" w:hAnsi="宋体" w:cs="宋体"/>
          <w:color w:val="auto"/>
          <w:sz w:val="24"/>
          <w:szCs w:val="24"/>
          <w:highlight w:val="none"/>
        </w:rPr>
        <w:t>开标后，直至授予中标供应商合同为止，凡属于对电子化投标文件的审查、澄清、评价和比较有关的资料，中标候选人的推荐情况，及其他任何与评标有关的情况均应严格保密。</w:t>
      </w:r>
    </w:p>
    <w:p w14:paraId="562114B7">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20.2</w:t>
      </w:r>
      <w:r>
        <w:rPr>
          <w:rFonts w:hint="eastAsia" w:ascii="宋体" w:hAnsi="宋体" w:cs="宋体"/>
          <w:color w:val="auto"/>
          <w:sz w:val="24"/>
          <w:szCs w:val="24"/>
          <w:highlight w:val="none"/>
        </w:rPr>
        <w:t>在电子化投标文件的评审和比较、中标候选人推荐以及授予合同的过程中，</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向采购人和评标委员会施加影响的任何行为，都将会导致其投标被拒绝。</w:t>
      </w:r>
    </w:p>
    <w:p w14:paraId="4E2483BA">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20.3</w:t>
      </w:r>
      <w:r>
        <w:rPr>
          <w:rFonts w:hint="eastAsia" w:ascii="宋体" w:hAnsi="宋体" w:cs="宋体"/>
          <w:color w:val="auto"/>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69DE48D7">
      <w:pPr>
        <w:shd w:val="clear" w:color="auto" w:fill="FFFFFF"/>
        <w:snapToGrid w:val="0"/>
        <w:spacing w:line="360" w:lineRule="auto"/>
        <w:ind w:right="105" w:rightChars="50"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21、评标纪律</w:t>
      </w:r>
    </w:p>
    <w:p w14:paraId="0F9D4AE2">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21.1</w:t>
      </w:r>
      <w:r>
        <w:rPr>
          <w:rFonts w:hint="eastAsia" w:ascii="宋体" w:hAnsi="宋体" w:cs="宋体"/>
          <w:color w:val="auto"/>
          <w:sz w:val="24"/>
          <w:szCs w:val="24"/>
          <w:highlight w:val="none"/>
        </w:rPr>
        <w:t>评标委员会成员和参与评标工作的有关人员不得透露对电子化投标文件的评审和比较、中标候选人的推荐情况以及与评标有关的其它情况。</w:t>
      </w:r>
    </w:p>
    <w:p w14:paraId="204E6D5C">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21.2</w:t>
      </w:r>
      <w:r>
        <w:rPr>
          <w:rFonts w:hint="eastAsia" w:ascii="宋体" w:hAnsi="宋体" w:cs="宋体"/>
          <w:color w:val="auto"/>
          <w:sz w:val="24"/>
          <w:szCs w:val="24"/>
          <w:highlight w:val="none"/>
        </w:rPr>
        <w:t>除投标须知第28条款的规定以外，开标以后至授予中标通知书前，任何</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均不得就与其投标文件有关的问题主动与采购人和招标代理机构发生联系。</w:t>
      </w:r>
    </w:p>
    <w:p w14:paraId="7BC6312B">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21.3</w:t>
      </w:r>
      <w:r>
        <w:rPr>
          <w:rFonts w:hint="eastAsia" w:ascii="宋体" w:hAnsi="宋体" w:cs="宋体"/>
          <w:color w:val="auto"/>
          <w:sz w:val="24"/>
          <w:szCs w:val="24"/>
          <w:highlight w:val="none"/>
        </w:rPr>
        <w:t>如果</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试图对评标委员会的评标施加影响，则将导致该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的投标文件被拒绝。</w:t>
      </w:r>
    </w:p>
    <w:p w14:paraId="7D593B26">
      <w:pPr>
        <w:shd w:val="clear" w:color="auto" w:fill="FFFFFF"/>
        <w:snapToGrid w:val="0"/>
        <w:spacing w:line="360" w:lineRule="auto"/>
        <w:ind w:right="105" w:rightChars="50"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22、投标文件的澄清</w:t>
      </w:r>
    </w:p>
    <w:p w14:paraId="633F1CCF">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22.1</w:t>
      </w:r>
      <w:r>
        <w:rPr>
          <w:rFonts w:hint="eastAsia" w:ascii="宋体" w:hAnsi="宋体" w:cs="宋体"/>
          <w:color w:val="auto"/>
          <w:sz w:val="24"/>
          <w:szCs w:val="24"/>
          <w:highlight w:val="none"/>
        </w:rPr>
        <w:t>为有助于投标文件的审查、评价和比较，评标委员会可以要求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对投标文件含义不明确的内容作必要的澄清或说明，</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应进行澄清或说明，但不得超出投标文件的范围或改变投标文件的实质性内容。根据本须知规定，凡属于评标委员会在评标中发现的计算错误并进行核实的修改不在此列。</w:t>
      </w:r>
    </w:p>
    <w:p w14:paraId="074122B8">
      <w:pPr>
        <w:shd w:val="clear" w:color="auto" w:fill="FFFFFF"/>
        <w:snapToGrid w:val="0"/>
        <w:spacing w:line="360" w:lineRule="auto"/>
        <w:ind w:right="105" w:rightChars="50"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23、投标文件的初步评审</w:t>
      </w:r>
    </w:p>
    <w:p w14:paraId="68DDA76F">
      <w:pPr>
        <w:shd w:val="clear" w:color="auto" w:fill="FFFFFF"/>
        <w:snapToGrid w:val="0"/>
        <w:spacing w:line="360" w:lineRule="auto"/>
        <w:ind w:right="105" w:rightChars="50"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23.1投标文件资格审查：</w:t>
      </w:r>
    </w:p>
    <w:p w14:paraId="1A6D4F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符合第二章供应商须知前附表规定</w:t>
      </w:r>
    </w:p>
    <w:p w14:paraId="6E8342D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23.2评标时，评标委员会将首先评定每份投标文件是否在实质上响应了招标文件的要求。所谓实质上响应，是指投标文件应与招标文件的所有实质性条款、条件和要求相符，无显著差异或保留，或者对合同中约定的采购人的权利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的义务方面没有造成重大的限制，纠正这些差异或保留将不会对其他实质上响应招标文件要求的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的竞争地位产生不公正的影响。</w:t>
      </w:r>
    </w:p>
    <w:p w14:paraId="3CA93077">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23.3如果投标文件实质上不响应招标文件的各项要求，评标委员会将予以拒绝，并且不允许</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通过修改或撤销其不符合要求的差异或保留，使之成为具有响应性的投标。</w:t>
      </w:r>
    </w:p>
    <w:p w14:paraId="41B51BC6">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23.4投标文件有下列情形之一的，由评标委员会初审后按无效标处理：</w:t>
      </w:r>
    </w:p>
    <w:p w14:paraId="5BF74CE6">
      <w:pPr>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（1）投标人在生成电子化投标文件后，应对电子化投标文件进行签章，未进行签章的视为无效投标。</w:t>
      </w:r>
    </w:p>
    <w:p w14:paraId="394E08D1">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资格条件不符合国家有关规定和招标文件要求的；</w:t>
      </w:r>
    </w:p>
    <w:p w14:paraId="01B51E09">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kern w:val="0"/>
          <w:sz w:val="24"/>
          <w:szCs w:val="24"/>
          <w:highlight w:val="none"/>
        </w:rPr>
        <w:t>电子化投标文件附有采购人不能接受的条件的；</w:t>
      </w:r>
    </w:p>
    <w:p w14:paraId="1C4DE629">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（4）投标报价超过招标文件规定的预算金额的；</w:t>
      </w:r>
    </w:p>
    <w:p w14:paraId="738370C9">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（5）以他人的名义投标、串通投标、以行贿手段谋取中标或者以其他弄虚作假方式投标的；</w:t>
      </w:r>
    </w:p>
    <w:p w14:paraId="148AC137">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（6）采取不正当手段谋取中标的。</w:t>
      </w:r>
    </w:p>
    <w:p w14:paraId="2A230791">
      <w:pPr>
        <w:shd w:val="clear" w:color="auto" w:fill="FFFFFF"/>
        <w:snapToGrid w:val="0"/>
        <w:spacing w:line="360" w:lineRule="auto"/>
        <w:ind w:right="105" w:rightChars="50"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24、投标文件计算错误的修正</w:t>
      </w:r>
    </w:p>
    <w:p w14:paraId="1CE5FC14">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24.1评标委员会将对确定为实质上响应招标文件要求的投标文件进行校核，看其是否有计算或表达上的错误，修正错误的原则如下：</w:t>
      </w:r>
    </w:p>
    <w:p w14:paraId="3E0439CC">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24.1.1投标文件中的大写金额和小写金额不一致的，以大写金额为准；</w:t>
      </w:r>
    </w:p>
    <w:p w14:paraId="432A193B">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24.1.2对不同文字文本投标文件的解释发生异议的，以中文文本为准。</w:t>
      </w:r>
    </w:p>
    <w:p w14:paraId="4116C945">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24.2按上述修正错误的原则及方法调整或修正投标文件的投标报价，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同意后，调整后的投标报价对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起约束作用。</w:t>
      </w:r>
    </w:p>
    <w:p w14:paraId="223437EE">
      <w:pPr>
        <w:shd w:val="clear" w:color="auto" w:fill="FFFFFF"/>
        <w:snapToGrid w:val="0"/>
        <w:spacing w:line="360" w:lineRule="auto"/>
        <w:ind w:right="105" w:rightChars="50"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25、投标文件的评审、比较和否决</w:t>
      </w:r>
    </w:p>
    <w:p w14:paraId="48527376">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25.1评标委员会将按照招标文件的规定，仅对在实质上响应招标文件要求的上传投标文件进行评估和比较。</w:t>
      </w:r>
    </w:p>
    <w:p w14:paraId="1E245315">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25.2根据相关法律法规及有关招投标文件规定，结合本项目具体情况，制定本次招标评标办法。并按照“公平、公正、科学、择优”的原则进行评标。采用综合评分法进行评比。</w:t>
      </w:r>
    </w:p>
    <w:p w14:paraId="7293FE9A">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25.3在评审过程中，评标委员会可以要求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就投标文件中含义不明确的内容进行说明并提供相关材料。</w:t>
      </w:r>
    </w:p>
    <w:p w14:paraId="329B6011">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25.4评标时，投标报价是评标的重要依据，但不是唯一依据，采购人不承诺将合同授予报价最低或最高的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。投标</w:t>
      </w:r>
      <w:r>
        <w:rPr>
          <w:rFonts w:hint="eastAsia" w:ascii="宋体" w:hAnsi="宋体" w:cs="宋体"/>
          <w:color w:val="auto"/>
          <w:sz w:val="24"/>
          <w:szCs w:val="24"/>
          <w:highlight w:val="none"/>
          <w:shd w:val="clear" w:color="050000" w:fill="auto"/>
        </w:rPr>
        <w:t>报价明显低于其他报价，使得其报价可能低于其个别成本的，有可能影响货物质量或不能诚信履约的，评标委员会可要求供应商做出说明并提供相关证明材料。不能合理说明或不能提供相关证明材料的，其投标应文件有可能被拒绝。</w:t>
      </w:r>
    </w:p>
    <w:p w14:paraId="0DC14B6A">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25.5评标委员会依据本须知规定的评标标准和方法，对投标文件进行评审和比较，向采购人提出书面评标报告，并推荐合格的中标候选人。</w:t>
      </w:r>
    </w:p>
    <w:p w14:paraId="4B76CFD0">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25.6</w:t>
      </w:r>
      <w:r>
        <w:rPr>
          <w:rFonts w:hint="eastAsia" w:ascii="宋体" w:hAnsi="宋体" w:cs="宋体"/>
          <w:color w:val="auto"/>
          <w:kern w:val="0"/>
          <w:sz w:val="24"/>
          <w:szCs w:val="24"/>
          <w:highlight w:val="none"/>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推荐中标供应商。</w:t>
      </w:r>
    </w:p>
    <w:p w14:paraId="280F4225">
      <w:pPr>
        <w:autoSpaceDE w:val="0"/>
        <w:autoSpaceDN w:val="0"/>
        <w:adjustRightInd w:val="0"/>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七、授予合同</w:t>
      </w:r>
    </w:p>
    <w:p w14:paraId="6C694846">
      <w:pPr>
        <w:shd w:val="clear" w:color="auto" w:fill="FFFFFF"/>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26、授予合同标准</w:t>
      </w:r>
    </w:p>
    <w:p w14:paraId="1E06A689">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26.1</w:t>
      </w:r>
      <w:r>
        <w:rPr>
          <w:rFonts w:hint="eastAsia" w:ascii="宋体" w:hAnsi="宋体" w:cs="宋体"/>
          <w:color w:val="auto"/>
          <w:sz w:val="24"/>
          <w:szCs w:val="24"/>
          <w:highlight w:val="none"/>
        </w:rPr>
        <w:t>本招标项目的合同将授予按本评标办法确定的中标供应商。</w:t>
      </w:r>
    </w:p>
    <w:p w14:paraId="002F880D">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26.2</w:t>
      </w:r>
      <w:r>
        <w:rPr>
          <w:rFonts w:hint="eastAsia" w:ascii="宋体" w:hAnsi="宋体" w:cs="宋体"/>
          <w:color w:val="auto"/>
          <w:sz w:val="24"/>
          <w:szCs w:val="24"/>
          <w:highlight w:val="none"/>
        </w:rPr>
        <w:t>评标委员会经采购人授权，确定排名第一的中标候选人为中标供应商。当确定中标的中标供应商候选人放弃中标、因不可抗力提出不能履行合同的，采购人可以按序确定排名第二的中标候选人为中标供应商，以此类推。</w:t>
      </w:r>
    </w:p>
    <w:p w14:paraId="3A8309A1">
      <w:pPr>
        <w:autoSpaceDE w:val="0"/>
        <w:autoSpaceDN w:val="0"/>
        <w:adjustRightInd w:val="0"/>
        <w:spacing w:line="360" w:lineRule="auto"/>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27、授予合同时变更数量的权利</w:t>
      </w:r>
    </w:p>
    <w:p w14:paraId="50153417">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27.1采购人在授予合同时，保留对货物数量予以适当增减的权利。供应商不得在此情况下对投标文件作出修改，如价格、、售后服务等。</w:t>
      </w:r>
    </w:p>
    <w:p w14:paraId="587C2CF9">
      <w:pPr>
        <w:shd w:val="clear" w:color="auto" w:fill="FFFFFF"/>
        <w:snapToGrid w:val="0"/>
        <w:spacing w:line="360" w:lineRule="auto"/>
        <w:ind w:right="105" w:rightChars="50"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28、采购人拒绝投标的权力</w:t>
      </w:r>
    </w:p>
    <w:p w14:paraId="2ED62566">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28.1采购人不承诺将合同授予报价最低的或最高的中标候选人。</w:t>
      </w:r>
    </w:p>
    <w:p w14:paraId="686584D5">
      <w:pPr>
        <w:shd w:val="clear" w:color="auto" w:fill="FFFFFF"/>
        <w:snapToGrid w:val="0"/>
        <w:spacing w:line="360" w:lineRule="auto"/>
        <w:ind w:right="105" w:rightChars="50"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29、中标通知</w:t>
      </w:r>
    </w:p>
    <w:p w14:paraId="19A5C3DC">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29.1</w:t>
      </w:r>
      <w:r>
        <w:rPr>
          <w:rFonts w:hint="eastAsia" w:ascii="宋体" w:hAnsi="宋体" w:cs="宋体"/>
          <w:color w:val="auto"/>
          <w:sz w:val="24"/>
          <w:szCs w:val="24"/>
          <w:highlight w:val="none"/>
        </w:rPr>
        <w:t>中标供应商确定后，在发布本项目招标公告的媒介上发布中标公示。</w:t>
      </w:r>
    </w:p>
    <w:p w14:paraId="075798A8">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29.2</w:t>
      </w:r>
      <w:r>
        <w:rPr>
          <w:rFonts w:hint="eastAsia" w:ascii="宋体" w:hAnsi="宋体" w:cs="宋体"/>
          <w:color w:val="auto"/>
          <w:sz w:val="24"/>
          <w:szCs w:val="24"/>
          <w:highlight w:val="none"/>
        </w:rPr>
        <w:t>中标通知书是合同的组成部分。</w:t>
      </w:r>
    </w:p>
    <w:p w14:paraId="46880E51">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29.3</w:t>
      </w:r>
      <w:r>
        <w:rPr>
          <w:rFonts w:hint="eastAsia" w:ascii="宋体" w:hAnsi="宋体" w:cs="宋体"/>
          <w:color w:val="auto"/>
          <w:sz w:val="24"/>
          <w:szCs w:val="24"/>
          <w:highlight w:val="none"/>
        </w:rPr>
        <w:t>对未中标的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，不做任何未中标原因的解释。所有投标文件不予退还。</w:t>
      </w:r>
    </w:p>
    <w:p w14:paraId="6C9A167C">
      <w:pPr>
        <w:shd w:val="clear" w:color="auto" w:fill="FFFFFF"/>
        <w:snapToGrid w:val="0"/>
        <w:spacing w:line="360" w:lineRule="auto"/>
        <w:ind w:right="105" w:rightChars="50"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30、合同协议书的签署</w:t>
      </w:r>
    </w:p>
    <w:p w14:paraId="6E5D83D0">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30.1采购人与中标供应商将于中标通知书发出之日起2日内，按照招标文件及中标供应商的投标文件订立书面承包合同，采购人和中标供应商不得再行订立背离合同实质性内容的其他协议。</w:t>
      </w:r>
    </w:p>
    <w:p w14:paraId="1496AAA4">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30.2中标供应商如不按本投标须知的规定与采购人订立合同，则采购人将废除授标，给采购人造成损失的，应当予以赔偿，同时依法承担相应法律责任。</w:t>
      </w:r>
    </w:p>
    <w:p w14:paraId="731D1497">
      <w:pPr>
        <w:shd w:val="clear" w:color="auto" w:fill="FFFFFF"/>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31、履约保证金</w:t>
      </w:r>
    </w:p>
    <w:p w14:paraId="3DABDBD8">
      <w:pPr>
        <w:shd w:val="clear" w:color="auto" w:fill="FFFFFF"/>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31.1</w:t>
      </w:r>
      <w:r>
        <w:rPr>
          <w:rFonts w:hint="eastAsia" w:ascii="宋体" w:hAnsi="宋体" w:cs="宋体"/>
          <w:color w:val="auto"/>
          <w:sz w:val="24"/>
          <w:szCs w:val="24"/>
          <w:highlight w:val="none"/>
        </w:rPr>
        <w:t>本项目不收取履约保证金。</w:t>
      </w:r>
    </w:p>
    <w:p w14:paraId="051DB208">
      <w:pPr>
        <w:pStyle w:val="2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八、其他</w:t>
      </w:r>
    </w:p>
    <w:p w14:paraId="5F439819">
      <w:pPr>
        <w:shd w:val="clear" w:color="auto" w:fill="FFFFFF"/>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32、</w:t>
      </w:r>
      <w:r>
        <w:rPr>
          <w:rFonts w:hint="eastAsia" w:ascii="宋体" w:hAnsi="宋体" w:cs="宋体"/>
          <w:color w:val="auto"/>
          <w:sz w:val="24"/>
          <w:szCs w:val="24"/>
          <w:highlight w:val="none"/>
        </w:rPr>
        <w:t>未尽事宜按国家有关规定执行。</w:t>
      </w:r>
    </w:p>
    <w:p w14:paraId="3F2EE3F4">
      <w:pPr>
        <w:shd w:val="clear" w:color="auto" w:fill="FFFFFF"/>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33、</w:t>
      </w:r>
      <w:r>
        <w:rPr>
          <w:rFonts w:hint="eastAsia" w:ascii="宋体" w:hAnsi="宋体" w:cs="宋体"/>
          <w:color w:val="auto"/>
          <w:sz w:val="24"/>
          <w:szCs w:val="24"/>
          <w:highlight w:val="none"/>
        </w:rPr>
        <w:t>本招标文件最终解释权归采购人。</w:t>
      </w:r>
    </w:p>
    <w:p w14:paraId="04EBDE90">
      <w:pPr>
        <w:pStyle w:val="3"/>
        <w:keepNext w:val="0"/>
        <w:keepLines w:val="0"/>
        <w:pageBreakBefore/>
        <w:spacing w:before="120" w:after="120" w:line="400" w:lineRule="exact"/>
        <w:jc w:val="center"/>
        <w:rPr>
          <w:rFonts w:hint="eastAsia" w:ascii="宋体" w:hAnsi="宋体" w:cs="宋体"/>
          <w:b w:val="0"/>
          <w:bCs w:val="0"/>
          <w:color w:val="auto"/>
          <w:kern w:val="0"/>
          <w:sz w:val="24"/>
          <w:szCs w:val="24"/>
          <w:highlight w:val="none"/>
        </w:rPr>
      </w:pPr>
      <w:bookmarkStart w:id="32" w:name="_Toc5200"/>
      <w:bookmarkStart w:id="33" w:name="_Toc18952"/>
      <w:r>
        <w:rPr>
          <w:rFonts w:hint="eastAsia" w:ascii="宋体" w:hAnsi="宋体" w:cs="宋体"/>
          <w:color w:val="auto"/>
          <w:sz w:val="36"/>
          <w:szCs w:val="36"/>
          <w:highlight w:val="none"/>
        </w:rPr>
        <w:t>第三章 评标办法</w:t>
      </w:r>
      <w:bookmarkEnd w:id="32"/>
      <w:bookmarkEnd w:id="33"/>
    </w:p>
    <w:p w14:paraId="67C5E266">
      <w:pPr>
        <w:pStyle w:val="27"/>
        <w:keepNext w:val="0"/>
        <w:keepLines w:val="0"/>
        <w:tabs>
          <w:tab w:val="left" w:pos="540"/>
        </w:tabs>
        <w:spacing w:before="0" w:line="360" w:lineRule="auto"/>
        <w:jc w:val="left"/>
        <w:rPr>
          <w:rFonts w:hint="eastAsia" w:ascii="宋体" w:hAnsi="宋体" w:eastAsia="宋体"/>
          <w:color w:val="auto"/>
          <w:sz w:val="24"/>
          <w:szCs w:val="24"/>
          <w:highlight w:val="none"/>
        </w:rPr>
      </w:pPr>
      <w:bookmarkStart w:id="34" w:name="_Toc38013557"/>
      <w:bookmarkStart w:id="35" w:name="_Toc13844"/>
      <w:bookmarkStart w:id="36" w:name="_Toc28251232"/>
      <w:bookmarkStart w:id="37" w:name="_Toc11528"/>
      <w:r>
        <w:rPr>
          <w:rFonts w:hint="eastAsia" w:ascii="宋体" w:hAnsi="宋体" w:eastAsia="宋体"/>
          <w:color w:val="auto"/>
          <w:sz w:val="24"/>
          <w:szCs w:val="24"/>
          <w:highlight w:val="none"/>
        </w:rPr>
        <w:t>1.评标方法</w:t>
      </w:r>
      <w:bookmarkEnd w:id="34"/>
      <w:bookmarkEnd w:id="35"/>
      <w:bookmarkEnd w:id="36"/>
      <w:bookmarkEnd w:id="37"/>
    </w:p>
    <w:p w14:paraId="2D8B43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评标采用综合评分法。评标委员会对满足招标文件实质性要求的投标文件，按本章节规定的评分标准进行综合评分，并按得分由高到低顺序推荐3名中标候选人。综合评分相等时，由招标人根据相关规定自行确定。</w:t>
      </w:r>
    </w:p>
    <w:p w14:paraId="52B18318">
      <w:pPr>
        <w:pStyle w:val="27"/>
        <w:keepNext w:val="0"/>
        <w:keepLines w:val="0"/>
        <w:tabs>
          <w:tab w:val="left" w:pos="540"/>
        </w:tabs>
        <w:spacing w:before="0" w:line="360" w:lineRule="auto"/>
        <w:jc w:val="left"/>
        <w:rPr>
          <w:rFonts w:hint="eastAsia" w:ascii="宋体" w:hAnsi="宋体" w:eastAsia="宋体"/>
          <w:color w:val="auto"/>
          <w:sz w:val="24"/>
          <w:szCs w:val="24"/>
          <w:highlight w:val="none"/>
        </w:rPr>
      </w:pPr>
      <w:bookmarkStart w:id="38" w:name="_Toc179632619"/>
      <w:bookmarkEnd w:id="38"/>
      <w:bookmarkStart w:id="39" w:name="_Toc28030"/>
      <w:bookmarkEnd w:id="39"/>
      <w:bookmarkStart w:id="40" w:name="_Toc19618"/>
      <w:bookmarkEnd w:id="40"/>
      <w:bookmarkStart w:id="41" w:name="_Toc38013558"/>
      <w:bookmarkStart w:id="42" w:name="_Toc22883"/>
      <w:bookmarkStart w:id="43" w:name="_Toc28251233"/>
      <w:bookmarkStart w:id="44" w:name="_Toc29880"/>
      <w:bookmarkStart w:id="45" w:name="_Toc3105"/>
      <w:r>
        <w:rPr>
          <w:rFonts w:hint="eastAsia" w:ascii="宋体" w:hAnsi="宋体" w:eastAsia="宋体"/>
          <w:color w:val="auto"/>
          <w:sz w:val="24"/>
          <w:szCs w:val="24"/>
          <w:highlight w:val="none"/>
        </w:rPr>
        <w:t>2. 评审标准</w:t>
      </w:r>
      <w:bookmarkEnd w:id="41"/>
      <w:bookmarkEnd w:id="42"/>
      <w:bookmarkEnd w:id="43"/>
      <w:bookmarkEnd w:id="44"/>
      <w:bookmarkEnd w:id="45"/>
    </w:p>
    <w:p w14:paraId="7EFF11B9">
      <w:pPr>
        <w:pStyle w:val="29"/>
        <w:keepNext w:val="0"/>
        <w:keepLines w:val="0"/>
        <w:spacing w:line="360" w:lineRule="auto"/>
        <w:jc w:val="left"/>
        <w:rPr>
          <w:rFonts w:hint="eastAsia" w:ascii="宋体" w:hAnsi="宋体" w:eastAsia="宋体"/>
          <w:color w:val="auto"/>
          <w:highlight w:val="none"/>
        </w:rPr>
      </w:pPr>
      <w:bookmarkStart w:id="46" w:name="_Toc179632620"/>
      <w:bookmarkEnd w:id="46"/>
      <w:bookmarkStart w:id="47" w:name="_Toc23196"/>
      <w:bookmarkEnd w:id="47"/>
      <w:bookmarkStart w:id="48" w:name="_Toc12931"/>
      <w:bookmarkEnd w:id="48"/>
      <w:bookmarkStart w:id="49" w:name="_Toc31847"/>
      <w:bookmarkEnd w:id="49"/>
      <w:bookmarkStart w:id="50" w:name="_Toc16690667"/>
      <w:bookmarkStart w:id="51" w:name="_Toc38013559"/>
      <w:bookmarkStart w:id="52" w:name="_Toc28251234"/>
      <w:bookmarkStart w:id="53" w:name="_Toc8794"/>
      <w:bookmarkStart w:id="54" w:name="_Toc8346"/>
      <w:r>
        <w:rPr>
          <w:rFonts w:hint="eastAsia" w:ascii="宋体" w:hAnsi="宋体" w:eastAsia="宋体"/>
          <w:color w:val="auto"/>
          <w:highlight w:val="none"/>
        </w:rPr>
        <w:t>2.1初步评审标准</w:t>
      </w:r>
      <w:bookmarkEnd w:id="50"/>
      <w:bookmarkEnd w:id="51"/>
      <w:bookmarkEnd w:id="52"/>
      <w:bookmarkEnd w:id="53"/>
      <w:bookmarkEnd w:id="54"/>
    </w:p>
    <w:p w14:paraId="1A57D68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 形式评审标准：见评标办法前附表。</w:t>
      </w:r>
    </w:p>
    <w:p w14:paraId="36CDB7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资格评审标准：见评标办法前附表。</w:t>
      </w:r>
    </w:p>
    <w:p w14:paraId="0CFE295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 响应性评审标准：见评标办法前附表。</w:t>
      </w:r>
    </w:p>
    <w:p w14:paraId="0D85C28F">
      <w:pPr>
        <w:pStyle w:val="29"/>
        <w:keepNext w:val="0"/>
        <w:keepLines w:val="0"/>
        <w:spacing w:line="360" w:lineRule="auto"/>
        <w:jc w:val="left"/>
        <w:rPr>
          <w:rFonts w:hint="eastAsia" w:ascii="宋体" w:hAnsi="宋体" w:eastAsia="宋体"/>
          <w:color w:val="auto"/>
          <w:highlight w:val="none"/>
        </w:rPr>
      </w:pPr>
      <w:bookmarkStart w:id="55" w:name="_Toc16603"/>
      <w:bookmarkEnd w:id="55"/>
      <w:bookmarkStart w:id="56" w:name="_Toc607"/>
      <w:bookmarkEnd w:id="56"/>
      <w:bookmarkStart w:id="57" w:name="_Toc179632621"/>
      <w:bookmarkEnd w:id="57"/>
      <w:bookmarkStart w:id="58" w:name="_Toc11804"/>
      <w:bookmarkEnd w:id="58"/>
      <w:bookmarkStart w:id="59" w:name="_Toc28251235"/>
      <w:bookmarkStart w:id="60" w:name="_Toc38013560"/>
      <w:bookmarkStart w:id="61" w:name="_Toc17361"/>
      <w:bookmarkStart w:id="62" w:name="_Toc16690668"/>
      <w:bookmarkStart w:id="63" w:name="_Toc1342"/>
      <w:r>
        <w:rPr>
          <w:rFonts w:hint="eastAsia" w:ascii="宋体" w:hAnsi="宋体" w:eastAsia="宋体"/>
          <w:color w:val="auto"/>
          <w:highlight w:val="none"/>
        </w:rPr>
        <w:t>2.2 分值构成与评分标准</w:t>
      </w:r>
      <w:bookmarkEnd w:id="59"/>
      <w:bookmarkEnd w:id="60"/>
      <w:bookmarkEnd w:id="61"/>
      <w:bookmarkEnd w:id="62"/>
      <w:bookmarkEnd w:id="63"/>
    </w:p>
    <w:p w14:paraId="5F859F6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 分值构成：见详细评审表。</w:t>
      </w:r>
    </w:p>
    <w:p w14:paraId="2440CF6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 评分标准：见详细评审表。</w:t>
      </w:r>
    </w:p>
    <w:p w14:paraId="6561FAA9">
      <w:pPr>
        <w:pStyle w:val="27"/>
        <w:keepNext w:val="0"/>
        <w:keepLines w:val="0"/>
        <w:tabs>
          <w:tab w:val="left" w:pos="540"/>
        </w:tabs>
        <w:spacing w:before="0" w:line="360" w:lineRule="auto"/>
        <w:jc w:val="left"/>
        <w:rPr>
          <w:rFonts w:hint="eastAsia" w:ascii="宋体" w:hAnsi="宋体" w:eastAsia="宋体"/>
          <w:color w:val="auto"/>
          <w:sz w:val="24"/>
          <w:szCs w:val="24"/>
          <w:highlight w:val="none"/>
        </w:rPr>
      </w:pPr>
      <w:bookmarkStart w:id="64" w:name="_Toc25534"/>
      <w:bookmarkEnd w:id="64"/>
      <w:bookmarkStart w:id="65" w:name="_Toc13158"/>
      <w:bookmarkEnd w:id="65"/>
      <w:bookmarkStart w:id="66" w:name="_Toc11715"/>
      <w:bookmarkEnd w:id="66"/>
      <w:bookmarkStart w:id="67" w:name="_Toc152045604"/>
      <w:bookmarkEnd w:id="67"/>
      <w:bookmarkStart w:id="68" w:name="_Toc179632622"/>
      <w:bookmarkEnd w:id="68"/>
      <w:bookmarkStart w:id="69" w:name="_Toc144974571"/>
      <w:bookmarkEnd w:id="69"/>
      <w:bookmarkStart w:id="70" w:name="_Toc30473"/>
      <w:bookmarkStart w:id="71" w:name="_Toc38013561"/>
      <w:bookmarkStart w:id="72" w:name="_Toc152042381"/>
      <w:bookmarkStart w:id="73" w:name="_Toc28251236"/>
      <w:bookmarkStart w:id="74" w:name="_Toc32601"/>
      <w:r>
        <w:rPr>
          <w:rFonts w:hint="eastAsia" w:ascii="宋体" w:hAnsi="宋体" w:eastAsia="宋体"/>
          <w:color w:val="auto"/>
          <w:sz w:val="24"/>
          <w:szCs w:val="24"/>
          <w:highlight w:val="none"/>
        </w:rPr>
        <w:t>3. 评标程序</w:t>
      </w:r>
      <w:bookmarkEnd w:id="70"/>
      <w:bookmarkEnd w:id="71"/>
      <w:bookmarkEnd w:id="72"/>
      <w:bookmarkEnd w:id="73"/>
      <w:bookmarkEnd w:id="74"/>
    </w:p>
    <w:p w14:paraId="7ADA0779">
      <w:pPr>
        <w:pStyle w:val="29"/>
        <w:keepNext w:val="0"/>
        <w:keepLines w:val="0"/>
        <w:spacing w:line="360" w:lineRule="auto"/>
        <w:jc w:val="left"/>
        <w:rPr>
          <w:rFonts w:hint="eastAsia" w:ascii="宋体" w:hAnsi="宋体" w:eastAsia="宋体"/>
          <w:b/>
          <w:color w:val="auto"/>
          <w:highlight w:val="none"/>
        </w:rPr>
      </w:pPr>
      <w:bookmarkStart w:id="75" w:name="_Toc31010"/>
      <w:bookmarkEnd w:id="75"/>
      <w:bookmarkStart w:id="76" w:name="_Toc152045605"/>
      <w:bookmarkEnd w:id="76"/>
      <w:bookmarkStart w:id="77" w:name="_Toc144974572"/>
      <w:bookmarkEnd w:id="77"/>
      <w:bookmarkStart w:id="78" w:name="_Toc30372"/>
      <w:bookmarkEnd w:id="78"/>
      <w:bookmarkStart w:id="79" w:name="_Toc152042382"/>
      <w:bookmarkEnd w:id="79"/>
      <w:bookmarkStart w:id="80" w:name="_Toc8644"/>
      <w:bookmarkEnd w:id="80"/>
      <w:bookmarkStart w:id="81" w:name="_Toc11875"/>
      <w:bookmarkStart w:id="82" w:name="_Toc28251237"/>
      <w:bookmarkStart w:id="83" w:name="_Toc12409"/>
      <w:bookmarkStart w:id="84" w:name="_Toc38013562"/>
      <w:bookmarkStart w:id="85" w:name="_Toc179632623"/>
      <w:bookmarkStart w:id="86" w:name="_Toc16690670"/>
      <w:r>
        <w:rPr>
          <w:rFonts w:hint="eastAsia" w:ascii="宋体" w:hAnsi="宋体" w:eastAsia="宋体"/>
          <w:color w:val="auto"/>
          <w:highlight w:val="none"/>
        </w:rPr>
        <w:t>3.1 初步评审</w:t>
      </w:r>
      <w:bookmarkEnd w:id="81"/>
      <w:bookmarkEnd w:id="82"/>
      <w:bookmarkEnd w:id="83"/>
      <w:bookmarkEnd w:id="84"/>
      <w:bookmarkEnd w:id="85"/>
      <w:bookmarkEnd w:id="86"/>
    </w:p>
    <w:p w14:paraId="195DA4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3.1.1招标人根据本章规定得资格评审办法对投标人进行资格审查，资格审查资料以投标人投标文件中所附资料为准，进行核验。</w:t>
      </w:r>
      <w:r>
        <w:rPr>
          <w:rFonts w:hint="eastAsia" w:ascii="宋体" w:hAnsi="宋体" w:cs="宋体"/>
          <w:bCs/>
          <w:color w:val="auto"/>
          <w:sz w:val="24"/>
          <w:szCs w:val="24"/>
          <w:highlight w:val="none"/>
        </w:rPr>
        <w:t>通过资格审查的投标人由</w:t>
      </w:r>
      <w:r>
        <w:rPr>
          <w:rFonts w:hint="eastAsia" w:ascii="宋体" w:hAnsi="宋体" w:cs="宋体"/>
          <w:color w:val="auto"/>
          <w:sz w:val="24"/>
          <w:szCs w:val="24"/>
          <w:highlight w:val="none"/>
        </w:rPr>
        <w:t>评标小组依据本章第2.1款规定的标准对投标文件进行</w:t>
      </w:r>
      <w:r>
        <w:rPr>
          <w:rFonts w:hint="eastAsia" w:ascii="宋体" w:hAnsi="宋体" w:cs="宋体"/>
          <w:bCs/>
          <w:color w:val="auto"/>
          <w:sz w:val="24"/>
          <w:szCs w:val="24"/>
          <w:highlight w:val="none"/>
        </w:rPr>
        <w:t>形式评审、响应性评审</w:t>
      </w:r>
      <w:r>
        <w:rPr>
          <w:rFonts w:hint="eastAsia" w:ascii="宋体" w:hAnsi="宋体" w:cs="宋体"/>
          <w:color w:val="auto"/>
          <w:sz w:val="24"/>
          <w:szCs w:val="24"/>
          <w:highlight w:val="none"/>
        </w:rPr>
        <w:t>。有一项不符合评审标准的，其投标将被否决。</w:t>
      </w:r>
    </w:p>
    <w:p w14:paraId="3872BEF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3.1.2供应商有以下情形之一的，其投标作无效标处理：</w:t>
      </w:r>
    </w:p>
    <w:p w14:paraId="25148E1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（1）串通投标或弄虚作假或有其他违法行为的；</w:t>
      </w:r>
    </w:p>
    <w:p w14:paraId="209B5D4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（2）不按评标小组要求澄清、说明或补正的。</w:t>
      </w:r>
    </w:p>
    <w:p w14:paraId="03560F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3.1.3投标报价有算术错误的，评标小组按以下原则对投标报价进行修正，修正的价格经供应商书面确认后具有约束力。供应商不接受修正价格的，其投标将被否决。</w:t>
      </w:r>
    </w:p>
    <w:p w14:paraId="17944619">
      <w:pPr>
        <w:spacing w:line="360" w:lineRule="auto"/>
        <w:ind w:firstLine="480" w:firstLineChars="200"/>
        <w:rPr>
          <w:rFonts w:hint="eastAsia" w:ascii="宋体" w:hAnsi="宋体" w:cs="宋体"/>
          <w:color w:val="auto"/>
          <w:sz w:val="24"/>
          <w:szCs w:val="24"/>
          <w:highlight w:val="none"/>
        </w:rPr>
      </w:pPr>
      <w:bookmarkStart w:id="87" w:name="_Toc152042383"/>
      <w:bookmarkEnd w:id="87"/>
      <w:r>
        <w:rPr>
          <w:rFonts w:hint="eastAsia" w:ascii="宋体" w:hAnsi="宋体" w:cs="宋体"/>
          <w:color w:val="auto"/>
          <w:sz w:val="24"/>
          <w:szCs w:val="24"/>
          <w:highlight w:val="none"/>
        </w:rPr>
        <w:t>（1）投标文件中的大写金额与小写金额不一致的，以大写金额为准；</w:t>
      </w:r>
    </w:p>
    <w:p w14:paraId="2E51EED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（2）总价金额与依据单价计算出的结果不一致的，以单价金额为准修正总价，但单价金额小数点有明显错误的除外。</w:t>
      </w:r>
    </w:p>
    <w:p w14:paraId="1845A6EC">
      <w:pPr>
        <w:pStyle w:val="29"/>
        <w:keepNext w:val="0"/>
        <w:keepLines w:val="0"/>
        <w:spacing w:line="360" w:lineRule="auto"/>
        <w:jc w:val="left"/>
        <w:rPr>
          <w:rFonts w:hint="eastAsia" w:ascii="宋体" w:hAnsi="宋体" w:eastAsia="宋体"/>
          <w:b/>
          <w:color w:val="auto"/>
          <w:highlight w:val="none"/>
        </w:rPr>
      </w:pPr>
      <w:bookmarkStart w:id="88" w:name="_Toc179632624"/>
      <w:bookmarkEnd w:id="88"/>
      <w:bookmarkStart w:id="89" w:name="_Toc152042384"/>
      <w:bookmarkEnd w:id="89"/>
      <w:bookmarkStart w:id="90" w:name="_Toc144974573"/>
      <w:bookmarkEnd w:id="90"/>
      <w:bookmarkStart w:id="91" w:name="_Toc28251238"/>
      <w:bookmarkStart w:id="92" w:name="_Toc18657"/>
      <w:bookmarkStart w:id="93" w:name="_Toc32019"/>
      <w:bookmarkStart w:id="94" w:name="_Toc16690671"/>
      <w:bookmarkStart w:id="95" w:name="_Toc152045606"/>
      <w:bookmarkStart w:id="96" w:name="_Toc38013563"/>
      <w:r>
        <w:rPr>
          <w:rFonts w:hint="eastAsia" w:ascii="宋体" w:hAnsi="宋体" w:eastAsia="宋体"/>
          <w:color w:val="auto"/>
          <w:highlight w:val="none"/>
        </w:rPr>
        <w:t>3.2详细评审</w:t>
      </w:r>
      <w:bookmarkEnd w:id="91"/>
      <w:bookmarkEnd w:id="92"/>
      <w:bookmarkEnd w:id="93"/>
      <w:bookmarkEnd w:id="94"/>
      <w:bookmarkEnd w:id="95"/>
      <w:bookmarkEnd w:id="96"/>
    </w:p>
    <w:p w14:paraId="4321714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3.2.1评标小组按本章第2.2款规定的量化因素和分值进行打分，并计算出综合评估得分。</w:t>
      </w:r>
    </w:p>
    <w:p w14:paraId="75032D1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评标小组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小组认定该供应商以低于成本报价投标，其投标作无效标处理。</w:t>
      </w:r>
    </w:p>
    <w:p w14:paraId="15E6DBED">
      <w:pPr>
        <w:pStyle w:val="29"/>
        <w:keepNext w:val="0"/>
        <w:keepLines w:val="0"/>
        <w:spacing w:line="360" w:lineRule="auto"/>
        <w:jc w:val="left"/>
        <w:rPr>
          <w:rFonts w:hint="eastAsia" w:ascii="宋体" w:hAnsi="宋体" w:eastAsia="宋体"/>
          <w:color w:val="auto"/>
          <w:highlight w:val="none"/>
        </w:rPr>
      </w:pPr>
      <w:bookmarkStart w:id="97" w:name="_Toc179632625"/>
      <w:bookmarkEnd w:id="97"/>
      <w:bookmarkStart w:id="98" w:name="_Toc418605429"/>
      <w:bookmarkEnd w:id="98"/>
      <w:bookmarkStart w:id="99" w:name="_Toc418608950"/>
      <w:bookmarkEnd w:id="99"/>
      <w:bookmarkStart w:id="100" w:name="_Toc152042385"/>
      <w:bookmarkEnd w:id="100"/>
      <w:bookmarkStart w:id="101" w:name="_Toc466566800"/>
      <w:bookmarkEnd w:id="101"/>
      <w:bookmarkStart w:id="102" w:name="_Toc401926485"/>
      <w:bookmarkEnd w:id="102"/>
      <w:bookmarkStart w:id="103" w:name="_Toc421805017"/>
      <w:bookmarkEnd w:id="103"/>
      <w:bookmarkStart w:id="104" w:name="_Toc144974575"/>
      <w:bookmarkEnd w:id="104"/>
      <w:bookmarkStart w:id="105" w:name="_Toc466566711"/>
      <w:bookmarkEnd w:id="105"/>
      <w:bookmarkStart w:id="106" w:name="_Toc389384087"/>
      <w:bookmarkEnd w:id="106"/>
      <w:bookmarkStart w:id="107" w:name="_Toc401512224"/>
      <w:bookmarkEnd w:id="107"/>
      <w:bookmarkStart w:id="108" w:name="_Toc423358132"/>
      <w:bookmarkEnd w:id="108"/>
      <w:bookmarkStart w:id="109" w:name="_Toc421698384"/>
      <w:bookmarkEnd w:id="109"/>
      <w:bookmarkStart w:id="110" w:name="_Toc387498748"/>
      <w:bookmarkEnd w:id="110"/>
      <w:bookmarkStart w:id="111" w:name="_Toc152045607"/>
      <w:bookmarkStart w:id="112" w:name="_Toc5619"/>
      <w:bookmarkStart w:id="113" w:name="_Toc38013564"/>
      <w:bookmarkStart w:id="114" w:name="_Toc17285"/>
      <w:bookmarkStart w:id="115" w:name="_Toc28251239"/>
      <w:bookmarkStart w:id="116" w:name="_Toc16690672"/>
      <w:r>
        <w:rPr>
          <w:rFonts w:hint="eastAsia" w:ascii="宋体" w:hAnsi="宋体" w:eastAsia="宋体"/>
          <w:color w:val="auto"/>
          <w:highlight w:val="none"/>
        </w:rPr>
        <w:t xml:space="preserve">3.3 </w:t>
      </w:r>
      <w:bookmarkEnd w:id="111"/>
      <w:r>
        <w:rPr>
          <w:rFonts w:hint="eastAsia" w:ascii="宋体" w:hAnsi="宋体" w:eastAsia="宋体"/>
          <w:color w:val="auto"/>
          <w:highlight w:val="none"/>
        </w:rPr>
        <w:t>投标文件的澄清和补正</w:t>
      </w:r>
      <w:bookmarkEnd w:id="112"/>
      <w:bookmarkEnd w:id="113"/>
      <w:bookmarkEnd w:id="114"/>
      <w:bookmarkEnd w:id="115"/>
      <w:bookmarkEnd w:id="116"/>
    </w:p>
    <w:p w14:paraId="548FC8A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3.3.1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评标小组不接受供应商主动提出的澄清、说明或补正。</w:t>
      </w:r>
    </w:p>
    <w:p w14:paraId="2B1243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3.3.2 澄清、说明和补正不得改变投标文件的实质性内容（算术性错误修正的除外）。供应商的书面澄清、说明和补正属于投标文件的组成部分。</w:t>
      </w:r>
    </w:p>
    <w:p w14:paraId="76B2923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3.3.3 评标小组对供应商提交的澄清、说明或补正有疑问的，可以要求供应商进一步澄清、说明或补正，直至满足评标小组的要求。</w:t>
      </w:r>
    </w:p>
    <w:p w14:paraId="3BA0BA26">
      <w:pPr>
        <w:pStyle w:val="29"/>
        <w:keepNext w:val="0"/>
        <w:keepLines w:val="0"/>
        <w:spacing w:line="360" w:lineRule="auto"/>
        <w:jc w:val="left"/>
        <w:rPr>
          <w:rFonts w:hint="eastAsia" w:ascii="宋体" w:hAnsi="宋体" w:eastAsia="宋体"/>
          <w:b/>
          <w:color w:val="auto"/>
          <w:highlight w:val="none"/>
        </w:rPr>
      </w:pPr>
      <w:bookmarkStart w:id="117" w:name="_Toc418608951"/>
      <w:bookmarkEnd w:id="117"/>
      <w:bookmarkStart w:id="118" w:name="_Toc418605430"/>
      <w:bookmarkEnd w:id="118"/>
      <w:bookmarkStart w:id="119" w:name="_Toc466566712"/>
      <w:bookmarkEnd w:id="119"/>
      <w:bookmarkStart w:id="120" w:name="_Toc179632626"/>
      <w:bookmarkEnd w:id="120"/>
      <w:bookmarkStart w:id="121" w:name="_Toc152045608"/>
      <w:bookmarkEnd w:id="121"/>
      <w:bookmarkStart w:id="122" w:name="_Toc423358133"/>
      <w:bookmarkEnd w:id="122"/>
      <w:bookmarkStart w:id="123" w:name="_Toc389384088"/>
      <w:bookmarkEnd w:id="123"/>
      <w:bookmarkStart w:id="124" w:name="_Toc466566801"/>
      <w:bookmarkEnd w:id="124"/>
      <w:bookmarkStart w:id="125" w:name="_Toc144974576"/>
      <w:bookmarkEnd w:id="125"/>
      <w:bookmarkStart w:id="126" w:name="_Toc401926486"/>
      <w:bookmarkEnd w:id="126"/>
      <w:bookmarkStart w:id="127" w:name="_Toc152042386"/>
      <w:bookmarkEnd w:id="127"/>
      <w:bookmarkStart w:id="128" w:name="_Toc401512225"/>
      <w:bookmarkEnd w:id="128"/>
      <w:bookmarkStart w:id="129" w:name="_Toc421698385"/>
      <w:bookmarkEnd w:id="129"/>
      <w:bookmarkStart w:id="130" w:name="_Toc421805018"/>
      <w:bookmarkEnd w:id="130"/>
      <w:bookmarkStart w:id="131" w:name="_Toc38013565"/>
      <w:bookmarkStart w:id="132" w:name="_Toc21242"/>
      <w:bookmarkStart w:id="133" w:name="_Toc16690673"/>
      <w:bookmarkStart w:id="134" w:name="_Toc28251240"/>
      <w:bookmarkStart w:id="135" w:name="_Toc29297"/>
      <w:bookmarkStart w:id="136" w:name="_Toc387498749"/>
      <w:r>
        <w:rPr>
          <w:rFonts w:hint="eastAsia" w:ascii="宋体" w:hAnsi="宋体" w:eastAsia="宋体"/>
          <w:color w:val="auto"/>
          <w:highlight w:val="none"/>
        </w:rPr>
        <w:t>3.4供应商的总得分</w:t>
      </w:r>
      <w:bookmarkEnd w:id="131"/>
      <w:bookmarkEnd w:id="132"/>
      <w:bookmarkEnd w:id="133"/>
      <w:bookmarkEnd w:id="134"/>
      <w:bookmarkEnd w:id="135"/>
      <w:bookmarkEnd w:id="136"/>
    </w:p>
    <w:p w14:paraId="2012200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（1）评标小组完成对技术标、投标报价和商务标得分的汇总后，取平均值作为该供应商的最终得分。</w:t>
      </w:r>
    </w:p>
    <w:p w14:paraId="7264107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（2）计算分值均保留两位小数。</w:t>
      </w:r>
    </w:p>
    <w:p w14:paraId="03D8E0EE">
      <w:pPr>
        <w:pStyle w:val="29"/>
        <w:keepNext w:val="0"/>
        <w:keepLines w:val="0"/>
        <w:spacing w:line="360" w:lineRule="auto"/>
        <w:jc w:val="left"/>
        <w:rPr>
          <w:rFonts w:hint="eastAsia" w:ascii="宋体" w:hAnsi="宋体" w:eastAsia="宋体"/>
          <w:b/>
          <w:color w:val="auto"/>
          <w:highlight w:val="none"/>
        </w:rPr>
      </w:pPr>
      <w:bookmarkStart w:id="137" w:name="_Toc14812"/>
      <w:bookmarkStart w:id="138" w:name="_Toc20886"/>
      <w:bookmarkStart w:id="139" w:name="_Toc16690674"/>
      <w:bookmarkStart w:id="140" w:name="_Toc38013566"/>
      <w:bookmarkStart w:id="141" w:name="_Toc28251241"/>
      <w:r>
        <w:rPr>
          <w:rFonts w:hint="eastAsia" w:ascii="宋体" w:hAnsi="宋体" w:eastAsia="宋体"/>
          <w:color w:val="auto"/>
          <w:highlight w:val="none"/>
        </w:rPr>
        <w:t>3.5评标结果</w:t>
      </w:r>
      <w:bookmarkEnd w:id="137"/>
      <w:bookmarkEnd w:id="138"/>
      <w:bookmarkEnd w:id="139"/>
      <w:bookmarkEnd w:id="140"/>
      <w:bookmarkEnd w:id="141"/>
    </w:p>
    <w:p w14:paraId="3239BE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3.5.1评标小组按照得分由高到低的顺序推荐3名中标候选人。</w:t>
      </w:r>
    </w:p>
    <w:p w14:paraId="6C49B11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3.5.2评标小组完成评标后，应当向招标人提交书面评标报告。</w:t>
      </w:r>
    </w:p>
    <w:p w14:paraId="621B59A7">
      <w:pPr>
        <w:rPr>
          <w:rFonts w:hint="eastAsia" w:ascii="宋体" w:hAnsi="宋体" w:cs="宋体"/>
          <w:b/>
          <w:bCs/>
          <w:color w:val="auto"/>
          <w:sz w:val="28"/>
          <w:szCs w:val="28"/>
          <w:highlight w:val="none"/>
        </w:rPr>
      </w:pPr>
      <w:bookmarkStart w:id="142" w:name="_Toc12961085"/>
      <w:bookmarkStart w:id="143" w:name="_Toc12959920"/>
      <w:r>
        <w:rPr>
          <w:rFonts w:hint="eastAsia" w:ascii="宋体" w:hAnsi="宋体" w:cs="宋体"/>
          <w:b/>
          <w:bCs/>
          <w:color w:val="auto"/>
          <w:sz w:val="28"/>
          <w:szCs w:val="28"/>
          <w:highlight w:val="none"/>
        </w:rPr>
        <w:br w:type="page"/>
      </w:r>
    </w:p>
    <w:p w14:paraId="4E4B5294">
      <w:pPr>
        <w:spacing w:line="276" w:lineRule="auto"/>
        <w:jc w:val="center"/>
        <w:rPr>
          <w:rFonts w:hint="eastAsia" w:ascii="宋体" w:hAnsi="宋体" w:cs="宋体"/>
          <w:b/>
          <w:color w:val="auto"/>
          <w:sz w:val="28"/>
          <w:szCs w:val="28"/>
          <w:highlight w:val="none"/>
        </w:rPr>
      </w:pPr>
      <w:r>
        <w:rPr>
          <w:rFonts w:hint="eastAsia" w:ascii="宋体" w:hAnsi="宋体" w:cs="宋体"/>
          <w:b/>
          <w:bCs/>
          <w:color w:val="auto"/>
          <w:sz w:val="28"/>
          <w:szCs w:val="28"/>
          <w:highlight w:val="none"/>
        </w:rPr>
        <w:t>初步评审表</w:t>
      </w:r>
    </w:p>
    <w:tbl>
      <w:tblPr>
        <w:tblStyle w:val="22"/>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45"/>
        <w:gridCol w:w="1982"/>
        <w:gridCol w:w="5430"/>
      </w:tblGrid>
      <w:tr w14:paraId="7B48B6FF">
        <w:trPr>
          <w:trHeight w:val="66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14:paraId="3AABDBB8">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条款号</w:t>
            </w:r>
          </w:p>
        </w:tc>
        <w:tc>
          <w:tcPr>
            <w:tcW w:w="1982" w:type="dxa"/>
            <w:tcBorders>
              <w:top w:val="single" w:color="auto" w:sz="4" w:space="0"/>
              <w:left w:val="nil"/>
              <w:bottom w:val="single" w:color="auto" w:sz="4" w:space="0"/>
              <w:right w:val="single" w:color="auto" w:sz="4" w:space="0"/>
            </w:tcBorders>
            <w:vAlign w:val="center"/>
          </w:tcPr>
          <w:p w14:paraId="6E190785">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评审因素</w:t>
            </w:r>
          </w:p>
        </w:tc>
        <w:tc>
          <w:tcPr>
            <w:tcW w:w="5430" w:type="dxa"/>
            <w:tcBorders>
              <w:top w:val="single" w:color="auto" w:sz="4" w:space="0"/>
              <w:left w:val="nil"/>
              <w:bottom w:val="single" w:color="auto" w:sz="4" w:space="0"/>
              <w:right w:val="single" w:color="auto" w:sz="4" w:space="0"/>
            </w:tcBorders>
            <w:vAlign w:val="center"/>
          </w:tcPr>
          <w:p w14:paraId="514265D0">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评审标准</w:t>
            </w:r>
          </w:p>
        </w:tc>
      </w:tr>
      <w:tr w14:paraId="506D2E04">
        <w:trPr>
          <w:trHeight w:val="737" w:hRule="atLeast"/>
        </w:trPr>
        <w:tc>
          <w:tcPr>
            <w:tcW w:w="941" w:type="dxa"/>
            <w:vMerge w:val="restart"/>
            <w:tcBorders>
              <w:top w:val="nil"/>
              <w:left w:val="single" w:color="auto" w:sz="4" w:space="0"/>
              <w:bottom w:val="single" w:color="auto" w:sz="4" w:space="0"/>
              <w:right w:val="single" w:color="auto" w:sz="4" w:space="0"/>
            </w:tcBorders>
            <w:vAlign w:val="center"/>
          </w:tcPr>
          <w:p w14:paraId="2FA15E0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2.1.1</w:t>
            </w:r>
          </w:p>
        </w:tc>
        <w:tc>
          <w:tcPr>
            <w:tcW w:w="745" w:type="dxa"/>
            <w:vMerge w:val="restart"/>
            <w:tcBorders>
              <w:top w:val="nil"/>
              <w:left w:val="nil"/>
              <w:bottom w:val="single" w:color="auto" w:sz="4" w:space="0"/>
              <w:right w:val="single" w:color="auto" w:sz="4" w:space="0"/>
            </w:tcBorders>
            <w:vAlign w:val="center"/>
          </w:tcPr>
          <w:p w14:paraId="5CA21E0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形式 评审 标准</w:t>
            </w:r>
          </w:p>
        </w:tc>
        <w:tc>
          <w:tcPr>
            <w:tcW w:w="1982" w:type="dxa"/>
            <w:tcBorders>
              <w:top w:val="single" w:color="auto" w:sz="4" w:space="0"/>
              <w:left w:val="nil"/>
              <w:bottom w:val="single" w:color="auto" w:sz="4" w:space="0"/>
              <w:right w:val="single" w:color="auto" w:sz="4" w:space="0"/>
            </w:tcBorders>
            <w:vAlign w:val="center"/>
          </w:tcPr>
          <w:p w14:paraId="526684F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5430" w:type="dxa"/>
            <w:tcBorders>
              <w:top w:val="single" w:color="auto" w:sz="4" w:space="0"/>
              <w:left w:val="nil"/>
              <w:bottom w:val="single" w:color="auto" w:sz="4" w:space="0"/>
              <w:right w:val="single" w:color="auto" w:sz="4" w:space="0"/>
            </w:tcBorders>
            <w:vAlign w:val="center"/>
          </w:tcPr>
          <w:p w14:paraId="42083885">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与营业执照或其他组织机构证书一致</w:t>
            </w:r>
          </w:p>
        </w:tc>
      </w:tr>
      <w:tr w14:paraId="4B168ACE">
        <w:trPr>
          <w:trHeight w:val="737" w:hRule="atLeast"/>
        </w:trPr>
        <w:tc>
          <w:tcPr>
            <w:tcW w:w="941" w:type="dxa"/>
            <w:vMerge w:val="continue"/>
            <w:tcBorders>
              <w:top w:val="nil"/>
              <w:left w:val="single" w:color="auto" w:sz="4" w:space="0"/>
              <w:bottom w:val="single" w:color="auto" w:sz="4" w:space="0"/>
              <w:right w:val="single" w:color="auto" w:sz="4" w:space="0"/>
            </w:tcBorders>
            <w:vAlign w:val="center"/>
          </w:tcPr>
          <w:p w14:paraId="078B3848">
            <w:pPr>
              <w:widowControl/>
              <w:spacing w:line="360" w:lineRule="auto"/>
              <w:jc w:val="left"/>
              <w:rPr>
                <w:rFonts w:hint="eastAsia" w:ascii="宋体" w:hAnsi="宋体" w:cs="宋体"/>
                <w:color w:val="auto"/>
                <w:sz w:val="24"/>
                <w:szCs w:val="24"/>
                <w:highlight w:val="none"/>
              </w:rPr>
            </w:pPr>
          </w:p>
        </w:tc>
        <w:tc>
          <w:tcPr>
            <w:tcW w:w="745" w:type="dxa"/>
            <w:vMerge w:val="continue"/>
            <w:tcBorders>
              <w:top w:val="nil"/>
              <w:left w:val="nil"/>
              <w:bottom w:val="single" w:color="auto" w:sz="4" w:space="0"/>
              <w:right w:val="single" w:color="auto" w:sz="4" w:space="0"/>
            </w:tcBorders>
            <w:vAlign w:val="center"/>
          </w:tcPr>
          <w:p w14:paraId="02FADA0F">
            <w:pPr>
              <w:widowControl/>
              <w:spacing w:line="360" w:lineRule="auto"/>
              <w:jc w:val="left"/>
              <w:rPr>
                <w:rFonts w:hint="eastAsia" w:ascii="宋体" w:hAnsi="宋体" w:cs="宋体"/>
                <w:color w:val="auto"/>
                <w:sz w:val="24"/>
                <w:szCs w:val="24"/>
                <w:highlight w:val="none"/>
              </w:rPr>
            </w:pPr>
          </w:p>
        </w:tc>
        <w:tc>
          <w:tcPr>
            <w:tcW w:w="1982" w:type="dxa"/>
            <w:tcBorders>
              <w:top w:val="single" w:color="auto" w:sz="4" w:space="0"/>
              <w:left w:val="nil"/>
              <w:bottom w:val="single" w:color="auto" w:sz="4" w:space="0"/>
              <w:right w:val="single" w:color="auto" w:sz="4" w:space="0"/>
            </w:tcBorders>
            <w:vAlign w:val="center"/>
          </w:tcPr>
          <w:p w14:paraId="6C8C11E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投标文件签字盖章</w:t>
            </w:r>
          </w:p>
        </w:tc>
        <w:tc>
          <w:tcPr>
            <w:tcW w:w="5430" w:type="dxa"/>
            <w:tcBorders>
              <w:top w:val="single" w:color="auto" w:sz="4" w:space="0"/>
              <w:left w:val="nil"/>
              <w:bottom w:val="single" w:color="auto" w:sz="4" w:space="0"/>
              <w:right w:val="single" w:color="auto" w:sz="4" w:space="0"/>
            </w:tcBorders>
            <w:vAlign w:val="center"/>
          </w:tcPr>
          <w:p w14:paraId="54974A9F">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符合招标文件要求</w:t>
            </w:r>
          </w:p>
        </w:tc>
      </w:tr>
      <w:tr w14:paraId="0DCF4491">
        <w:trPr>
          <w:trHeight w:val="593" w:hRule="atLeast"/>
        </w:trPr>
        <w:tc>
          <w:tcPr>
            <w:tcW w:w="941" w:type="dxa"/>
            <w:vMerge w:val="continue"/>
            <w:tcBorders>
              <w:top w:val="nil"/>
              <w:left w:val="single" w:color="auto" w:sz="4" w:space="0"/>
              <w:bottom w:val="single" w:color="auto" w:sz="4" w:space="0"/>
              <w:right w:val="single" w:color="auto" w:sz="4" w:space="0"/>
            </w:tcBorders>
            <w:vAlign w:val="center"/>
          </w:tcPr>
          <w:p w14:paraId="3AD7E0E5">
            <w:pPr>
              <w:widowControl/>
              <w:spacing w:line="360" w:lineRule="auto"/>
              <w:jc w:val="left"/>
              <w:rPr>
                <w:rFonts w:hint="eastAsia" w:ascii="宋体" w:hAnsi="宋体" w:cs="宋体"/>
                <w:color w:val="auto"/>
                <w:sz w:val="24"/>
                <w:szCs w:val="24"/>
                <w:highlight w:val="none"/>
              </w:rPr>
            </w:pPr>
          </w:p>
        </w:tc>
        <w:tc>
          <w:tcPr>
            <w:tcW w:w="745" w:type="dxa"/>
            <w:vMerge w:val="continue"/>
            <w:tcBorders>
              <w:top w:val="nil"/>
              <w:left w:val="nil"/>
              <w:bottom w:val="single" w:color="auto" w:sz="4" w:space="0"/>
              <w:right w:val="single" w:color="auto" w:sz="4" w:space="0"/>
            </w:tcBorders>
            <w:vAlign w:val="center"/>
          </w:tcPr>
          <w:p w14:paraId="06DB85CA">
            <w:pPr>
              <w:widowControl/>
              <w:spacing w:line="360" w:lineRule="auto"/>
              <w:jc w:val="left"/>
              <w:rPr>
                <w:rFonts w:hint="eastAsia" w:ascii="宋体" w:hAnsi="宋体" w:cs="宋体"/>
                <w:color w:val="auto"/>
                <w:sz w:val="24"/>
                <w:szCs w:val="24"/>
                <w:highlight w:val="none"/>
              </w:rPr>
            </w:pPr>
          </w:p>
        </w:tc>
        <w:tc>
          <w:tcPr>
            <w:tcW w:w="1982" w:type="dxa"/>
            <w:tcBorders>
              <w:top w:val="single" w:color="auto" w:sz="4" w:space="0"/>
              <w:left w:val="nil"/>
              <w:bottom w:val="single" w:color="auto" w:sz="4" w:space="0"/>
              <w:right w:val="single" w:color="auto" w:sz="4" w:space="0"/>
            </w:tcBorders>
            <w:vAlign w:val="center"/>
          </w:tcPr>
          <w:p w14:paraId="2EA84CA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报价唯一</w:t>
            </w:r>
          </w:p>
        </w:tc>
        <w:tc>
          <w:tcPr>
            <w:tcW w:w="5430" w:type="dxa"/>
            <w:tcBorders>
              <w:top w:val="single" w:color="auto" w:sz="4" w:space="0"/>
              <w:left w:val="nil"/>
              <w:bottom w:val="single" w:color="auto" w:sz="4" w:space="0"/>
              <w:right w:val="single" w:color="auto" w:sz="4" w:space="0"/>
            </w:tcBorders>
            <w:vAlign w:val="center"/>
          </w:tcPr>
          <w:p w14:paraId="0990A9D0">
            <w:pPr>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只能有一个有效投标报价，且不超过</w:t>
            </w:r>
            <w:r>
              <w:rPr>
                <w:rFonts w:hint="eastAsia" w:ascii="宋体" w:hAnsi="宋体" w:cs="宋体"/>
                <w:color w:val="auto"/>
                <w:sz w:val="24"/>
                <w:szCs w:val="24"/>
                <w:highlight w:val="none"/>
                <w:lang w:eastAsia="zh-CN"/>
              </w:rPr>
              <w:t>最高限价</w:t>
            </w:r>
          </w:p>
        </w:tc>
      </w:tr>
      <w:tr w14:paraId="1B1C0E61">
        <w:trPr>
          <w:trHeight w:val="726" w:hRule="atLeast"/>
        </w:trPr>
        <w:tc>
          <w:tcPr>
            <w:tcW w:w="941" w:type="dxa"/>
            <w:vMerge w:val="restart"/>
            <w:tcBorders>
              <w:top w:val="nil"/>
              <w:left w:val="single" w:color="auto" w:sz="4" w:space="0"/>
              <w:right w:val="single" w:color="auto" w:sz="4" w:space="0"/>
            </w:tcBorders>
            <w:vAlign w:val="center"/>
          </w:tcPr>
          <w:p w14:paraId="6386246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2.1.2</w:t>
            </w:r>
          </w:p>
        </w:tc>
        <w:tc>
          <w:tcPr>
            <w:tcW w:w="745" w:type="dxa"/>
            <w:vMerge w:val="restart"/>
            <w:tcBorders>
              <w:top w:val="nil"/>
              <w:left w:val="nil"/>
              <w:right w:val="single" w:color="auto" w:sz="4" w:space="0"/>
            </w:tcBorders>
            <w:vAlign w:val="center"/>
          </w:tcPr>
          <w:p w14:paraId="2C2F3FF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资格 评审</w:t>
            </w:r>
          </w:p>
          <w:p w14:paraId="2BB5913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标准</w:t>
            </w:r>
          </w:p>
        </w:tc>
        <w:tc>
          <w:tcPr>
            <w:tcW w:w="1982" w:type="dxa"/>
            <w:tcBorders>
              <w:top w:val="single" w:color="auto" w:sz="4" w:space="0"/>
              <w:left w:val="nil"/>
              <w:bottom w:val="single" w:color="auto" w:sz="4" w:space="0"/>
              <w:right w:val="single" w:color="auto" w:sz="4" w:space="0"/>
            </w:tcBorders>
            <w:vAlign w:val="center"/>
          </w:tcPr>
          <w:p w14:paraId="6F90C47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满足《中华人民共和国政府采购法》第二十二条规定</w:t>
            </w:r>
          </w:p>
        </w:tc>
        <w:tc>
          <w:tcPr>
            <w:tcW w:w="5430" w:type="dxa"/>
            <w:tcBorders>
              <w:top w:val="single" w:color="auto" w:sz="4" w:space="0"/>
              <w:left w:val="nil"/>
              <w:bottom w:val="single" w:color="auto" w:sz="4" w:space="0"/>
              <w:right w:val="single" w:color="auto" w:sz="4" w:space="0"/>
            </w:tcBorders>
            <w:vAlign w:val="center"/>
          </w:tcPr>
          <w:p w14:paraId="1FCD1E9C">
            <w:pPr>
              <w:pStyle w:val="26"/>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供应商满足《中华人民共和国政府采购法》第二十二条规定条件（提供承诺书）</w:t>
            </w:r>
          </w:p>
        </w:tc>
      </w:tr>
      <w:tr w14:paraId="6FF6635B">
        <w:trPr>
          <w:trHeight w:val="726" w:hRule="atLeast"/>
        </w:trPr>
        <w:tc>
          <w:tcPr>
            <w:tcW w:w="941" w:type="dxa"/>
            <w:vMerge w:val="continue"/>
            <w:tcBorders>
              <w:left w:val="single" w:color="auto" w:sz="4" w:space="0"/>
              <w:right w:val="single" w:color="auto" w:sz="4" w:space="0"/>
            </w:tcBorders>
            <w:vAlign w:val="center"/>
          </w:tcPr>
          <w:p w14:paraId="2F32EDCF">
            <w:pPr>
              <w:spacing w:line="360" w:lineRule="auto"/>
              <w:jc w:val="center"/>
              <w:rPr>
                <w:rFonts w:hint="eastAsia" w:ascii="宋体" w:hAnsi="宋体" w:cs="宋体"/>
                <w:color w:val="auto"/>
                <w:sz w:val="24"/>
                <w:szCs w:val="24"/>
                <w:highlight w:val="none"/>
              </w:rPr>
            </w:pPr>
          </w:p>
        </w:tc>
        <w:tc>
          <w:tcPr>
            <w:tcW w:w="745" w:type="dxa"/>
            <w:vMerge w:val="continue"/>
            <w:tcBorders>
              <w:left w:val="nil"/>
              <w:right w:val="single" w:color="auto" w:sz="4" w:space="0"/>
            </w:tcBorders>
            <w:vAlign w:val="center"/>
          </w:tcPr>
          <w:p w14:paraId="747F54C0">
            <w:pPr>
              <w:spacing w:line="360" w:lineRule="auto"/>
              <w:jc w:val="center"/>
              <w:rPr>
                <w:rFonts w:hint="eastAsia" w:ascii="宋体" w:hAnsi="宋体" w:cs="宋体"/>
                <w:color w:val="auto"/>
                <w:sz w:val="24"/>
                <w:szCs w:val="24"/>
                <w:highlight w:val="none"/>
              </w:rPr>
            </w:pPr>
          </w:p>
        </w:tc>
        <w:tc>
          <w:tcPr>
            <w:tcW w:w="1982" w:type="dxa"/>
            <w:tcBorders>
              <w:top w:val="single" w:color="auto" w:sz="4" w:space="0"/>
              <w:left w:val="nil"/>
              <w:bottom w:val="single" w:color="auto" w:sz="4" w:space="0"/>
              <w:right w:val="single" w:color="auto" w:sz="4" w:space="0"/>
            </w:tcBorders>
            <w:vAlign w:val="center"/>
          </w:tcPr>
          <w:p w14:paraId="707B84A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营业执照</w:t>
            </w:r>
          </w:p>
        </w:tc>
        <w:tc>
          <w:tcPr>
            <w:tcW w:w="5430" w:type="dxa"/>
            <w:tcBorders>
              <w:top w:val="single" w:color="auto" w:sz="4" w:space="0"/>
              <w:left w:val="nil"/>
              <w:bottom w:val="single" w:color="auto" w:sz="4" w:space="0"/>
              <w:right w:val="single" w:color="auto" w:sz="4" w:space="0"/>
            </w:tcBorders>
            <w:vAlign w:val="center"/>
          </w:tcPr>
          <w:p w14:paraId="79A44549">
            <w:pPr>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供应商须具有合法有效的营业执照</w:t>
            </w:r>
          </w:p>
        </w:tc>
      </w:tr>
      <w:tr w14:paraId="60F4682C">
        <w:trPr>
          <w:trHeight w:val="527" w:hRule="atLeast"/>
        </w:trPr>
        <w:tc>
          <w:tcPr>
            <w:tcW w:w="941" w:type="dxa"/>
            <w:vMerge w:val="continue"/>
            <w:tcBorders>
              <w:left w:val="single" w:color="auto" w:sz="4" w:space="0"/>
              <w:right w:val="single" w:color="auto" w:sz="4" w:space="0"/>
            </w:tcBorders>
            <w:vAlign w:val="center"/>
          </w:tcPr>
          <w:p w14:paraId="0D006278">
            <w:pPr>
              <w:spacing w:line="360" w:lineRule="auto"/>
              <w:jc w:val="center"/>
              <w:rPr>
                <w:rFonts w:hint="eastAsia" w:ascii="宋体" w:hAnsi="宋体" w:cs="宋体"/>
                <w:color w:val="auto"/>
                <w:sz w:val="24"/>
                <w:szCs w:val="24"/>
                <w:highlight w:val="none"/>
              </w:rPr>
            </w:pPr>
          </w:p>
        </w:tc>
        <w:tc>
          <w:tcPr>
            <w:tcW w:w="745" w:type="dxa"/>
            <w:vMerge w:val="continue"/>
            <w:tcBorders>
              <w:left w:val="nil"/>
              <w:right w:val="single" w:color="auto" w:sz="4" w:space="0"/>
            </w:tcBorders>
            <w:vAlign w:val="center"/>
          </w:tcPr>
          <w:p w14:paraId="3D36ED42">
            <w:pPr>
              <w:spacing w:line="360" w:lineRule="auto"/>
              <w:jc w:val="center"/>
              <w:rPr>
                <w:rFonts w:hint="eastAsia" w:ascii="宋体" w:hAnsi="宋体" w:cs="宋体"/>
                <w:color w:val="auto"/>
                <w:sz w:val="24"/>
                <w:szCs w:val="24"/>
                <w:highlight w:val="none"/>
              </w:rPr>
            </w:pPr>
          </w:p>
        </w:tc>
        <w:tc>
          <w:tcPr>
            <w:tcW w:w="1982" w:type="dxa"/>
            <w:tcBorders>
              <w:top w:val="single" w:color="auto" w:sz="4" w:space="0"/>
              <w:left w:val="nil"/>
              <w:bottom w:val="single" w:color="auto" w:sz="4" w:space="0"/>
              <w:right w:val="single" w:color="auto" w:sz="4" w:space="0"/>
            </w:tcBorders>
            <w:vAlign w:val="center"/>
          </w:tcPr>
          <w:p w14:paraId="3243AED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履约能力</w:t>
            </w:r>
          </w:p>
        </w:tc>
        <w:tc>
          <w:tcPr>
            <w:tcW w:w="5430" w:type="dxa"/>
            <w:tcBorders>
              <w:top w:val="single" w:color="auto" w:sz="4" w:space="0"/>
              <w:left w:val="nil"/>
              <w:bottom w:val="single" w:color="auto" w:sz="4" w:space="0"/>
              <w:right w:val="single" w:color="auto" w:sz="4" w:space="0"/>
            </w:tcBorders>
            <w:vAlign w:val="center"/>
          </w:tcPr>
          <w:p w14:paraId="7167DD1B">
            <w:pPr>
              <w:tabs>
                <w:tab w:val="left" w:pos="704"/>
              </w:tabs>
              <w:snapToGrid w:val="0"/>
              <w:spacing w:line="360" w:lineRule="auto"/>
              <w:textAlignment w:val="baseline"/>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具有履行合同所必需的设备和专业技术能力(提供承诺书，格式自拟)</w:t>
            </w:r>
          </w:p>
        </w:tc>
      </w:tr>
      <w:tr w14:paraId="3BB24F98">
        <w:trPr>
          <w:trHeight w:val="837" w:hRule="atLeast"/>
        </w:trPr>
        <w:tc>
          <w:tcPr>
            <w:tcW w:w="941" w:type="dxa"/>
            <w:vMerge w:val="continue"/>
            <w:tcBorders>
              <w:left w:val="single" w:color="auto" w:sz="4" w:space="0"/>
              <w:right w:val="single" w:color="auto" w:sz="4" w:space="0"/>
            </w:tcBorders>
            <w:vAlign w:val="center"/>
          </w:tcPr>
          <w:p w14:paraId="56D40454">
            <w:pPr>
              <w:spacing w:line="360" w:lineRule="auto"/>
              <w:jc w:val="center"/>
              <w:rPr>
                <w:rFonts w:hint="eastAsia" w:ascii="宋体" w:hAnsi="宋体" w:cs="宋体"/>
                <w:color w:val="auto"/>
                <w:sz w:val="24"/>
                <w:szCs w:val="24"/>
                <w:highlight w:val="none"/>
              </w:rPr>
            </w:pPr>
          </w:p>
        </w:tc>
        <w:tc>
          <w:tcPr>
            <w:tcW w:w="745" w:type="dxa"/>
            <w:vMerge w:val="continue"/>
            <w:tcBorders>
              <w:left w:val="nil"/>
              <w:right w:val="single" w:color="auto" w:sz="4" w:space="0"/>
            </w:tcBorders>
            <w:vAlign w:val="center"/>
          </w:tcPr>
          <w:p w14:paraId="4F349A6A">
            <w:pPr>
              <w:spacing w:line="360" w:lineRule="auto"/>
              <w:jc w:val="center"/>
              <w:rPr>
                <w:rFonts w:hint="eastAsia" w:ascii="宋体" w:hAnsi="宋体" w:cs="宋体"/>
                <w:color w:val="auto"/>
                <w:sz w:val="24"/>
                <w:szCs w:val="24"/>
                <w:highlight w:val="none"/>
              </w:rPr>
            </w:pPr>
          </w:p>
        </w:tc>
        <w:tc>
          <w:tcPr>
            <w:tcW w:w="1982" w:type="dxa"/>
            <w:tcBorders>
              <w:top w:val="single" w:color="auto" w:sz="4" w:space="0"/>
              <w:left w:val="nil"/>
              <w:bottom w:val="single" w:color="auto" w:sz="4" w:space="0"/>
              <w:right w:val="single" w:color="auto" w:sz="4" w:space="0"/>
            </w:tcBorders>
            <w:vAlign w:val="center"/>
          </w:tcPr>
          <w:p w14:paraId="3A5196A9">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参加政府采购活动承诺书</w:t>
            </w:r>
          </w:p>
        </w:tc>
        <w:tc>
          <w:tcPr>
            <w:tcW w:w="5430" w:type="dxa"/>
            <w:tcBorders>
              <w:top w:val="single" w:color="auto" w:sz="4" w:space="0"/>
              <w:left w:val="nil"/>
              <w:bottom w:val="single" w:color="auto" w:sz="4" w:space="0"/>
              <w:right w:val="single" w:color="auto" w:sz="4" w:space="0"/>
            </w:tcBorders>
            <w:vAlign w:val="center"/>
          </w:tcPr>
          <w:p w14:paraId="2682B67E">
            <w:pPr>
              <w:tabs>
                <w:tab w:val="left" w:pos="704"/>
              </w:tabs>
              <w:snapToGrid w:val="0"/>
              <w:spacing w:line="360" w:lineRule="auto"/>
              <w:textAlignment w:val="baseline"/>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供应商参加政府采购活动前三年内在经营活动中没有重大违法、违纪行为(提供加盖公章的书面声明，格式自拟)</w:t>
            </w:r>
          </w:p>
        </w:tc>
      </w:tr>
      <w:tr w14:paraId="09AAC2AB">
        <w:trPr>
          <w:trHeight w:val="527" w:hRule="atLeast"/>
        </w:trPr>
        <w:tc>
          <w:tcPr>
            <w:tcW w:w="941" w:type="dxa"/>
            <w:vMerge w:val="continue"/>
            <w:tcBorders>
              <w:left w:val="single" w:color="auto" w:sz="4" w:space="0"/>
              <w:right w:val="single" w:color="auto" w:sz="4" w:space="0"/>
            </w:tcBorders>
            <w:vAlign w:val="center"/>
          </w:tcPr>
          <w:p w14:paraId="6A98B61B">
            <w:pPr>
              <w:spacing w:line="360" w:lineRule="auto"/>
              <w:jc w:val="center"/>
              <w:rPr>
                <w:rFonts w:hint="eastAsia" w:ascii="宋体" w:hAnsi="宋体" w:cs="宋体"/>
                <w:color w:val="auto"/>
                <w:sz w:val="24"/>
                <w:szCs w:val="24"/>
                <w:highlight w:val="none"/>
              </w:rPr>
            </w:pPr>
          </w:p>
        </w:tc>
        <w:tc>
          <w:tcPr>
            <w:tcW w:w="745" w:type="dxa"/>
            <w:vMerge w:val="continue"/>
            <w:tcBorders>
              <w:left w:val="nil"/>
              <w:right w:val="single" w:color="auto" w:sz="4" w:space="0"/>
            </w:tcBorders>
            <w:vAlign w:val="center"/>
          </w:tcPr>
          <w:p w14:paraId="7517B130">
            <w:pPr>
              <w:spacing w:line="360" w:lineRule="auto"/>
              <w:jc w:val="center"/>
              <w:rPr>
                <w:rFonts w:hint="eastAsia" w:ascii="宋体" w:hAnsi="宋体" w:cs="宋体"/>
                <w:color w:val="auto"/>
                <w:sz w:val="24"/>
                <w:szCs w:val="24"/>
                <w:highlight w:val="none"/>
              </w:rPr>
            </w:pPr>
          </w:p>
        </w:tc>
        <w:tc>
          <w:tcPr>
            <w:tcW w:w="1982" w:type="dxa"/>
            <w:tcBorders>
              <w:top w:val="single" w:color="auto" w:sz="4" w:space="0"/>
              <w:left w:val="nil"/>
              <w:bottom w:val="single" w:color="auto" w:sz="4" w:space="0"/>
              <w:right w:val="single" w:color="auto" w:sz="4" w:space="0"/>
            </w:tcBorders>
            <w:vAlign w:val="center"/>
          </w:tcPr>
          <w:p w14:paraId="28F5651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无商业贿赂和不正当竞争行为承诺书</w:t>
            </w:r>
          </w:p>
        </w:tc>
        <w:tc>
          <w:tcPr>
            <w:tcW w:w="5430" w:type="dxa"/>
            <w:tcBorders>
              <w:top w:val="single" w:color="auto" w:sz="4" w:space="0"/>
              <w:left w:val="nil"/>
              <w:bottom w:val="single" w:color="auto" w:sz="4" w:space="0"/>
              <w:right w:val="single" w:color="auto" w:sz="4" w:space="0"/>
            </w:tcBorders>
            <w:vAlign w:val="center"/>
          </w:tcPr>
          <w:p w14:paraId="6933F77F">
            <w:pPr>
              <w:snapToGrid w:val="0"/>
              <w:spacing w:line="360" w:lineRule="auto"/>
              <w:textAlignment w:val="baseline"/>
              <w:rPr>
                <w:rFonts w:hint="eastAsia" w:ascii="宋体" w:hAnsi="宋体" w:eastAsia="宋体" w:cs="宋体"/>
                <w:color w:val="auto"/>
                <w:sz w:val="24"/>
                <w:szCs w:val="24"/>
                <w:highlight w:val="none"/>
                <w:lang w:val="en-US" w:eastAsia="zh-CN" w:bidi="en-US"/>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须出具本企业无商业贿赂和不正当竞争行为承诺</w:t>
            </w:r>
            <w:r>
              <w:rPr>
                <w:rFonts w:hint="eastAsia" w:ascii="宋体" w:hAnsi="宋体" w:cs="宋体"/>
                <w:color w:val="auto"/>
                <w:sz w:val="24"/>
                <w:szCs w:val="24"/>
                <w:highlight w:val="none"/>
                <w:lang w:eastAsia="zh-CN"/>
              </w:rPr>
              <w:t>书</w:t>
            </w:r>
          </w:p>
        </w:tc>
      </w:tr>
      <w:tr w14:paraId="08705665">
        <w:trPr>
          <w:trHeight w:val="527" w:hRule="atLeast"/>
        </w:trPr>
        <w:tc>
          <w:tcPr>
            <w:tcW w:w="941" w:type="dxa"/>
            <w:vMerge w:val="continue"/>
            <w:tcBorders>
              <w:left w:val="single" w:color="auto" w:sz="4" w:space="0"/>
              <w:right w:val="single" w:color="auto" w:sz="4" w:space="0"/>
            </w:tcBorders>
            <w:vAlign w:val="center"/>
          </w:tcPr>
          <w:p w14:paraId="76FAD370">
            <w:pPr>
              <w:spacing w:line="360" w:lineRule="auto"/>
              <w:jc w:val="center"/>
              <w:rPr>
                <w:rFonts w:hint="eastAsia" w:ascii="宋体" w:hAnsi="宋体" w:cs="宋体"/>
                <w:color w:val="auto"/>
                <w:sz w:val="24"/>
                <w:szCs w:val="24"/>
                <w:highlight w:val="none"/>
              </w:rPr>
            </w:pPr>
          </w:p>
        </w:tc>
        <w:tc>
          <w:tcPr>
            <w:tcW w:w="745" w:type="dxa"/>
            <w:vMerge w:val="continue"/>
            <w:tcBorders>
              <w:left w:val="nil"/>
              <w:right w:val="single" w:color="auto" w:sz="4" w:space="0"/>
            </w:tcBorders>
            <w:vAlign w:val="center"/>
          </w:tcPr>
          <w:p w14:paraId="0F8E6E2B">
            <w:pPr>
              <w:spacing w:line="360" w:lineRule="auto"/>
              <w:jc w:val="center"/>
              <w:rPr>
                <w:rFonts w:hint="eastAsia" w:ascii="宋体" w:hAnsi="宋体" w:cs="宋体"/>
                <w:color w:val="auto"/>
                <w:sz w:val="24"/>
                <w:szCs w:val="24"/>
                <w:highlight w:val="none"/>
              </w:rPr>
            </w:pPr>
          </w:p>
        </w:tc>
        <w:tc>
          <w:tcPr>
            <w:tcW w:w="1982" w:type="dxa"/>
            <w:tcBorders>
              <w:top w:val="single" w:color="auto" w:sz="4" w:space="0"/>
              <w:left w:val="nil"/>
              <w:bottom w:val="single" w:color="auto" w:sz="4" w:space="0"/>
              <w:right w:val="single" w:color="auto" w:sz="4" w:space="0"/>
            </w:tcBorders>
            <w:vAlign w:val="center"/>
          </w:tcPr>
          <w:p w14:paraId="6625327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信用查询</w:t>
            </w:r>
          </w:p>
        </w:tc>
        <w:tc>
          <w:tcPr>
            <w:tcW w:w="5430" w:type="dxa"/>
            <w:tcBorders>
              <w:top w:val="single" w:color="auto" w:sz="4" w:space="0"/>
              <w:left w:val="nil"/>
              <w:bottom w:val="single" w:color="auto" w:sz="4" w:space="0"/>
              <w:right w:val="single" w:color="auto" w:sz="4" w:space="0"/>
            </w:tcBorders>
            <w:vAlign w:val="center"/>
          </w:tcPr>
          <w:p w14:paraId="0B507863">
            <w:pPr>
              <w:snapToGrid w:val="0"/>
              <w:spacing w:line="360" w:lineRule="auto"/>
              <w:textAlignment w:val="baseline"/>
              <w:rPr>
                <w:rFonts w:hint="eastAsia" w:ascii="宋体" w:hAnsi="宋体" w:cs="宋体"/>
                <w:color w:val="auto"/>
                <w:sz w:val="24"/>
                <w:szCs w:val="24"/>
                <w:highlight w:val="none"/>
                <w:lang w:val="zh-TW" w:bidi="en-US"/>
              </w:rPr>
            </w:pPr>
            <w:r>
              <w:rPr>
                <w:rFonts w:hint="eastAsia" w:ascii="宋体" w:hAnsi="宋体" w:cs="宋体"/>
                <w:color w:val="auto"/>
                <w:sz w:val="24"/>
                <w:szCs w:val="24"/>
                <w:highlight w:val="none"/>
                <w:lang w:val="zh-TW" w:bidi="en-US"/>
              </w:rPr>
              <w:t>根据《关于在政府采购活动中查询及使用信用记录有关问题的通知》(财库[2016]125号)和豫财购【2016】15号的规定， 对列入失信被执行人、重大税收违法失信主体、政府采购严重违 法失信行为记录名单的供应商，拒绝参与本项目政府采购活动。 【提供信用查询的方法：首先供应商自行提供信用查询结果，附 在投标文件内，查询日期不得早于公告发布日期。采购人或采购 代理机构在开标结束后对“信用中国、中国政府采购网”网上即时查询信用项，采购人或采购代理机构即时查询信用结果作为最终 审查依据】。</w:t>
            </w:r>
          </w:p>
          <w:p w14:paraId="41A9EF70">
            <w:pPr>
              <w:snapToGrid w:val="0"/>
              <w:spacing w:line="360" w:lineRule="auto"/>
              <w:textAlignment w:val="baseline"/>
              <w:rPr>
                <w:rFonts w:hint="eastAsia" w:ascii="宋体" w:hAnsi="宋体" w:cs="宋体"/>
                <w:color w:val="auto"/>
                <w:sz w:val="24"/>
                <w:szCs w:val="24"/>
                <w:highlight w:val="none"/>
                <w:lang w:val="zh-TW" w:bidi="en-US"/>
              </w:rPr>
            </w:pPr>
            <w:r>
              <w:rPr>
                <w:rFonts w:hint="eastAsia" w:ascii="宋体" w:hAnsi="宋体" w:cs="宋体"/>
                <w:color w:val="auto"/>
                <w:sz w:val="24"/>
                <w:szCs w:val="24"/>
                <w:highlight w:val="none"/>
                <w:lang w:val="zh-TW" w:bidi="en-US"/>
              </w:rPr>
              <w:t>【查询渠道：1.“信用中国”网站 (www.creditchina.gov.cn,查询内容为：重大税收违法失信主体)、“中国执行信息公开网” 网站(http://zxgk.court.gov.cn,查询内容为：失信被执行人)2.中国政府采购网(www.ccgp.gov.cn, 查询内容为：政府采购严重违法失信行为记录名单)】</w:t>
            </w:r>
          </w:p>
          <w:p w14:paraId="3C0E3768">
            <w:pPr>
              <w:snapToGrid w:val="0"/>
              <w:spacing w:line="360" w:lineRule="auto"/>
              <w:textAlignment w:val="baseline"/>
              <w:rPr>
                <w:rFonts w:hint="eastAsia" w:ascii="宋体" w:hAnsi="宋体" w:cs="宋体"/>
                <w:color w:val="auto"/>
                <w:sz w:val="24"/>
                <w:szCs w:val="24"/>
                <w:highlight w:val="none"/>
                <w:lang w:bidi="en-US"/>
              </w:rPr>
            </w:pPr>
            <w:r>
              <w:rPr>
                <w:rFonts w:hint="eastAsia" w:ascii="宋体" w:hAnsi="宋体" w:cs="宋体"/>
                <w:color w:val="auto"/>
                <w:sz w:val="24"/>
                <w:szCs w:val="24"/>
                <w:highlight w:val="none"/>
                <w:lang w:val="zh-TW" w:bidi="en-US"/>
              </w:rPr>
              <w:t>提供的网站查询结果截图要显示查询时间，查询时间自本公告发布之日起</w:t>
            </w:r>
          </w:p>
        </w:tc>
      </w:tr>
      <w:tr w14:paraId="36F2DD77">
        <w:trPr>
          <w:trHeight w:val="726" w:hRule="atLeast"/>
        </w:trPr>
        <w:tc>
          <w:tcPr>
            <w:tcW w:w="941" w:type="dxa"/>
            <w:vMerge w:val="continue"/>
            <w:tcBorders>
              <w:left w:val="single" w:color="auto" w:sz="4" w:space="0"/>
              <w:right w:val="single" w:color="auto" w:sz="4" w:space="0"/>
            </w:tcBorders>
            <w:vAlign w:val="center"/>
          </w:tcPr>
          <w:p w14:paraId="58AF0A5A">
            <w:pPr>
              <w:spacing w:line="360" w:lineRule="auto"/>
              <w:jc w:val="center"/>
              <w:rPr>
                <w:rFonts w:hint="eastAsia" w:ascii="宋体" w:hAnsi="宋体" w:cs="宋体"/>
                <w:color w:val="auto"/>
                <w:sz w:val="24"/>
                <w:szCs w:val="24"/>
                <w:highlight w:val="none"/>
              </w:rPr>
            </w:pPr>
          </w:p>
        </w:tc>
        <w:tc>
          <w:tcPr>
            <w:tcW w:w="745" w:type="dxa"/>
            <w:vMerge w:val="continue"/>
            <w:tcBorders>
              <w:left w:val="nil"/>
              <w:right w:val="single" w:color="auto" w:sz="4" w:space="0"/>
            </w:tcBorders>
            <w:vAlign w:val="center"/>
          </w:tcPr>
          <w:p w14:paraId="4E2CF83C">
            <w:pPr>
              <w:spacing w:line="360" w:lineRule="auto"/>
              <w:jc w:val="center"/>
              <w:rPr>
                <w:rFonts w:hint="eastAsia" w:ascii="宋体" w:hAnsi="宋体" w:cs="宋体"/>
                <w:color w:val="auto"/>
                <w:sz w:val="24"/>
                <w:szCs w:val="24"/>
                <w:highlight w:val="none"/>
              </w:rPr>
            </w:pPr>
          </w:p>
        </w:tc>
        <w:tc>
          <w:tcPr>
            <w:tcW w:w="1982" w:type="dxa"/>
            <w:tcBorders>
              <w:top w:val="single" w:color="auto" w:sz="4" w:space="0"/>
              <w:left w:val="nil"/>
              <w:bottom w:val="single" w:color="auto" w:sz="4" w:space="0"/>
              <w:right w:val="single" w:color="auto" w:sz="4" w:space="0"/>
            </w:tcBorders>
            <w:vAlign w:val="center"/>
          </w:tcPr>
          <w:p w14:paraId="2E3BF1F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TW"/>
              </w:rPr>
              <w:t>供应商的单位负责人为同一人或者存在控股、管理关系的不同单位，不得参加同一项目投标</w:t>
            </w:r>
          </w:p>
        </w:tc>
        <w:tc>
          <w:tcPr>
            <w:tcW w:w="5430" w:type="dxa"/>
            <w:tcBorders>
              <w:top w:val="single" w:color="auto" w:sz="4" w:space="0"/>
              <w:left w:val="nil"/>
              <w:bottom w:val="single" w:color="auto" w:sz="4" w:space="0"/>
              <w:right w:val="single" w:color="auto" w:sz="4" w:space="0"/>
            </w:tcBorders>
            <w:vAlign w:val="center"/>
          </w:tcPr>
          <w:p w14:paraId="4CBE2DE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单位负责人为同一人或者存在直接控股、管理关系的不同供应商，不得参加同一合同项下的政府采购活动。提供国家企业信用信息公示系统的企业信用信息公示报告或承诺书(格式自拟)</w:t>
            </w:r>
          </w:p>
        </w:tc>
      </w:tr>
      <w:tr w14:paraId="27341365">
        <w:trPr>
          <w:trHeight w:val="726" w:hRule="atLeast"/>
        </w:trPr>
        <w:tc>
          <w:tcPr>
            <w:tcW w:w="941" w:type="dxa"/>
            <w:vMerge w:val="continue"/>
            <w:tcBorders>
              <w:left w:val="single" w:color="auto" w:sz="4" w:space="0"/>
              <w:right w:val="single" w:color="auto" w:sz="4" w:space="0"/>
            </w:tcBorders>
            <w:vAlign w:val="center"/>
          </w:tcPr>
          <w:p w14:paraId="1E26F812">
            <w:pPr>
              <w:spacing w:line="360" w:lineRule="auto"/>
              <w:jc w:val="center"/>
              <w:rPr>
                <w:rFonts w:hint="eastAsia" w:ascii="宋体" w:hAnsi="宋体" w:cs="宋体"/>
                <w:color w:val="auto"/>
                <w:sz w:val="24"/>
                <w:szCs w:val="24"/>
                <w:highlight w:val="none"/>
              </w:rPr>
            </w:pPr>
          </w:p>
        </w:tc>
        <w:tc>
          <w:tcPr>
            <w:tcW w:w="745" w:type="dxa"/>
            <w:vMerge w:val="continue"/>
            <w:tcBorders>
              <w:left w:val="nil"/>
              <w:right w:val="single" w:color="auto" w:sz="4" w:space="0"/>
            </w:tcBorders>
            <w:vAlign w:val="center"/>
          </w:tcPr>
          <w:p w14:paraId="58079C36">
            <w:pPr>
              <w:spacing w:line="360" w:lineRule="auto"/>
              <w:jc w:val="center"/>
              <w:rPr>
                <w:rFonts w:hint="eastAsia" w:ascii="宋体" w:hAnsi="宋体" w:cs="宋体"/>
                <w:color w:val="auto"/>
                <w:sz w:val="24"/>
                <w:szCs w:val="24"/>
                <w:highlight w:val="none"/>
              </w:rPr>
            </w:pPr>
          </w:p>
        </w:tc>
        <w:tc>
          <w:tcPr>
            <w:tcW w:w="1982" w:type="dxa"/>
            <w:tcBorders>
              <w:top w:val="single" w:color="auto" w:sz="4" w:space="0"/>
              <w:left w:val="nil"/>
              <w:bottom w:val="single" w:color="auto" w:sz="4" w:space="0"/>
              <w:right w:val="single" w:color="auto" w:sz="4" w:space="0"/>
            </w:tcBorders>
            <w:vAlign w:val="center"/>
          </w:tcPr>
          <w:p w14:paraId="37009D0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非联合体投标</w:t>
            </w:r>
          </w:p>
        </w:tc>
        <w:tc>
          <w:tcPr>
            <w:tcW w:w="5430" w:type="dxa"/>
            <w:tcBorders>
              <w:top w:val="single" w:color="auto" w:sz="4" w:space="0"/>
              <w:left w:val="nil"/>
              <w:bottom w:val="single" w:color="auto" w:sz="4" w:space="0"/>
              <w:right w:val="single" w:color="auto" w:sz="4" w:space="0"/>
            </w:tcBorders>
            <w:vAlign w:val="center"/>
          </w:tcPr>
          <w:p w14:paraId="2D9423F4">
            <w:pPr>
              <w:spacing w:line="360" w:lineRule="auto"/>
              <w:rPr>
                <w:rFonts w:hint="eastAsia" w:ascii="宋体" w:hAnsi="宋体" w:eastAsia="宋体" w:cs="宋体"/>
                <w:color w:val="auto"/>
                <w:sz w:val="24"/>
                <w:szCs w:val="24"/>
                <w:highlight w:val="none"/>
                <w:lang w:val="zh-TW" w:eastAsia="zh-CN"/>
              </w:rPr>
            </w:pPr>
            <w:r>
              <w:rPr>
                <w:rFonts w:hint="eastAsia" w:ascii="宋体" w:hAnsi="宋体" w:cs="宋体"/>
                <w:color w:val="auto"/>
                <w:sz w:val="24"/>
                <w:szCs w:val="24"/>
                <w:highlight w:val="none"/>
                <w:lang w:val="zh-TW"/>
              </w:rPr>
              <w:t>不接受联合体投标</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提供承诺书</w:t>
            </w:r>
            <w:r>
              <w:rPr>
                <w:rFonts w:hint="eastAsia" w:ascii="宋体" w:hAnsi="宋体" w:cs="宋体"/>
                <w:color w:val="auto"/>
                <w:sz w:val="24"/>
                <w:szCs w:val="24"/>
                <w:highlight w:val="none"/>
                <w:lang w:val="zh-TW" w:eastAsia="zh-CN"/>
              </w:rPr>
              <w:t>）</w:t>
            </w:r>
          </w:p>
        </w:tc>
      </w:tr>
      <w:tr w14:paraId="56B343D0">
        <w:trPr>
          <w:trHeight w:val="937" w:hRule="atLeast"/>
        </w:trPr>
        <w:tc>
          <w:tcPr>
            <w:tcW w:w="941" w:type="dxa"/>
            <w:vMerge w:val="restart"/>
            <w:tcBorders>
              <w:top w:val="nil"/>
              <w:left w:val="single" w:color="auto" w:sz="4" w:space="0"/>
              <w:bottom w:val="single" w:color="auto" w:sz="4" w:space="0"/>
              <w:right w:val="single" w:color="auto" w:sz="4" w:space="0"/>
            </w:tcBorders>
            <w:vAlign w:val="center"/>
          </w:tcPr>
          <w:p w14:paraId="13D8D5A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2.1.3</w:t>
            </w:r>
          </w:p>
        </w:tc>
        <w:tc>
          <w:tcPr>
            <w:tcW w:w="745" w:type="dxa"/>
            <w:vMerge w:val="restart"/>
            <w:tcBorders>
              <w:top w:val="single" w:color="auto" w:sz="4" w:space="0"/>
              <w:left w:val="nil"/>
              <w:bottom w:val="single" w:color="auto" w:sz="4" w:space="0"/>
              <w:right w:val="single" w:color="auto" w:sz="4" w:space="0"/>
            </w:tcBorders>
            <w:vAlign w:val="center"/>
          </w:tcPr>
          <w:p w14:paraId="0089E20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w:t>
            </w:r>
          </w:p>
          <w:p w14:paraId="44B014E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应</w:t>
            </w:r>
          </w:p>
          <w:p w14:paraId="321DF7B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性</w:t>
            </w:r>
          </w:p>
          <w:p w14:paraId="42B630E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w:t>
            </w:r>
          </w:p>
          <w:p w14:paraId="627FEC6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审</w:t>
            </w:r>
          </w:p>
        </w:tc>
        <w:tc>
          <w:tcPr>
            <w:tcW w:w="1982" w:type="dxa"/>
            <w:tcBorders>
              <w:top w:val="single" w:color="auto" w:sz="4" w:space="0"/>
              <w:left w:val="nil"/>
              <w:bottom w:val="single" w:color="auto" w:sz="4" w:space="0"/>
              <w:right w:val="single" w:color="auto" w:sz="4" w:space="0"/>
            </w:tcBorders>
            <w:vAlign w:val="center"/>
          </w:tcPr>
          <w:p w14:paraId="609E2D39">
            <w:pPr>
              <w:widowControl/>
              <w:autoSpaceDE w:val="0"/>
              <w:autoSpaceDN w:val="0"/>
              <w:adjustRightIn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5430" w:type="dxa"/>
            <w:tcBorders>
              <w:top w:val="single" w:color="auto" w:sz="4" w:space="0"/>
              <w:left w:val="nil"/>
              <w:bottom w:val="single" w:color="auto" w:sz="4" w:space="0"/>
              <w:right w:val="single" w:color="auto" w:sz="4" w:space="0"/>
            </w:tcBorders>
            <w:vAlign w:val="center"/>
          </w:tcPr>
          <w:p w14:paraId="2F39C7D0">
            <w:pPr>
              <w:widowControl/>
              <w:snapToGrid w:val="0"/>
              <w:spacing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投标截止之日起60日历天</w:t>
            </w:r>
          </w:p>
        </w:tc>
      </w:tr>
      <w:tr w14:paraId="1A4F2015">
        <w:trPr>
          <w:trHeight w:val="912" w:hRule="atLeast"/>
        </w:trPr>
        <w:tc>
          <w:tcPr>
            <w:tcW w:w="941" w:type="dxa"/>
            <w:vMerge w:val="continue"/>
            <w:tcBorders>
              <w:top w:val="nil"/>
              <w:left w:val="single" w:color="auto" w:sz="4" w:space="0"/>
              <w:bottom w:val="single" w:color="auto" w:sz="4" w:space="0"/>
              <w:right w:val="single" w:color="auto" w:sz="4" w:space="0"/>
            </w:tcBorders>
            <w:vAlign w:val="center"/>
          </w:tcPr>
          <w:p w14:paraId="363D66D1">
            <w:pPr>
              <w:widowControl/>
              <w:spacing w:line="360" w:lineRule="auto"/>
              <w:jc w:val="left"/>
              <w:rPr>
                <w:rFonts w:hint="eastAsia" w:ascii="宋体" w:hAnsi="宋体" w:cs="宋体"/>
                <w:color w:val="auto"/>
                <w:sz w:val="24"/>
                <w:szCs w:val="24"/>
                <w:highlight w:val="none"/>
              </w:rPr>
            </w:pPr>
          </w:p>
        </w:tc>
        <w:tc>
          <w:tcPr>
            <w:tcW w:w="745" w:type="dxa"/>
            <w:vMerge w:val="continue"/>
            <w:tcBorders>
              <w:top w:val="single" w:color="auto" w:sz="4" w:space="0"/>
              <w:left w:val="nil"/>
              <w:bottom w:val="single" w:color="auto" w:sz="4" w:space="0"/>
              <w:right w:val="single" w:color="auto" w:sz="4" w:space="0"/>
            </w:tcBorders>
            <w:vAlign w:val="center"/>
          </w:tcPr>
          <w:p w14:paraId="6C9E3B1C">
            <w:pPr>
              <w:widowControl/>
              <w:spacing w:line="360" w:lineRule="auto"/>
              <w:jc w:val="left"/>
              <w:rPr>
                <w:rFonts w:hint="eastAsia" w:ascii="宋体" w:hAnsi="宋体" w:cs="宋体"/>
                <w:color w:val="auto"/>
                <w:sz w:val="24"/>
                <w:szCs w:val="24"/>
                <w:highlight w:val="none"/>
              </w:rPr>
            </w:pPr>
          </w:p>
        </w:tc>
        <w:tc>
          <w:tcPr>
            <w:tcW w:w="1982" w:type="dxa"/>
            <w:tcBorders>
              <w:top w:val="single" w:color="auto" w:sz="4" w:space="0"/>
              <w:left w:val="nil"/>
              <w:bottom w:val="single" w:color="auto" w:sz="4" w:space="0"/>
              <w:right w:val="single" w:color="auto" w:sz="4" w:space="0"/>
            </w:tcBorders>
            <w:vAlign w:val="center"/>
          </w:tcPr>
          <w:p w14:paraId="0D4EA38D">
            <w:pPr>
              <w:widowControl/>
              <w:autoSpaceDE w:val="0"/>
              <w:autoSpaceDN w:val="0"/>
              <w:adjustRightIn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服务期限</w:t>
            </w:r>
          </w:p>
        </w:tc>
        <w:tc>
          <w:tcPr>
            <w:tcW w:w="5430" w:type="dxa"/>
            <w:tcBorders>
              <w:top w:val="single" w:color="auto" w:sz="4" w:space="0"/>
              <w:left w:val="nil"/>
              <w:bottom w:val="single" w:color="auto" w:sz="4" w:space="0"/>
              <w:right w:val="single" w:color="auto" w:sz="4" w:space="0"/>
            </w:tcBorders>
            <w:vAlign w:val="center"/>
          </w:tcPr>
          <w:p w14:paraId="1CE50DCD">
            <w:pPr>
              <w:autoSpaceDE w:val="0"/>
              <w:autoSpaceDN w:val="0"/>
              <w:adjustRightInd w:val="0"/>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合同签订后12个月内完成系统开发和项目建设</w:t>
            </w:r>
          </w:p>
        </w:tc>
      </w:tr>
      <w:tr w14:paraId="45F6A10D">
        <w:trPr>
          <w:trHeight w:val="602" w:hRule="atLeast"/>
        </w:trPr>
        <w:tc>
          <w:tcPr>
            <w:tcW w:w="941" w:type="dxa"/>
            <w:vMerge w:val="continue"/>
            <w:tcBorders>
              <w:top w:val="nil"/>
              <w:left w:val="single" w:color="auto" w:sz="4" w:space="0"/>
              <w:bottom w:val="single" w:color="auto" w:sz="4" w:space="0"/>
              <w:right w:val="single" w:color="auto" w:sz="4" w:space="0"/>
            </w:tcBorders>
            <w:vAlign w:val="center"/>
          </w:tcPr>
          <w:p w14:paraId="688E785A">
            <w:pPr>
              <w:widowControl/>
              <w:spacing w:line="360" w:lineRule="auto"/>
              <w:jc w:val="left"/>
              <w:rPr>
                <w:rFonts w:hint="eastAsia" w:ascii="宋体" w:hAnsi="宋体" w:cs="宋体"/>
                <w:color w:val="auto"/>
                <w:sz w:val="24"/>
                <w:szCs w:val="24"/>
                <w:highlight w:val="none"/>
              </w:rPr>
            </w:pPr>
          </w:p>
        </w:tc>
        <w:tc>
          <w:tcPr>
            <w:tcW w:w="745" w:type="dxa"/>
            <w:vMerge w:val="continue"/>
            <w:tcBorders>
              <w:top w:val="single" w:color="auto" w:sz="4" w:space="0"/>
              <w:left w:val="nil"/>
              <w:bottom w:val="single" w:color="auto" w:sz="4" w:space="0"/>
              <w:right w:val="single" w:color="auto" w:sz="4" w:space="0"/>
            </w:tcBorders>
            <w:vAlign w:val="center"/>
          </w:tcPr>
          <w:p w14:paraId="3CAC13C6">
            <w:pPr>
              <w:widowControl/>
              <w:spacing w:line="360" w:lineRule="auto"/>
              <w:jc w:val="left"/>
              <w:rPr>
                <w:rFonts w:hint="eastAsia" w:ascii="宋体" w:hAnsi="宋体" w:cs="宋体"/>
                <w:color w:val="auto"/>
                <w:sz w:val="24"/>
                <w:szCs w:val="24"/>
                <w:highlight w:val="none"/>
              </w:rPr>
            </w:pPr>
          </w:p>
        </w:tc>
        <w:tc>
          <w:tcPr>
            <w:tcW w:w="1982" w:type="dxa"/>
            <w:tcBorders>
              <w:top w:val="single" w:color="auto" w:sz="4" w:space="0"/>
              <w:left w:val="nil"/>
              <w:bottom w:val="single" w:color="auto" w:sz="4" w:space="0"/>
              <w:right w:val="single" w:color="auto" w:sz="4" w:space="0"/>
            </w:tcBorders>
            <w:vAlign w:val="center"/>
          </w:tcPr>
          <w:p w14:paraId="307F6F2B">
            <w:pPr>
              <w:widowControl/>
              <w:autoSpaceDE w:val="0"/>
              <w:autoSpaceDN w:val="0"/>
              <w:adjustRightIn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质量要求</w:t>
            </w:r>
          </w:p>
        </w:tc>
        <w:tc>
          <w:tcPr>
            <w:tcW w:w="5430" w:type="dxa"/>
            <w:tcBorders>
              <w:top w:val="single" w:color="auto" w:sz="4" w:space="0"/>
              <w:left w:val="nil"/>
              <w:bottom w:val="single" w:color="auto" w:sz="4" w:space="0"/>
              <w:right w:val="single" w:color="auto" w:sz="4" w:space="0"/>
            </w:tcBorders>
            <w:vAlign w:val="center"/>
          </w:tcPr>
          <w:p w14:paraId="23D88F1A">
            <w:pPr>
              <w:widowControl/>
              <w:snapToGrid w:val="0"/>
              <w:spacing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合格，符合国家及行业标准，并满足采购人要求。</w:t>
            </w:r>
          </w:p>
        </w:tc>
      </w:tr>
    </w:tbl>
    <w:p w14:paraId="218D49F0">
      <w:pPr>
        <w:spacing w:line="320" w:lineRule="exact"/>
        <w:rPr>
          <w:rFonts w:hint="eastAsia" w:ascii="宋体" w:hAnsi="宋体" w:cs="宋体"/>
          <w:b/>
          <w:bCs/>
          <w:color w:val="auto"/>
          <w:kern w:val="0"/>
          <w:sz w:val="24"/>
          <w:szCs w:val="24"/>
          <w:highlight w:val="none"/>
        </w:rPr>
      </w:pPr>
      <w:r>
        <w:rPr>
          <w:rFonts w:hint="eastAsia" w:ascii="宋体" w:hAnsi="宋体" w:cs="宋体"/>
          <w:b/>
          <w:bCs/>
          <w:color w:val="auto"/>
          <w:sz w:val="28"/>
          <w:szCs w:val="28"/>
          <w:highlight w:val="none"/>
        </w:rPr>
        <w:t>注：</w:t>
      </w:r>
      <w:r>
        <w:rPr>
          <w:rFonts w:hint="eastAsia" w:ascii="宋体" w:hAnsi="宋体" w:cs="宋体"/>
          <w:b/>
          <w:bCs/>
          <w:color w:val="auto"/>
          <w:kern w:val="0"/>
          <w:sz w:val="24"/>
          <w:szCs w:val="24"/>
          <w:highlight w:val="none"/>
        </w:rPr>
        <w:t>以上评审相关原件以投标文件中上传资料为准。开标结束后由采购人</w:t>
      </w:r>
      <w:r>
        <w:rPr>
          <w:rFonts w:hint="eastAsia" w:ascii="宋体" w:hAnsi="宋体" w:cs="宋体"/>
          <w:b/>
          <w:color w:val="auto"/>
          <w:sz w:val="24"/>
          <w:szCs w:val="24"/>
          <w:highlight w:val="none"/>
        </w:rPr>
        <w:t>或者采购代理机构</w:t>
      </w:r>
      <w:r>
        <w:rPr>
          <w:rFonts w:hint="eastAsia" w:ascii="宋体" w:hAnsi="宋体" w:cs="宋体"/>
          <w:b/>
          <w:bCs/>
          <w:color w:val="auto"/>
          <w:kern w:val="0"/>
          <w:sz w:val="24"/>
          <w:szCs w:val="24"/>
          <w:highlight w:val="none"/>
        </w:rPr>
        <w:t>对投标文件中所附资格资料进行核查；</w:t>
      </w:r>
      <w:r>
        <w:rPr>
          <w:rFonts w:hint="eastAsia" w:ascii="宋体" w:hAnsi="宋体" w:cs="宋体"/>
          <w:b/>
          <w:bCs/>
          <w:color w:val="auto"/>
          <w:kern w:val="0"/>
          <w:sz w:val="24"/>
          <w:szCs w:val="24"/>
          <w:highlight w:val="none"/>
          <w:lang w:eastAsia="zh-CN"/>
        </w:rPr>
        <w:t>供应商</w:t>
      </w:r>
      <w:r>
        <w:rPr>
          <w:rFonts w:hint="eastAsia" w:ascii="宋体" w:hAnsi="宋体" w:cs="宋体"/>
          <w:b/>
          <w:bCs/>
          <w:color w:val="auto"/>
          <w:kern w:val="0"/>
          <w:sz w:val="24"/>
          <w:szCs w:val="24"/>
          <w:highlight w:val="none"/>
        </w:rPr>
        <w:t>未按要求上传资料的或上传的资料不符合招标文件要求的均视为资格审查不通过，资格审查不通过的</w:t>
      </w:r>
      <w:r>
        <w:rPr>
          <w:rFonts w:hint="eastAsia" w:ascii="宋体" w:hAnsi="宋体" w:cs="宋体"/>
          <w:b/>
          <w:bCs/>
          <w:color w:val="auto"/>
          <w:kern w:val="0"/>
          <w:sz w:val="24"/>
          <w:szCs w:val="24"/>
          <w:highlight w:val="none"/>
          <w:lang w:eastAsia="zh-CN"/>
        </w:rPr>
        <w:t>供应商</w:t>
      </w:r>
      <w:r>
        <w:rPr>
          <w:rFonts w:hint="eastAsia" w:ascii="宋体" w:hAnsi="宋体" w:cs="宋体"/>
          <w:b/>
          <w:bCs/>
          <w:color w:val="auto"/>
          <w:kern w:val="0"/>
          <w:sz w:val="24"/>
          <w:szCs w:val="24"/>
          <w:highlight w:val="none"/>
        </w:rPr>
        <w:t>按无效投标处理，不再进行下一步的评审。</w:t>
      </w:r>
    </w:p>
    <w:p w14:paraId="445A4A56">
      <w:pPr>
        <w:rPr>
          <w:rFonts w:hint="eastAsia" w:ascii="宋体" w:hAnsi="宋体" w:cs="宋体"/>
          <w:color w:val="auto"/>
          <w:highlight w:val="none"/>
        </w:rPr>
      </w:pPr>
      <w:r>
        <w:rPr>
          <w:rFonts w:hint="eastAsia" w:ascii="宋体" w:hAnsi="宋体" w:cs="宋体"/>
          <w:color w:val="auto"/>
          <w:highlight w:val="none"/>
        </w:rPr>
        <w:br w:type="page"/>
      </w:r>
    </w:p>
    <w:p w14:paraId="0CEBB077">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详细评审表：</w:t>
      </w:r>
      <w:bookmarkEnd w:id="142"/>
      <w:bookmarkEnd w:id="143"/>
    </w:p>
    <w:tbl>
      <w:tblPr>
        <w:tblStyle w:val="2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365"/>
        <w:gridCol w:w="6031"/>
        <w:gridCol w:w="838"/>
      </w:tblGrid>
      <w:tr w14:paraId="368AEA7C">
        <w:trPr>
          <w:trHeight w:val="764" w:hRule="atLeast"/>
          <w:jc w:val="center"/>
        </w:trPr>
        <w:tc>
          <w:tcPr>
            <w:tcW w:w="1263" w:type="dxa"/>
            <w:noWrap w:val="0"/>
            <w:vAlign w:val="center"/>
          </w:tcPr>
          <w:p w14:paraId="39CD1D5D">
            <w:pPr>
              <w:snapToGrid w:val="0"/>
              <w:spacing w:line="44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评分</w:t>
            </w:r>
          </w:p>
          <w:p w14:paraId="5A74BC06">
            <w:pPr>
              <w:snapToGrid w:val="0"/>
              <w:spacing w:line="440" w:lineRule="exact"/>
              <w:jc w:val="center"/>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因素</w:t>
            </w:r>
          </w:p>
        </w:tc>
        <w:tc>
          <w:tcPr>
            <w:tcW w:w="1365" w:type="dxa"/>
            <w:noWrap w:val="0"/>
            <w:vAlign w:val="center"/>
          </w:tcPr>
          <w:p w14:paraId="6B0486A0">
            <w:pPr>
              <w:snapToGrid w:val="0"/>
              <w:spacing w:line="44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评分</w:t>
            </w:r>
          </w:p>
          <w:p w14:paraId="2AA607E1">
            <w:pPr>
              <w:snapToGrid w:val="0"/>
              <w:spacing w:line="440" w:lineRule="exact"/>
              <w:jc w:val="center"/>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内容</w:t>
            </w:r>
          </w:p>
        </w:tc>
        <w:tc>
          <w:tcPr>
            <w:tcW w:w="6031" w:type="dxa"/>
            <w:noWrap w:val="0"/>
            <w:vAlign w:val="center"/>
          </w:tcPr>
          <w:p w14:paraId="15997034">
            <w:pPr>
              <w:snapToGrid w:val="0"/>
              <w:spacing w:line="440" w:lineRule="exact"/>
              <w:jc w:val="center"/>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评分标准</w:t>
            </w:r>
          </w:p>
        </w:tc>
        <w:tc>
          <w:tcPr>
            <w:tcW w:w="838" w:type="dxa"/>
            <w:noWrap w:val="0"/>
            <w:vAlign w:val="center"/>
          </w:tcPr>
          <w:p w14:paraId="052AD416">
            <w:pPr>
              <w:snapToGrid w:val="0"/>
              <w:spacing w:line="440" w:lineRule="exact"/>
              <w:jc w:val="center"/>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分值</w:t>
            </w:r>
          </w:p>
        </w:tc>
      </w:tr>
      <w:tr w14:paraId="47EB4060">
        <w:trPr>
          <w:trHeight w:val="557" w:hRule="atLeast"/>
          <w:jc w:val="center"/>
        </w:trPr>
        <w:tc>
          <w:tcPr>
            <w:tcW w:w="1263" w:type="dxa"/>
            <w:noWrap w:val="0"/>
            <w:vAlign w:val="center"/>
          </w:tcPr>
          <w:p w14:paraId="7E9120AD">
            <w:pPr>
              <w:snapToGrid w:val="0"/>
              <w:spacing w:line="44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投标</w:t>
            </w:r>
          </w:p>
          <w:p w14:paraId="18B240A5">
            <w:pPr>
              <w:snapToGrid w:val="0"/>
              <w:spacing w:line="440" w:lineRule="exact"/>
              <w:jc w:val="center"/>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报价</w:t>
            </w:r>
          </w:p>
          <w:p w14:paraId="2D8D7FD2">
            <w:pPr>
              <w:snapToGrid w:val="0"/>
              <w:spacing w:line="440" w:lineRule="exact"/>
              <w:jc w:val="center"/>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（30分）</w:t>
            </w:r>
          </w:p>
          <w:p w14:paraId="35E7BF8A">
            <w:pPr>
              <w:snapToGrid w:val="0"/>
              <w:spacing w:line="440" w:lineRule="exact"/>
              <w:jc w:val="center"/>
              <w:rPr>
                <w:rFonts w:ascii="宋体" w:hAnsi="宋体" w:eastAsia="宋体"/>
                <w:b w:val="0"/>
                <w:bCs w:val="0"/>
                <w:color w:val="auto"/>
                <w:kern w:val="0"/>
                <w:sz w:val="24"/>
                <w:szCs w:val="24"/>
                <w:highlight w:val="none"/>
              </w:rPr>
            </w:pPr>
          </w:p>
        </w:tc>
        <w:tc>
          <w:tcPr>
            <w:tcW w:w="1365" w:type="dxa"/>
            <w:noWrap w:val="0"/>
            <w:vAlign w:val="center"/>
          </w:tcPr>
          <w:p w14:paraId="6F95E5AB">
            <w:pPr>
              <w:snapToGrid w:val="0"/>
              <w:spacing w:line="440" w:lineRule="exact"/>
              <w:jc w:val="center"/>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投标报价</w:t>
            </w:r>
          </w:p>
          <w:p w14:paraId="6ED05840">
            <w:pPr>
              <w:snapToGrid w:val="0"/>
              <w:spacing w:line="440" w:lineRule="exact"/>
              <w:jc w:val="center"/>
              <w:rPr>
                <w:rFonts w:ascii="宋体" w:hAnsi="宋体" w:eastAsia="宋体"/>
                <w:b w:val="0"/>
                <w:bCs w:val="0"/>
                <w:color w:val="auto"/>
                <w:kern w:val="0"/>
                <w:sz w:val="24"/>
                <w:szCs w:val="24"/>
                <w:highlight w:val="none"/>
              </w:rPr>
            </w:pPr>
          </w:p>
        </w:tc>
        <w:tc>
          <w:tcPr>
            <w:tcW w:w="6031" w:type="dxa"/>
            <w:noWrap w:val="0"/>
            <w:vAlign w:val="center"/>
          </w:tcPr>
          <w:p w14:paraId="7374CA30">
            <w:pPr>
              <w:snapToGrid w:val="0"/>
              <w:ind w:firstLine="480" w:firstLineChars="200"/>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本项目投标价超出最高限价的，采购人不予接受，且投标为无效标。</w:t>
            </w:r>
          </w:p>
          <w:p w14:paraId="738F8480">
            <w:pPr>
              <w:snapToGrid w:val="0"/>
              <w:spacing w:before="156" w:beforeLines="50"/>
              <w:ind w:firstLine="480" w:firstLineChars="200"/>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投标报价得分：价格分采用低价优先法计算，即满足招标文件要求且投标价格最低的投标报价为评标基准价，得30分，其他供应商的价格分按照下列公式计算：报价得分=（评标基准价/投标报价）×30×100%</w:t>
            </w:r>
          </w:p>
          <w:p w14:paraId="4C50A0E3">
            <w:pPr>
              <w:snapToGrid w:val="0"/>
              <w:spacing w:before="156" w:beforeLines="50" w:line="340" w:lineRule="exact"/>
              <w:ind w:firstLine="360" w:firstLineChars="15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7BBDF881">
            <w:pPr>
              <w:snapToGrid w:val="0"/>
              <w:spacing w:before="156" w:beforeLines="50" w:line="340" w:lineRule="exact"/>
              <w:ind w:firstLine="360" w:firstLineChars="150"/>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小型、微型企业使用扣除后价格参与评审。</w:t>
            </w:r>
          </w:p>
          <w:p w14:paraId="316CA6F1">
            <w:pPr>
              <w:ind w:firstLine="240" w:firstLineChars="100"/>
              <w:rPr>
                <w:rFonts w:ascii="宋体" w:hAnsi="宋体" w:eastAsia="宋体"/>
                <w:b w:val="0"/>
                <w:bCs w:val="0"/>
                <w:color w:val="auto"/>
                <w:sz w:val="24"/>
                <w:szCs w:val="24"/>
                <w:highlight w:val="none"/>
              </w:rPr>
            </w:pPr>
            <w:r>
              <w:rPr>
                <w:rFonts w:hint="eastAsia" w:ascii="宋体" w:hAnsi="宋体" w:eastAsia="宋体" w:cs="宋体"/>
                <w:b w:val="0"/>
                <w:bCs w:val="0"/>
                <w:color w:val="auto"/>
                <w:kern w:val="0"/>
                <w:sz w:val="24"/>
                <w:szCs w:val="24"/>
                <w:highlight w:val="none"/>
              </w:rPr>
              <w:t>所投小微企业产品报价=所投小微企业产品报价×（1-20%）</w:t>
            </w:r>
          </w:p>
          <w:p w14:paraId="60410316">
            <w:pPr>
              <w:ind w:firstLine="240" w:firstLineChars="100"/>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 2.根据财政部司法部《关于政府采购支持监狱企业发展有关问题的通知》（财库〔2014〕68号）规定，对于监狱企业视同为小型、微型企业，价格给予20%的扣除。</w:t>
            </w:r>
          </w:p>
          <w:p w14:paraId="77191E79">
            <w:pPr>
              <w:ind w:firstLine="360" w:firstLineChars="150"/>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所投监狱企业产品报价=所投监狱企业产品报价×（1-20%）</w:t>
            </w:r>
          </w:p>
          <w:p w14:paraId="25B230CB">
            <w:pPr>
              <w:ind w:firstLine="360" w:firstLineChars="150"/>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3.根据财政部民政部中国残疾人联合会《关于促进残疾人就业政府采购政策的通知》（财库〔2017〕141号）规定，对于残疾人福利性单位视同为小型、微型企业，价格给予20%的扣除。</w:t>
            </w:r>
          </w:p>
          <w:p w14:paraId="4B7E3AD9">
            <w:pPr>
              <w:ind w:firstLine="360" w:firstLineChars="150"/>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所投残疾人福利性单位企业产品报价=所投残疾人福利性单位企业产品报价×（1-20%）</w:t>
            </w:r>
          </w:p>
          <w:p w14:paraId="4D149105">
            <w:pPr>
              <w:ind w:firstLine="480" w:firstLineChars="200"/>
              <w:rPr>
                <w:rFonts w:hint="eastAsia" w:ascii="Times New Roman" w:hAnsi="Times New Roman" w:eastAsia="宋体"/>
                <w:b w:val="0"/>
                <w:bCs w:val="0"/>
                <w:color w:val="auto"/>
                <w:kern w:val="0"/>
                <w:sz w:val="24"/>
                <w:szCs w:val="24"/>
                <w:highlight w:val="none"/>
              </w:rPr>
            </w:pPr>
            <w:r>
              <w:rPr>
                <w:rFonts w:hint="eastAsia" w:ascii="宋体" w:hAnsi="宋体" w:eastAsia="宋体"/>
                <w:b w:val="0"/>
                <w:bCs w:val="0"/>
                <w:color w:val="auto"/>
                <w:sz w:val="24"/>
                <w:szCs w:val="24"/>
                <w:highlight w:val="none"/>
              </w:rPr>
              <w:t>同一供应商，中小微企业产品、监狱企业产品、残疾人福利性单位产品的价格扣除优惠只享受一次，不得重复享受。</w:t>
            </w:r>
          </w:p>
        </w:tc>
        <w:tc>
          <w:tcPr>
            <w:tcW w:w="838" w:type="dxa"/>
            <w:noWrap w:val="0"/>
            <w:vAlign w:val="center"/>
          </w:tcPr>
          <w:p w14:paraId="2256E6C6">
            <w:pPr>
              <w:snapToGrid w:val="0"/>
              <w:spacing w:line="440" w:lineRule="exact"/>
              <w:jc w:val="center"/>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30分</w:t>
            </w:r>
          </w:p>
        </w:tc>
      </w:tr>
      <w:tr w14:paraId="00776DF3">
        <w:trPr>
          <w:trHeight w:val="983" w:hRule="atLeast"/>
          <w:jc w:val="center"/>
        </w:trPr>
        <w:tc>
          <w:tcPr>
            <w:tcW w:w="1263" w:type="dxa"/>
            <w:vMerge w:val="restart"/>
            <w:noWrap w:val="0"/>
            <w:vAlign w:val="center"/>
          </w:tcPr>
          <w:p w14:paraId="748AF87F">
            <w:pPr>
              <w:snapToGrid w:val="0"/>
              <w:spacing w:line="440" w:lineRule="exact"/>
              <w:jc w:val="center"/>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技术</w:t>
            </w:r>
            <w:r>
              <w:rPr>
                <w:rFonts w:hint="eastAsia" w:ascii="宋体" w:hAnsi="宋体" w:eastAsia="宋体" w:cs="宋体"/>
                <w:b w:val="0"/>
                <w:bCs w:val="0"/>
                <w:color w:val="auto"/>
                <w:sz w:val="24"/>
                <w:szCs w:val="24"/>
                <w:highlight w:val="none"/>
              </w:rPr>
              <w:t>标（</w:t>
            </w:r>
            <w:r>
              <w:rPr>
                <w:rFonts w:ascii="宋体" w:hAnsi="宋体" w:eastAsia="宋体" w:cs="宋体"/>
                <w:b w:val="0"/>
                <w:bCs w:val="0"/>
                <w:color w:val="auto"/>
                <w:sz w:val="24"/>
                <w:szCs w:val="24"/>
                <w:highlight w:val="none"/>
              </w:rPr>
              <w:t>4</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tc>
        <w:tc>
          <w:tcPr>
            <w:tcW w:w="1365" w:type="dxa"/>
            <w:noWrap w:val="0"/>
            <w:vAlign w:val="center"/>
          </w:tcPr>
          <w:p w14:paraId="0638B894">
            <w:pPr>
              <w:spacing w:line="440" w:lineRule="exact"/>
              <w:jc w:val="center"/>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技术指标响应情况</w:t>
            </w:r>
          </w:p>
        </w:tc>
        <w:tc>
          <w:tcPr>
            <w:tcW w:w="6031" w:type="dxa"/>
            <w:noWrap w:val="0"/>
            <w:vAlign w:val="center"/>
          </w:tcPr>
          <w:p w14:paraId="6F22EFB1">
            <w:pPr>
              <w:ind w:firstLine="480" w:firstLineChars="200"/>
              <w:jc w:val="lef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专家根据招标文件要求的技术条款及投标文件中《技术参数偏离表》响应的条款进行打分评审（供应商需提供相关证明材料并标明每条技术参数对应的证明材料页码及条款），所有条款均符合招标文件技术参数与要求，得</w:t>
            </w:r>
            <w:r>
              <w:rPr>
                <w:rFonts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rPr>
              <w:t>0分；</w:t>
            </w:r>
          </w:p>
          <w:p w14:paraId="2B368946">
            <w:pPr>
              <w:ind w:firstLine="500" w:firstLineChars="200"/>
              <w:jc w:val="left"/>
              <w:rPr>
                <w:rFonts w:hint="eastAsia" w:ascii="宋体" w:hAnsi="宋体" w:eastAsia="宋体"/>
                <w:b w:val="0"/>
                <w:bCs w:val="0"/>
                <w:color w:val="auto"/>
                <w:sz w:val="24"/>
                <w:szCs w:val="24"/>
                <w:highlight w:val="none"/>
              </w:rPr>
            </w:pPr>
            <w:r>
              <w:rPr>
                <w:rFonts w:hint="eastAsia" w:ascii="宋体" w:hAnsi="宋体" w:eastAsia="宋体" w:cs="微软雅黑"/>
                <w:b w:val="0"/>
                <w:bCs w:val="0"/>
                <w:color w:val="auto"/>
                <w:spacing w:val="5"/>
                <w:kern w:val="0"/>
                <w:sz w:val="24"/>
                <w:szCs w:val="24"/>
                <w:highlight w:val="none"/>
              </w:rPr>
              <w:t>技术参数</w:t>
            </w:r>
            <w:r>
              <w:rPr>
                <w:rFonts w:hint="eastAsia" w:ascii="宋体" w:hAnsi="宋体" w:eastAsia="宋体"/>
                <w:b w:val="0"/>
                <w:bCs w:val="0"/>
                <w:color w:val="auto"/>
                <w:sz w:val="24"/>
                <w:szCs w:val="24"/>
                <w:highlight w:val="none"/>
              </w:rPr>
              <w:t>不满足招标</w:t>
            </w:r>
            <w:r>
              <w:rPr>
                <w:rFonts w:ascii="宋体" w:hAnsi="宋体" w:eastAsia="宋体"/>
                <w:b w:val="0"/>
                <w:bCs w:val="0"/>
                <w:color w:val="auto"/>
                <w:sz w:val="24"/>
                <w:szCs w:val="24"/>
                <w:highlight w:val="none"/>
              </w:rPr>
              <w:t>文件要求的</w:t>
            </w:r>
            <w:r>
              <w:rPr>
                <w:rFonts w:hint="eastAsia" w:ascii="宋体" w:hAnsi="宋体" w:eastAsia="宋体"/>
                <w:b w:val="0"/>
                <w:bCs w:val="0"/>
                <w:color w:val="auto"/>
                <w:sz w:val="24"/>
                <w:szCs w:val="24"/>
                <w:highlight w:val="none"/>
              </w:rPr>
              <w:t>（负偏离）</w:t>
            </w:r>
            <w:r>
              <w:rPr>
                <w:rFonts w:ascii="宋体" w:hAnsi="宋体" w:eastAsia="宋体"/>
                <w:b w:val="0"/>
                <w:bCs w:val="0"/>
                <w:color w:val="auto"/>
                <w:sz w:val="24"/>
                <w:szCs w:val="24"/>
                <w:highlight w:val="none"/>
              </w:rPr>
              <w:t>,</w:t>
            </w:r>
            <w:r>
              <w:rPr>
                <w:rFonts w:hint="eastAsia" w:ascii="宋体" w:hAnsi="宋体" w:eastAsia="宋体"/>
                <w:b w:val="0"/>
                <w:bCs w:val="0"/>
                <w:color w:val="auto"/>
                <w:sz w:val="24"/>
                <w:szCs w:val="24"/>
                <w:highlight w:val="none"/>
              </w:rPr>
              <w:t>每有一项不满足的在基础分</w:t>
            </w:r>
            <w:r>
              <w:rPr>
                <w:rFonts w:ascii="宋体" w:hAnsi="宋体" w:eastAsia="宋体"/>
                <w:b w:val="0"/>
                <w:bCs w:val="0"/>
                <w:color w:val="auto"/>
                <w:sz w:val="24"/>
                <w:szCs w:val="24"/>
                <w:highlight w:val="none"/>
              </w:rPr>
              <w:t>20</w:t>
            </w:r>
            <w:r>
              <w:rPr>
                <w:rFonts w:hint="eastAsia" w:ascii="宋体" w:hAnsi="宋体" w:eastAsia="宋体"/>
                <w:b w:val="0"/>
                <w:bCs w:val="0"/>
                <w:color w:val="auto"/>
                <w:sz w:val="24"/>
                <w:szCs w:val="24"/>
                <w:highlight w:val="none"/>
              </w:rPr>
              <w:t>分上扣</w:t>
            </w:r>
            <w:r>
              <w:rPr>
                <w:rFonts w:ascii="宋体" w:hAnsi="宋体" w:eastAsia="宋体"/>
                <w:b w:val="0"/>
                <w:bCs w:val="0"/>
                <w:color w:val="auto"/>
                <w:sz w:val="24"/>
                <w:szCs w:val="24"/>
                <w:highlight w:val="none"/>
              </w:rPr>
              <w:t>1</w:t>
            </w:r>
            <w:r>
              <w:rPr>
                <w:rFonts w:hint="eastAsia" w:ascii="宋体" w:hAnsi="宋体" w:eastAsia="宋体"/>
                <w:b w:val="0"/>
                <w:bCs w:val="0"/>
                <w:color w:val="auto"/>
                <w:sz w:val="24"/>
                <w:szCs w:val="24"/>
                <w:highlight w:val="none"/>
              </w:rPr>
              <w:t>分；负偏离参数达到</w:t>
            </w:r>
            <w:r>
              <w:rPr>
                <w:rFonts w:ascii="宋体" w:hAnsi="宋体" w:eastAsia="宋体"/>
                <w:b w:val="0"/>
                <w:bCs w:val="0"/>
                <w:color w:val="auto"/>
                <w:sz w:val="24"/>
                <w:szCs w:val="24"/>
                <w:highlight w:val="none"/>
              </w:rPr>
              <w:t>1</w:t>
            </w:r>
            <w:r>
              <w:rPr>
                <w:rFonts w:hint="eastAsia" w:ascii="宋体" w:hAnsi="宋体" w:eastAsia="宋体"/>
                <w:b w:val="0"/>
                <w:bCs w:val="0"/>
                <w:color w:val="auto"/>
                <w:sz w:val="24"/>
                <w:szCs w:val="24"/>
                <w:highlight w:val="none"/>
              </w:rPr>
              <w:t>0条及以上的本项不得分。</w:t>
            </w:r>
          </w:p>
          <w:p w14:paraId="708EFDC4">
            <w:pPr>
              <w:ind w:firstLine="480" w:firstLineChars="200"/>
              <w:jc w:val="left"/>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注：</w:t>
            </w:r>
            <w:r>
              <w:rPr>
                <w:rFonts w:hint="eastAsia" w:ascii="宋体" w:hAnsi="宋体" w:eastAsia="宋体" w:cs="宋体"/>
                <w:b w:val="0"/>
                <w:bCs w:val="0"/>
                <w:color w:val="auto"/>
                <w:sz w:val="24"/>
                <w:szCs w:val="24"/>
                <w:highlight w:val="none"/>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5BE172AF">
            <w:pPr>
              <w:spacing w:before="156" w:line="440" w:lineRule="exact"/>
              <w:jc w:val="center"/>
              <w:rPr>
                <w:rFonts w:hint="eastAsia"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20</w:t>
            </w:r>
            <w:r>
              <w:rPr>
                <w:rFonts w:hint="eastAsia" w:ascii="宋体" w:hAnsi="宋体" w:eastAsia="宋体" w:cs="宋体"/>
                <w:b w:val="0"/>
                <w:bCs w:val="0"/>
                <w:color w:val="auto"/>
                <w:sz w:val="24"/>
                <w:szCs w:val="24"/>
                <w:highlight w:val="none"/>
              </w:rPr>
              <w:t>分</w:t>
            </w:r>
          </w:p>
        </w:tc>
      </w:tr>
      <w:tr w14:paraId="7FE4C4B8">
        <w:trPr>
          <w:trHeight w:val="983" w:hRule="atLeast"/>
          <w:jc w:val="center"/>
        </w:trPr>
        <w:tc>
          <w:tcPr>
            <w:tcW w:w="1263" w:type="dxa"/>
            <w:vMerge w:val="continue"/>
            <w:noWrap w:val="0"/>
            <w:vAlign w:val="center"/>
          </w:tcPr>
          <w:p w14:paraId="4FFC83EA">
            <w:pPr>
              <w:snapToGrid w:val="0"/>
              <w:spacing w:line="440" w:lineRule="exact"/>
              <w:jc w:val="center"/>
              <w:rPr>
                <w:rFonts w:hint="eastAsia" w:ascii="宋体" w:hAnsi="宋体" w:eastAsia="宋体"/>
                <w:b w:val="0"/>
                <w:bCs w:val="0"/>
                <w:color w:val="auto"/>
                <w:kern w:val="0"/>
                <w:sz w:val="24"/>
                <w:szCs w:val="24"/>
                <w:highlight w:val="none"/>
              </w:rPr>
            </w:pPr>
          </w:p>
        </w:tc>
        <w:tc>
          <w:tcPr>
            <w:tcW w:w="1365" w:type="dxa"/>
            <w:noWrap w:val="0"/>
            <w:vAlign w:val="center"/>
          </w:tcPr>
          <w:p w14:paraId="4CDD4CED">
            <w:pPr>
              <w:snapToGrid w:val="0"/>
              <w:spacing w:line="360" w:lineRule="auto"/>
              <w:jc w:val="center"/>
              <w:rPr>
                <w:rFonts w:hint="eastAsia" w:ascii="宋体" w:hAnsi="宋体" w:eastAsia="宋体"/>
                <w:b w:val="0"/>
                <w:bCs w:val="0"/>
                <w:color w:val="auto"/>
                <w:sz w:val="24"/>
                <w:szCs w:val="24"/>
                <w:highlight w:val="none"/>
              </w:rPr>
            </w:pPr>
            <w:r>
              <w:rPr>
                <w:rFonts w:hint="eastAsia" w:ascii="宋体" w:hAnsi="宋体" w:cs="宋体"/>
                <w:b w:val="0"/>
                <w:bCs w:val="0"/>
                <w:color w:val="auto"/>
                <w:sz w:val="24"/>
                <w:szCs w:val="24"/>
                <w:highlight w:val="none"/>
                <w:lang w:val="en-US" w:eastAsia="zh-CN"/>
              </w:rPr>
              <w:t>六要素自动气象站建设</w:t>
            </w:r>
            <w:r>
              <w:rPr>
                <w:rFonts w:hint="eastAsia" w:ascii="宋体" w:hAnsi="宋体" w:eastAsia="宋体" w:cs="宋体"/>
                <w:b w:val="0"/>
                <w:bCs w:val="0"/>
                <w:color w:val="auto"/>
                <w:sz w:val="24"/>
                <w:szCs w:val="24"/>
                <w:highlight w:val="none"/>
              </w:rPr>
              <w:t>方案</w:t>
            </w:r>
          </w:p>
        </w:tc>
        <w:tc>
          <w:tcPr>
            <w:tcW w:w="6031" w:type="dxa"/>
            <w:noWrap w:val="0"/>
            <w:vAlign w:val="center"/>
          </w:tcPr>
          <w:p w14:paraId="20411553">
            <w:pPr>
              <w:ind w:firstLine="240" w:firstLineChars="100"/>
              <w:jc w:val="left"/>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提供</w:t>
            </w:r>
            <w:r>
              <w:rPr>
                <w:rFonts w:hint="eastAsia" w:ascii="宋体" w:hAnsi="宋体" w:eastAsia="宋体"/>
                <w:b w:val="0"/>
                <w:bCs w:val="0"/>
                <w:color w:val="auto"/>
                <w:sz w:val="24"/>
                <w:szCs w:val="24"/>
                <w:highlight w:val="none"/>
                <w:lang w:val="en-US" w:eastAsia="zh-CN"/>
              </w:rPr>
              <w:t>六要素自动气象站</w:t>
            </w:r>
            <w:r>
              <w:rPr>
                <w:rFonts w:hint="eastAsia" w:ascii="宋体" w:hAnsi="宋体" w:eastAsia="宋体"/>
                <w:b w:val="0"/>
                <w:bCs w:val="0"/>
                <w:color w:val="auto"/>
                <w:sz w:val="24"/>
                <w:szCs w:val="24"/>
                <w:highlight w:val="none"/>
              </w:rPr>
              <w:t xml:space="preserve">建设方案（包含但不限于技术方案、设备布局、各项参数等）  </w:t>
            </w:r>
          </w:p>
          <w:p w14:paraId="0A2E390F">
            <w:pPr>
              <w:ind w:firstLine="240" w:firstLineChars="100"/>
              <w:jc w:val="left"/>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内容详实完整、条理清晰、有可量化的操作措施且切实可行，得 </w:t>
            </w:r>
            <w:r>
              <w:rPr>
                <w:rFonts w:hint="eastAsia" w:ascii="宋体" w:hAnsi="宋体" w:eastAsia="宋体"/>
                <w:b w:val="0"/>
                <w:bCs w:val="0"/>
                <w:color w:val="auto"/>
                <w:sz w:val="24"/>
                <w:szCs w:val="24"/>
                <w:highlight w:val="none"/>
                <w:lang w:val="en-US" w:eastAsia="zh-CN"/>
              </w:rPr>
              <w:t>15</w:t>
            </w:r>
            <w:r>
              <w:rPr>
                <w:rFonts w:hint="eastAsia" w:ascii="宋体" w:hAnsi="宋体" w:eastAsia="宋体"/>
                <w:b w:val="0"/>
                <w:bCs w:val="0"/>
                <w:color w:val="auto"/>
                <w:sz w:val="24"/>
                <w:szCs w:val="24"/>
                <w:highlight w:val="none"/>
              </w:rPr>
              <w:t xml:space="preserve">分； </w:t>
            </w:r>
          </w:p>
          <w:p w14:paraId="5FDA6650">
            <w:pPr>
              <w:ind w:firstLine="240" w:firstLineChars="100"/>
              <w:jc w:val="left"/>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内容比较完整、有可量化的操作措施、可操作性一般，得 </w:t>
            </w:r>
            <w:r>
              <w:rPr>
                <w:rFonts w:hint="eastAsia" w:ascii="宋体" w:hAnsi="宋体" w:eastAsia="宋体"/>
                <w:b w:val="0"/>
                <w:bCs w:val="0"/>
                <w:color w:val="auto"/>
                <w:sz w:val="24"/>
                <w:szCs w:val="24"/>
                <w:highlight w:val="none"/>
                <w:lang w:val="en-US" w:eastAsia="zh-CN"/>
              </w:rPr>
              <w:t>10</w:t>
            </w:r>
            <w:r>
              <w:rPr>
                <w:rFonts w:hint="eastAsia" w:ascii="宋体" w:hAnsi="宋体" w:eastAsia="宋体"/>
                <w:b w:val="0"/>
                <w:bCs w:val="0"/>
                <w:color w:val="auto"/>
                <w:sz w:val="24"/>
                <w:szCs w:val="24"/>
                <w:highlight w:val="none"/>
              </w:rPr>
              <w:t xml:space="preserve"> 分； </w:t>
            </w:r>
          </w:p>
          <w:p w14:paraId="74A9E34C">
            <w:pPr>
              <w:jc w:val="left"/>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内容有明显缺失、不完整，得 </w:t>
            </w:r>
            <w:r>
              <w:rPr>
                <w:rFonts w:hint="eastAsia" w:ascii="宋体" w:hAnsi="宋体" w:eastAsia="宋体"/>
                <w:b w:val="0"/>
                <w:bCs w:val="0"/>
                <w:color w:val="auto"/>
                <w:sz w:val="24"/>
                <w:szCs w:val="24"/>
                <w:highlight w:val="none"/>
                <w:lang w:val="en-US" w:eastAsia="zh-CN"/>
              </w:rPr>
              <w:t>5</w:t>
            </w:r>
            <w:r>
              <w:rPr>
                <w:rFonts w:hint="eastAsia" w:ascii="宋体" w:hAnsi="宋体" w:eastAsia="宋体"/>
                <w:b w:val="0"/>
                <w:bCs w:val="0"/>
                <w:color w:val="auto"/>
                <w:sz w:val="24"/>
                <w:szCs w:val="24"/>
                <w:highlight w:val="none"/>
              </w:rPr>
              <w:t xml:space="preserve">分； </w:t>
            </w:r>
          </w:p>
          <w:p w14:paraId="39706558">
            <w:pPr>
              <w:jc w:val="left"/>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未提供不得分。 </w:t>
            </w:r>
          </w:p>
        </w:tc>
        <w:tc>
          <w:tcPr>
            <w:tcW w:w="838" w:type="dxa"/>
            <w:noWrap w:val="0"/>
            <w:vAlign w:val="center"/>
          </w:tcPr>
          <w:p w14:paraId="3DF2F426">
            <w:pPr>
              <w:spacing w:before="156" w:line="440" w:lineRule="exact"/>
              <w:jc w:val="center"/>
              <w:rPr>
                <w:rFonts w:hint="eastAsia"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277029D2">
        <w:trPr>
          <w:trHeight w:val="699" w:hRule="atLeast"/>
          <w:jc w:val="center"/>
        </w:trPr>
        <w:tc>
          <w:tcPr>
            <w:tcW w:w="1263" w:type="dxa"/>
            <w:vMerge w:val="continue"/>
            <w:noWrap w:val="0"/>
            <w:vAlign w:val="center"/>
          </w:tcPr>
          <w:p w14:paraId="0F2FD2CD">
            <w:pPr>
              <w:snapToGrid w:val="0"/>
              <w:spacing w:line="440" w:lineRule="exact"/>
              <w:jc w:val="center"/>
              <w:rPr>
                <w:rFonts w:hint="eastAsia" w:ascii="宋体" w:hAnsi="宋体" w:eastAsia="宋体"/>
                <w:b w:val="0"/>
                <w:bCs w:val="0"/>
                <w:color w:val="auto"/>
                <w:kern w:val="0"/>
                <w:sz w:val="24"/>
                <w:szCs w:val="24"/>
                <w:highlight w:val="none"/>
              </w:rPr>
            </w:pPr>
          </w:p>
        </w:tc>
        <w:tc>
          <w:tcPr>
            <w:tcW w:w="1365" w:type="dxa"/>
            <w:noWrap w:val="0"/>
            <w:vAlign w:val="center"/>
          </w:tcPr>
          <w:p w14:paraId="27D6ED51">
            <w:pPr>
              <w:spacing w:line="440" w:lineRule="exact"/>
              <w:jc w:val="center"/>
              <w:rPr>
                <w:rFonts w:hint="eastAsia" w:ascii="宋体" w:hAnsi="宋体" w:eastAsia="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城市暴雨公式修编技术方案</w:t>
            </w:r>
          </w:p>
        </w:tc>
        <w:tc>
          <w:tcPr>
            <w:tcW w:w="6031" w:type="dxa"/>
            <w:noWrap w:val="0"/>
            <w:vAlign w:val="center"/>
          </w:tcPr>
          <w:p w14:paraId="12087CBE">
            <w:pPr>
              <w:ind w:firstLine="240" w:firstLineChars="100"/>
              <w:jc w:val="left"/>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rPr>
              <w:t>对</w:t>
            </w:r>
            <w:r>
              <w:rPr>
                <w:rFonts w:hint="eastAsia" w:ascii="宋体" w:hAnsi="宋体" w:eastAsia="宋体"/>
                <w:b w:val="0"/>
                <w:bCs w:val="0"/>
                <w:color w:val="auto"/>
                <w:sz w:val="24"/>
                <w:szCs w:val="24"/>
                <w:highlight w:val="none"/>
                <w:lang w:val="en-US" w:eastAsia="zh-CN"/>
              </w:rPr>
              <w:t>城市暴雨公式修编</w:t>
            </w:r>
            <w:r>
              <w:rPr>
                <w:rFonts w:hint="eastAsia" w:ascii="宋体" w:hAnsi="宋体" w:eastAsia="宋体"/>
                <w:b w:val="0"/>
                <w:bCs w:val="0"/>
                <w:color w:val="auto"/>
                <w:sz w:val="24"/>
                <w:szCs w:val="24"/>
                <w:highlight w:val="none"/>
              </w:rPr>
              <w:t>编写技术方案</w:t>
            </w:r>
            <w:r>
              <w:rPr>
                <w:rFonts w:hint="eastAsia" w:ascii="宋体" w:hAnsi="宋体" w:eastAsia="宋体"/>
                <w:b w:val="0"/>
                <w:bCs w:val="0"/>
                <w:color w:val="auto"/>
                <w:sz w:val="24"/>
                <w:szCs w:val="24"/>
                <w:highlight w:val="none"/>
                <w:lang w:val="en-US" w:eastAsia="zh-CN"/>
              </w:rPr>
              <w:t>；</w:t>
            </w:r>
          </w:p>
          <w:p w14:paraId="5F6EFDB7">
            <w:pPr>
              <w:ind w:firstLine="240" w:firstLineChars="100"/>
              <w:jc w:val="left"/>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功能需求分析、详细设计、关键技术问题方案、实施方案。措施或方案阐述，有详尽的说明文件，包括技术手段的具体实现方式，并结合了本项目的具体采购需求，不是笼统地表达，完全满足本次采购需求的得</w:t>
            </w:r>
            <w:r>
              <w:rPr>
                <w:rFonts w:hint="eastAsia" w:ascii="宋体" w:hAnsi="宋体" w:eastAsia="宋体"/>
                <w:b w:val="0"/>
                <w:bCs w:val="0"/>
                <w:color w:val="auto"/>
                <w:sz w:val="24"/>
                <w:szCs w:val="24"/>
                <w:highlight w:val="none"/>
                <w:lang w:val="en-US" w:eastAsia="zh-CN"/>
              </w:rPr>
              <w:t>7</w:t>
            </w:r>
            <w:r>
              <w:rPr>
                <w:rFonts w:hint="eastAsia" w:ascii="宋体" w:hAnsi="宋体" w:eastAsia="宋体"/>
                <w:b w:val="0"/>
                <w:bCs w:val="0"/>
                <w:color w:val="auto"/>
                <w:sz w:val="24"/>
                <w:szCs w:val="24"/>
                <w:highlight w:val="none"/>
              </w:rPr>
              <w:t>分。</w:t>
            </w:r>
          </w:p>
          <w:p w14:paraId="09B0177A">
            <w:pPr>
              <w:ind w:firstLine="240" w:firstLineChars="100"/>
              <w:jc w:val="left"/>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功能需求分析、详细设计、关键技术问题方案、实施方案。措施或方案阐述笼统、模糊。对于说明，有说明文件，但实现手段描述不够全面详细。措施各方面安排较差、均为通用性的说明、不具有实践实施性，不完全满足本次采购需求，有少部分方面需要进一步完善甚至重新考虑得</w:t>
            </w:r>
            <w:r>
              <w:rPr>
                <w:rFonts w:hint="eastAsia" w:ascii="宋体" w:hAnsi="宋体" w:eastAsia="宋体"/>
                <w:b w:val="0"/>
                <w:bCs w:val="0"/>
                <w:color w:val="auto"/>
                <w:sz w:val="24"/>
                <w:szCs w:val="24"/>
                <w:highlight w:val="none"/>
                <w:lang w:val="en-US" w:eastAsia="zh-CN"/>
              </w:rPr>
              <w:t>5</w:t>
            </w:r>
            <w:r>
              <w:rPr>
                <w:rFonts w:hint="eastAsia" w:ascii="宋体" w:hAnsi="宋体" w:eastAsia="宋体"/>
                <w:b w:val="0"/>
                <w:bCs w:val="0"/>
                <w:color w:val="auto"/>
                <w:sz w:val="24"/>
                <w:szCs w:val="24"/>
                <w:highlight w:val="none"/>
              </w:rPr>
              <w:t>分。</w:t>
            </w:r>
          </w:p>
          <w:p w14:paraId="67A0641D">
            <w:pPr>
              <w:ind w:firstLine="240" w:firstLineChars="100"/>
              <w:jc w:val="left"/>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功能需求分析、详细设计、关键技术问题方案、实施方案。措施或方案阐述简单，无说明文件，不利于本项目采购需求的实施，不完全满足本次采购需求，有多部分方面需要进一步完善甚至重新考虑得</w:t>
            </w:r>
            <w:r>
              <w:rPr>
                <w:rFonts w:hint="eastAsia" w:ascii="宋体" w:hAnsi="宋体" w:eastAsia="宋体"/>
                <w:b w:val="0"/>
                <w:bCs w:val="0"/>
                <w:color w:val="auto"/>
                <w:sz w:val="24"/>
                <w:szCs w:val="24"/>
                <w:highlight w:val="none"/>
                <w:lang w:val="en-US" w:eastAsia="zh-CN"/>
              </w:rPr>
              <w:t>2</w:t>
            </w:r>
            <w:r>
              <w:rPr>
                <w:rFonts w:hint="eastAsia" w:ascii="宋体" w:hAnsi="宋体" w:eastAsia="宋体"/>
                <w:b w:val="0"/>
                <w:bCs w:val="0"/>
                <w:color w:val="auto"/>
                <w:sz w:val="24"/>
                <w:szCs w:val="24"/>
                <w:highlight w:val="none"/>
              </w:rPr>
              <w:t>分。</w:t>
            </w:r>
          </w:p>
          <w:p w14:paraId="3BC41105">
            <w:pPr>
              <w:ind w:firstLine="480" w:firstLineChars="200"/>
              <w:jc w:val="left"/>
              <w:rPr>
                <w:rFonts w:hint="eastAsia" w:ascii="Times New Roman" w:hAnsi="Times New Roman" w:eastAsia="宋体"/>
                <w:b w:val="0"/>
                <w:bCs w:val="0"/>
                <w:color w:val="auto"/>
                <w:sz w:val="24"/>
                <w:szCs w:val="24"/>
                <w:highlight w:val="none"/>
              </w:rPr>
            </w:pPr>
            <w:r>
              <w:rPr>
                <w:rFonts w:hint="eastAsia" w:ascii="宋体" w:hAnsi="宋体" w:eastAsia="宋体"/>
                <w:b w:val="0"/>
                <w:bCs w:val="0"/>
                <w:color w:val="auto"/>
                <w:sz w:val="24"/>
                <w:szCs w:val="24"/>
                <w:highlight w:val="none"/>
              </w:rPr>
              <w:t>未提供不得分。</w:t>
            </w:r>
          </w:p>
        </w:tc>
        <w:tc>
          <w:tcPr>
            <w:tcW w:w="838" w:type="dxa"/>
            <w:noWrap w:val="0"/>
            <w:vAlign w:val="center"/>
          </w:tcPr>
          <w:p w14:paraId="7CF026B2">
            <w:pPr>
              <w:spacing w:before="156" w:line="440" w:lineRule="exact"/>
              <w:jc w:val="center"/>
              <w:rPr>
                <w:rFonts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w:t>
            </w:r>
          </w:p>
        </w:tc>
      </w:tr>
      <w:tr w14:paraId="664B4F4A">
        <w:trPr>
          <w:trHeight w:val="90" w:hRule="atLeast"/>
          <w:jc w:val="center"/>
        </w:trPr>
        <w:tc>
          <w:tcPr>
            <w:tcW w:w="1263" w:type="dxa"/>
            <w:vMerge w:val="restart"/>
            <w:noWrap w:val="0"/>
            <w:vAlign w:val="center"/>
          </w:tcPr>
          <w:p w14:paraId="59231724">
            <w:pPr>
              <w:snapToGrid w:val="0"/>
              <w:spacing w:line="440" w:lineRule="exact"/>
              <w:jc w:val="center"/>
              <w:rPr>
                <w:rFonts w:hint="eastAsia" w:ascii="宋体" w:hAnsi="宋体" w:eastAsia="宋体"/>
                <w:b w:val="0"/>
                <w:bCs w:val="0"/>
                <w:color w:val="auto"/>
                <w:kern w:val="0"/>
                <w:sz w:val="24"/>
                <w:szCs w:val="24"/>
                <w:highlight w:val="none"/>
              </w:rPr>
            </w:pPr>
            <w:bookmarkStart w:id="144" w:name="_Hlk136873109"/>
            <w:r>
              <w:rPr>
                <w:rFonts w:hint="eastAsia" w:ascii="宋体" w:hAnsi="宋体" w:eastAsia="宋体"/>
                <w:b w:val="0"/>
                <w:bCs w:val="0"/>
                <w:color w:val="auto"/>
                <w:kern w:val="0"/>
                <w:sz w:val="24"/>
                <w:szCs w:val="24"/>
                <w:highlight w:val="none"/>
              </w:rPr>
              <w:t>综合标（</w:t>
            </w:r>
            <w:r>
              <w:rPr>
                <w:rFonts w:hint="eastAsia" w:ascii="宋体" w:hAnsi="宋体"/>
                <w:b w:val="0"/>
                <w:bCs w:val="0"/>
                <w:color w:val="auto"/>
                <w:kern w:val="0"/>
                <w:sz w:val="24"/>
                <w:szCs w:val="24"/>
                <w:highlight w:val="none"/>
                <w:lang w:val="en-US" w:eastAsia="zh-CN"/>
              </w:rPr>
              <w:t>28</w:t>
            </w:r>
            <w:r>
              <w:rPr>
                <w:rFonts w:hint="eastAsia" w:ascii="宋体" w:hAnsi="宋体" w:eastAsia="宋体"/>
                <w:b w:val="0"/>
                <w:bCs w:val="0"/>
                <w:color w:val="auto"/>
                <w:kern w:val="0"/>
                <w:sz w:val="24"/>
                <w:szCs w:val="24"/>
                <w:highlight w:val="none"/>
              </w:rPr>
              <w:t>分）</w:t>
            </w:r>
          </w:p>
        </w:tc>
        <w:tc>
          <w:tcPr>
            <w:tcW w:w="1365" w:type="dxa"/>
            <w:noWrap w:val="0"/>
            <w:vAlign w:val="center"/>
          </w:tcPr>
          <w:p w14:paraId="6B23F046">
            <w:pPr>
              <w:spacing w:line="440" w:lineRule="exact"/>
              <w:jc w:val="center"/>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企业业绩</w:t>
            </w:r>
          </w:p>
        </w:tc>
        <w:tc>
          <w:tcPr>
            <w:tcW w:w="6031" w:type="dxa"/>
            <w:noWrap w:val="0"/>
            <w:vAlign w:val="center"/>
          </w:tcPr>
          <w:p w14:paraId="3EF1918B">
            <w:pPr>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供应商自2022年1月1日以来（以合同签订时间为准）有投标产品同类业绩（气象类软件研发、气象设备或装备类供货），每提供一项得2分，最多得8分。（提供合同协议书。投标文件</w:t>
            </w:r>
            <w:r>
              <w:rPr>
                <w:rFonts w:hint="eastAsia" w:ascii="宋体" w:hAnsi="宋体" w:cs="宋体"/>
                <w:b w:val="0"/>
                <w:bCs w:val="0"/>
                <w:color w:val="auto"/>
                <w:sz w:val="24"/>
                <w:szCs w:val="24"/>
                <w:highlight w:val="none"/>
                <w:lang w:val="en-US" w:eastAsia="zh-CN"/>
              </w:rPr>
              <w:t>内</w:t>
            </w:r>
            <w:r>
              <w:rPr>
                <w:rFonts w:hint="eastAsia" w:ascii="宋体" w:hAnsi="宋体" w:eastAsia="宋体" w:cs="宋体"/>
                <w:b w:val="0"/>
                <w:bCs w:val="0"/>
                <w:color w:val="auto"/>
                <w:sz w:val="24"/>
                <w:szCs w:val="24"/>
                <w:highlight w:val="none"/>
              </w:rPr>
              <w:t>附扫描件。</w:t>
            </w:r>
          </w:p>
        </w:tc>
        <w:tc>
          <w:tcPr>
            <w:tcW w:w="838" w:type="dxa"/>
            <w:noWrap w:val="0"/>
            <w:vAlign w:val="center"/>
          </w:tcPr>
          <w:p w14:paraId="0490BA9C">
            <w:pPr>
              <w:spacing w:line="440" w:lineRule="exact"/>
              <w:jc w:val="center"/>
              <w:rPr>
                <w:rFonts w:hint="eastAsia" w:ascii="宋体" w:hAnsi="宋体" w:eastAsia="宋体"/>
                <w:b w:val="0"/>
                <w:bCs w:val="0"/>
                <w:color w:val="auto"/>
                <w:sz w:val="24"/>
                <w:szCs w:val="24"/>
                <w:highlight w:val="none"/>
              </w:rPr>
            </w:pPr>
            <w:r>
              <w:rPr>
                <w:rFonts w:hint="eastAsia" w:ascii="宋体" w:hAnsi="宋体"/>
                <w:b w:val="0"/>
                <w:bCs w:val="0"/>
                <w:color w:val="auto"/>
                <w:sz w:val="24"/>
                <w:szCs w:val="24"/>
                <w:highlight w:val="none"/>
                <w:lang w:val="en-US" w:eastAsia="zh-CN"/>
              </w:rPr>
              <w:t>8</w:t>
            </w:r>
            <w:r>
              <w:rPr>
                <w:rFonts w:hint="eastAsia" w:ascii="宋体" w:hAnsi="宋体" w:eastAsia="宋体"/>
                <w:b w:val="0"/>
                <w:bCs w:val="0"/>
                <w:color w:val="auto"/>
                <w:sz w:val="24"/>
                <w:szCs w:val="24"/>
                <w:highlight w:val="none"/>
              </w:rPr>
              <w:t>分</w:t>
            </w:r>
          </w:p>
        </w:tc>
      </w:tr>
      <w:tr w14:paraId="2141A8AC">
        <w:trPr>
          <w:trHeight w:val="417" w:hRule="atLeast"/>
          <w:jc w:val="center"/>
        </w:trPr>
        <w:tc>
          <w:tcPr>
            <w:tcW w:w="1263" w:type="dxa"/>
            <w:vMerge w:val="continue"/>
            <w:noWrap w:val="0"/>
            <w:vAlign w:val="center"/>
          </w:tcPr>
          <w:p w14:paraId="32EC7139">
            <w:pPr>
              <w:snapToGrid w:val="0"/>
              <w:spacing w:line="440" w:lineRule="exact"/>
              <w:jc w:val="center"/>
              <w:rPr>
                <w:rFonts w:hint="eastAsia" w:ascii="宋体" w:hAnsi="宋体" w:eastAsia="宋体"/>
                <w:b w:val="0"/>
                <w:bCs w:val="0"/>
                <w:color w:val="auto"/>
                <w:kern w:val="0"/>
                <w:sz w:val="24"/>
                <w:szCs w:val="24"/>
                <w:highlight w:val="none"/>
              </w:rPr>
            </w:pPr>
          </w:p>
        </w:tc>
        <w:tc>
          <w:tcPr>
            <w:tcW w:w="1365" w:type="dxa"/>
            <w:noWrap w:val="0"/>
            <w:vAlign w:val="center"/>
          </w:tcPr>
          <w:p w14:paraId="70C0B50C">
            <w:pPr>
              <w:spacing w:before="156"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履约承诺</w:t>
            </w:r>
          </w:p>
        </w:tc>
        <w:tc>
          <w:tcPr>
            <w:tcW w:w="6031" w:type="dxa"/>
            <w:noWrap w:val="0"/>
            <w:vAlign w:val="center"/>
          </w:tcPr>
          <w:p w14:paraId="29677445">
            <w:pPr>
              <w:numPr>
                <w:ilvl w:val="0"/>
                <w:numId w:val="2"/>
              </w:numPr>
              <w:spacing w:line="400" w:lineRule="exact"/>
              <w:rPr>
                <w:rFonts w:hint="eastAsia"/>
                <w:b w:val="0"/>
                <w:bCs w:val="0"/>
                <w:color w:val="auto"/>
                <w:sz w:val="24"/>
                <w:szCs w:val="24"/>
                <w:highlight w:val="none"/>
                <w:lang w:val="zh-CN"/>
              </w:rPr>
            </w:pPr>
            <w:r>
              <w:rPr>
                <w:rFonts w:hint="eastAsia"/>
                <w:b w:val="0"/>
                <w:bCs w:val="0"/>
                <w:color w:val="auto"/>
                <w:sz w:val="24"/>
                <w:szCs w:val="24"/>
                <w:highlight w:val="none"/>
                <w:lang w:val="en-US" w:eastAsia="zh-CN"/>
              </w:rPr>
              <w:t>承诺</w:t>
            </w:r>
            <w:r>
              <w:rPr>
                <w:rFonts w:hint="eastAsia"/>
                <w:b w:val="0"/>
                <w:bCs w:val="0"/>
                <w:color w:val="auto"/>
                <w:sz w:val="24"/>
                <w:szCs w:val="24"/>
                <w:highlight w:val="none"/>
              </w:rPr>
              <w:t>软件开发期间</w:t>
            </w:r>
            <w:r>
              <w:rPr>
                <w:rFonts w:hint="eastAsia"/>
                <w:b w:val="0"/>
                <w:bCs w:val="0"/>
                <w:color w:val="auto"/>
                <w:sz w:val="24"/>
                <w:szCs w:val="24"/>
                <w:highlight w:val="none"/>
                <w:lang w:val="zh-CN"/>
              </w:rPr>
              <w:t>投标人需在现场配备软件开发人员两名，现场开发人员必须在投标人单位工作</w:t>
            </w:r>
            <w:r>
              <w:rPr>
                <w:rFonts w:hint="eastAsia"/>
                <w:b w:val="0"/>
                <w:bCs w:val="0"/>
                <w:color w:val="auto"/>
                <w:sz w:val="24"/>
                <w:szCs w:val="24"/>
                <w:highlight w:val="none"/>
              </w:rPr>
              <w:t>（格式自拟）相关人员须提供本单位缴纳的社保证明</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4分</w:t>
            </w:r>
            <w:r>
              <w:rPr>
                <w:rFonts w:hint="eastAsia"/>
                <w:b w:val="0"/>
                <w:bCs w:val="0"/>
                <w:color w:val="auto"/>
                <w:sz w:val="24"/>
                <w:szCs w:val="24"/>
                <w:highlight w:val="none"/>
                <w:lang w:eastAsia="zh-CN"/>
              </w:rPr>
              <w:t>）</w:t>
            </w:r>
          </w:p>
          <w:p w14:paraId="5AF25B0F">
            <w:pPr>
              <w:numPr>
                <w:ilvl w:val="0"/>
                <w:numId w:val="2"/>
              </w:numPr>
              <w:spacing w:line="400" w:lineRule="exact"/>
              <w:rPr>
                <w:rFonts w:hint="default"/>
                <w:lang w:val="en-US"/>
              </w:rPr>
            </w:pPr>
            <w:r>
              <w:rPr>
                <w:rFonts w:hint="eastAsia"/>
                <w:b w:val="0"/>
                <w:bCs w:val="0"/>
                <w:color w:val="auto"/>
                <w:sz w:val="24"/>
                <w:szCs w:val="24"/>
                <w:highlight w:val="none"/>
              </w:rPr>
              <w:t>质保</w:t>
            </w:r>
            <w:r>
              <w:rPr>
                <w:rFonts w:hint="eastAsia"/>
                <w:b w:val="0"/>
                <w:bCs w:val="0"/>
                <w:color w:val="auto"/>
                <w:sz w:val="24"/>
                <w:szCs w:val="24"/>
                <w:highlight w:val="none"/>
                <w:lang w:val="zh-CN"/>
              </w:rPr>
              <w:t>期内现场配置</w:t>
            </w:r>
            <w:r>
              <w:rPr>
                <w:rFonts w:hint="eastAsia"/>
                <w:b w:val="0"/>
                <w:bCs w:val="0"/>
                <w:color w:val="auto"/>
                <w:sz w:val="24"/>
                <w:szCs w:val="24"/>
                <w:highlight w:val="none"/>
              </w:rPr>
              <w:t>两</w:t>
            </w:r>
            <w:r>
              <w:rPr>
                <w:rFonts w:hint="eastAsia"/>
                <w:b w:val="0"/>
                <w:bCs w:val="0"/>
                <w:color w:val="auto"/>
                <w:sz w:val="24"/>
                <w:szCs w:val="24"/>
                <w:highlight w:val="none"/>
                <w:lang w:val="zh-CN"/>
              </w:rPr>
              <w:t>名本公司维护人员，</w:t>
            </w:r>
            <w:r>
              <w:rPr>
                <w:rFonts w:hint="eastAsia"/>
                <w:b w:val="0"/>
                <w:bCs w:val="0"/>
                <w:color w:val="auto"/>
                <w:sz w:val="24"/>
                <w:szCs w:val="24"/>
                <w:highlight w:val="none"/>
              </w:rPr>
              <w:t>投标人提供派驻人员承诺函（格式自拟）相关人员须提供本单位缴纳的社保证明</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4分</w:t>
            </w:r>
            <w:r>
              <w:rPr>
                <w:rFonts w:hint="eastAsia"/>
                <w:b w:val="0"/>
                <w:bCs w:val="0"/>
                <w:color w:val="auto"/>
                <w:sz w:val="24"/>
                <w:szCs w:val="24"/>
                <w:highlight w:val="none"/>
                <w:lang w:eastAsia="zh-CN"/>
              </w:rPr>
              <w:t>）</w:t>
            </w:r>
          </w:p>
          <w:p w14:paraId="3A0E8986">
            <w:pPr>
              <w:numPr>
                <w:ilvl w:val="0"/>
                <w:numId w:val="0"/>
              </w:numPr>
              <w:spacing w:line="400" w:lineRule="exact"/>
              <w:rPr>
                <w:rFonts w:hint="default"/>
                <w:b w:val="0"/>
                <w:bCs w:val="0"/>
                <w:color w:val="auto"/>
                <w:sz w:val="24"/>
                <w:szCs w:val="24"/>
                <w:highlight w:val="none"/>
                <w:lang w:val="en-US"/>
              </w:rPr>
            </w:pPr>
            <w:r>
              <w:rPr>
                <w:rFonts w:hint="eastAsia"/>
                <w:b w:val="0"/>
                <w:bCs w:val="0"/>
                <w:color w:val="auto"/>
                <w:sz w:val="24"/>
                <w:szCs w:val="24"/>
                <w:highlight w:val="none"/>
                <w:lang w:val="en-US" w:eastAsia="zh-CN"/>
              </w:rPr>
              <w:t>未提供承诺不得分。</w:t>
            </w:r>
            <w:bookmarkStart w:id="167" w:name="_GoBack"/>
            <w:bookmarkEnd w:id="167"/>
          </w:p>
        </w:tc>
        <w:tc>
          <w:tcPr>
            <w:tcW w:w="838" w:type="dxa"/>
            <w:noWrap w:val="0"/>
            <w:vAlign w:val="center"/>
          </w:tcPr>
          <w:p w14:paraId="47EE215A">
            <w:pPr>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8分</w:t>
            </w:r>
          </w:p>
        </w:tc>
      </w:tr>
      <w:tr w14:paraId="29B7E4C0">
        <w:trPr>
          <w:trHeight w:val="330" w:hRule="atLeast"/>
          <w:jc w:val="center"/>
        </w:trPr>
        <w:tc>
          <w:tcPr>
            <w:tcW w:w="1263" w:type="dxa"/>
            <w:vMerge w:val="continue"/>
            <w:noWrap w:val="0"/>
            <w:vAlign w:val="center"/>
          </w:tcPr>
          <w:p w14:paraId="360B3B33">
            <w:pPr>
              <w:snapToGrid w:val="0"/>
              <w:spacing w:line="440" w:lineRule="exact"/>
              <w:jc w:val="center"/>
              <w:rPr>
                <w:rFonts w:hint="eastAsia" w:ascii="宋体" w:hAnsi="宋体" w:eastAsia="宋体"/>
                <w:b w:val="0"/>
                <w:bCs w:val="0"/>
                <w:color w:val="auto"/>
                <w:kern w:val="0"/>
                <w:sz w:val="24"/>
                <w:szCs w:val="24"/>
                <w:highlight w:val="none"/>
              </w:rPr>
            </w:pPr>
          </w:p>
        </w:tc>
        <w:tc>
          <w:tcPr>
            <w:tcW w:w="1365" w:type="dxa"/>
            <w:noWrap w:val="0"/>
            <w:vAlign w:val="center"/>
          </w:tcPr>
          <w:p w14:paraId="1469DFC8">
            <w:pPr>
              <w:spacing w:line="400" w:lineRule="exac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六要素自动气象站、单雨量站、自动土壤水分观测仪的技术指导与培训</w:t>
            </w:r>
          </w:p>
        </w:tc>
        <w:tc>
          <w:tcPr>
            <w:tcW w:w="6031" w:type="dxa"/>
            <w:noWrap w:val="0"/>
            <w:vAlign w:val="center"/>
          </w:tcPr>
          <w:p w14:paraId="0B28988A">
            <w:pPr>
              <w:spacing w:line="400" w:lineRule="exact"/>
              <w:rPr>
                <w:rFonts w:hint="eastAsia" w:ascii="Times New Roman" w:hAnsi="Times New Roman" w:eastAsia="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依据各投标人提供的技术指导、培训计划、培训方法、培训内容（包括系统组成、仪器原理、操作方法、故障 判定、修复方法等）、培训效果检查措施等方面的内容进行评分，方案内容完整、描述详尽、符合项目实施需要的得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分；内容基本完整、描述基本符合项目实施需要的得</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分；内容不完整、描述不准确的得3分；不合理的不得分；</w:t>
            </w:r>
          </w:p>
        </w:tc>
        <w:tc>
          <w:tcPr>
            <w:tcW w:w="838" w:type="dxa"/>
            <w:noWrap w:val="0"/>
            <w:vAlign w:val="center"/>
          </w:tcPr>
          <w:p w14:paraId="6E265047">
            <w:pPr>
              <w:spacing w:line="440" w:lineRule="exact"/>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c>
      </w:tr>
      <w:tr w14:paraId="0A578E61">
        <w:trPr>
          <w:trHeight w:val="833" w:hRule="atLeast"/>
          <w:jc w:val="center"/>
        </w:trPr>
        <w:tc>
          <w:tcPr>
            <w:tcW w:w="1263" w:type="dxa"/>
            <w:vMerge w:val="continue"/>
            <w:noWrap w:val="0"/>
            <w:vAlign w:val="center"/>
          </w:tcPr>
          <w:p w14:paraId="3ABB10EB">
            <w:pPr>
              <w:snapToGrid w:val="0"/>
              <w:spacing w:line="440" w:lineRule="exact"/>
              <w:jc w:val="center"/>
              <w:rPr>
                <w:rFonts w:hint="eastAsia" w:ascii="宋体" w:hAnsi="宋体" w:eastAsia="宋体"/>
                <w:b w:val="0"/>
                <w:bCs w:val="0"/>
                <w:color w:val="auto"/>
                <w:kern w:val="0"/>
                <w:sz w:val="24"/>
                <w:szCs w:val="24"/>
                <w:highlight w:val="none"/>
              </w:rPr>
            </w:pPr>
          </w:p>
        </w:tc>
        <w:tc>
          <w:tcPr>
            <w:tcW w:w="1365" w:type="dxa"/>
            <w:noWrap w:val="0"/>
            <w:vAlign w:val="center"/>
          </w:tcPr>
          <w:p w14:paraId="61B6D817">
            <w:pPr>
              <w:spacing w:before="156" w:line="44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节能清单产品</w:t>
            </w:r>
          </w:p>
        </w:tc>
        <w:tc>
          <w:tcPr>
            <w:tcW w:w="6031" w:type="dxa"/>
            <w:noWrap w:val="0"/>
            <w:vAlign w:val="center"/>
          </w:tcPr>
          <w:p w14:paraId="7D75D45E">
            <w:pPr>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除政府采购强制节能产品外，投标产品为节能产品政府采购品目清单内产品，每有一项加 0.5 分，最多加1 分。</w:t>
            </w:r>
          </w:p>
        </w:tc>
        <w:tc>
          <w:tcPr>
            <w:tcW w:w="838" w:type="dxa"/>
            <w:noWrap w:val="0"/>
            <w:vAlign w:val="center"/>
          </w:tcPr>
          <w:p w14:paraId="42DF92F9">
            <w:pPr>
              <w:spacing w:line="440" w:lineRule="exact"/>
              <w:jc w:val="center"/>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rPr>
              <w:t>分</w:t>
            </w:r>
          </w:p>
        </w:tc>
      </w:tr>
      <w:tr w14:paraId="1D857A17">
        <w:trPr>
          <w:trHeight w:val="670" w:hRule="atLeast"/>
          <w:jc w:val="center"/>
        </w:trPr>
        <w:tc>
          <w:tcPr>
            <w:tcW w:w="1263" w:type="dxa"/>
            <w:vMerge w:val="continue"/>
            <w:noWrap w:val="0"/>
            <w:vAlign w:val="center"/>
          </w:tcPr>
          <w:p w14:paraId="26779269">
            <w:pPr>
              <w:snapToGrid w:val="0"/>
              <w:spacing w:line="440" w:lineRule="exact"/>
              <w:jc w:val="center"/>
              <w:rPr>
                <w:rFonts w:ascii="宋体" w:hAnsi="宋体" w:eastAsia="宋体"/>
                <w:b w:val="0"/>
                <w:bCs w:val="0"/>
                <w:color w:val="auto"/>
                <w:kern w:val="0"/>
                <w:sz w:val="24"/>
                <w:szCs w:val="24"/>
                <w:highlight w:val="none"/>
              </w:rPr>
            </w:pPr>
          </w:p>
        </w:tc>
        <w:tc>
          <w:tcPr>
            <w:tcW w:w="1365" w:type="dxa"/>
            <w:noWrap w:val="0"/>
            <w:vAlign w:val="center"/>
          </w:tcPr>
          <w:p w14:paraId="70C42037">
            <w:pPr>
              <w:spacing w:before="156" w:line="440" w:lineRule="exact"/>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环保清单产品</w:t>
            </w:r>
          </w:p>
        </w:tc>
        <w:tc>
          <w:tcPr>
            <w:tcW w:w="6031" w:type="dxa"/>
            <w:noWrap w:val="0"/>
            <w:vAlign w:val="center"/>
          </w:tcPr>
          <w:p w14:paraId="2DEE72F9">
            <w:pPr>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投标产品为环境标志产品政府采购品目清单内的产品，每有一项加0.5 分，最多加 1 分。</w:t>
            </w:r>
          </w:p>
          <w:p w14:paraId="38FBCC27">
            <w:pPr>
              <w:spacing w:line="400" w:lineRule="exact"/>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65DC5034">
            <w:pPr>
              <w:spacing w:line="44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1分</w:t>
            </w:r>
          </w:p>
        </w:tc>
      </w:tr>
      <w:bookmarkEnd w:id="144"/>
    </w:tbl>
    <w:p w14:paraId="307F1EE9">
      <w:pPr>
        <w:rPr>
          <w:rFonts w:hint="eastAsia" w:ascii="宋体" w:hAnsi="宋体" w:cs="宋体"/>
          <w:b/>
          <w:bCs/>
          <w:color w:val="auto"/>
          <w:sz w:val="24"/>
          <w:szCs w:val="24"/>
          <w:highlight w:val="none"/>
        </w:rPr>
      </w:pPr>
    </w:p>
    <w:p w14:paraId="2A0A9713">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5E5D2F2B">
      <w:pPr>
        <w:rPr>
          <w:rFonts w:hint="eastAsia" w:ascii="宋体" w:hAnsi="宋体" w:cs="宋体"/>
          <w:b/>
          <w:bCs/>
          <w:color w:val="auto"/>
          <w:sz w:val="24"/>
          <w:szCs w:val="24"/>
          <w:highlight w:val="none"/>
        </w:rPr>
      </w:pPr>
    </w:p>
    <w:p w14:paraId="73527C94">
      <w:pPr>
        <w:pStyle w:val="28"/>
        <w:rPr>
          <w:rStyle w:val="30"/>
          <w:rFonts w:hint="eastAsia" w:ascii="宋体" w:hAnsi="宋体" w:cs="宋体"/>
          <w:b/>
          <w:bCs w:val="0"/>
          <w:color w:val="auto"/>
          <w:kern w:val="0"/>
          <w:sz w:val="32"/>
          <w:szCs w:val="24"/>
          <w:highlight w:val="none"/>
        </w:rPr>
      </w:pPr>
      <w:bookmarkStart w:id="145" w:name="_Toc18036"/>
      <w:bookmarkStart w:id="146" w:name="_Toc22297"/>
      <w:r>
        <w:rPr>
          <w:rStyle w:val="30"/>
          <w:rFonts w:hint="eastAsia" w:ascii="宋体" w:hAnsi="宋体" w:cs="宋体"/>
          <w:b/>
          <w:bCs w:val="0"/>
          <w:color w:val="auto"/>
          <w:kern w:val="0"/>
          <w:sz w:val="32"/>
          <w:szCs w:val="24"/>
          <w:highlight w:val="none"/>
        </w:rPr>
        <w:t>第四章  合同条款及格式</w:t>
      </w:r>
    </w:p>
    <w:bookmarkEnd w:id="145"/>
    <w:bookmarkEnd w:id="146"/>
    <w:p w14:paraId="3E824150">
      <w:pPr>
        <w:pStyle w:val="28"/>
        <w:rPr>
          <w:rFonts w:hint="eastAsia" w:ascii="宋体" w:hAnsi="宋体" w:cs="宋体"/>
          <w:color w:val="auto"/>
          <w:highlight w:val="none"/>
        </w:rPr>
      </w:pPr>
    </w:p>
    <w:p w14:paraId="2610642B">
      <w:pPr>
        <w:pStyle w:val="8"/>
        <w:ind w:firstLine="472"/>
        <w:rPr>
          <w:rFonts w:hint="eastAsia" w:ascii="宋体" w:hAnsi="宋体" w:eastAsia="宋体" w:cs="宋体"/>
          <w:b w:val="0"/>
          <w:color w:val="auto"/>
          <w:highlight w:val="none"/>
        </w:rPr>
      </w:pPr>
      <w:r>
        <w:rPr>
          <w:rFonts w:hint="eastAsia" w:ascii="宋体" w:hAnsi="宋体" w:eastAsia="宋体" w:cs="宋体"/>
          <w:b w:val="0"/>
          <w:color w:val="auto"/>
          <w:highlight w:val="none"/>
        </w:rPr>
        <w:t>双方应根据招标文件、中标通知书、中标单位投标文件（包括澄清说明），以及与本项目相关的资料签订合同。所签订的合同不得背离招标文件的实质性内容要求和投标文件的承诺。</w:t>
      </w:r>
    </w:p>
    <w:p w14:paraId="5DDF91BF">
      <w:pPr>
        <w:pStyle w:val="8"/>
        <w:ind w:firstLine="472"/>
        <w:rPr>
          <w:rFonts w:hint="eastAsia" w:ascii="宋体" w:hAnsi="宋体" w:eastAsia="宋体" w:cs="宋体"/>
          <w:b w:val="0"/>
          <w:color w:val="auto"/>
          <w:highlight w:val="none"/>
        </w:rPr>
      </w:pPr>
      <w:r>
        <w:rPr>
          <w:rFonts w:hint="eastAsia" w:ascii="宋体" w:hAnsi="宋体" w:eastAsia="宋体" w:cs="宋体"/>
          <w:b w:val="0"/>
          <w:color w:val="auto"/>
          <w:highlight w:val="none"/>
        </w:rPr>
        <w:t>按《三门峡市财政局关于市本级政府采购合同备案管理工作的通知》（三财购[2021]9号）文要求，自中标通知书发出之日起2个工作日内与中标（成交）供应商按照采购文件确定的事项与供应商签订政府采购合同。</w:t>
      </w:r>
    </w:p>
    <w:p w14:paraId="64E73B34">
      <w:pPr>
        <w:pStyle w:val="8"/>
        <w:rPr>
          <w:rFonts w:hint="eastAsia" w:ascii="宋体" w:hAnsi="宋体" w:eastAsia="宋体" w:cs="宋体"/>
          <w:color w:val="auto"/>
          <w:highlight w:val="none"/>
        </w:rPr>
      </w:pPr>
    </w:p>
    <w:p w14:paraId="15D72C89">
      <w:pPr>
        <w:pStyle w:val="8"/>
        <w:rPr>
          <w:rFonts w:hint="eastAsia" w:ascii="宋体" w:hAnsi="宋体" w:eastAsia="宋体" w:cs="宋体"/>
          <w:color w:val="auto"/>
          <w:highlight w:val="none"/>
        </w:rPr>
      </w:pPr>
    </w:p>
    <w:p w14:paraId="7AD433CC">
      <w:pPr>
        <w:pStyle w:val="8"/>
        <w:rPr>
          <w:rFonts w:hint="eastAsia" w:ascii="宋体" w:hAnsi="宋体" w:eastAsia="宋体" w:cs="宋体"/>
          <w:color w:val="auto"/>
          <w:highlight w:val="none"/>
        </w:rPr>
      </w:pPr>
    </w:p>
    <w:p w14:paraId="39D40382">
      <w:pPr>
        <w:pStyle w:val="8"/>
        <w:rPr>
          <w:rFonts w:hint="eastAsia" w:ascii="宋体" w:hAnsi="宋体" w:eastAsia="宋体" w:cs="宋体"/>
          <w:color w:val="auto"/>
          <w:highlight w:val="none"/>
        </w:rPr>
      </w:pPr>
    </w:p>
    <w:p w14:paraId="1597695F">
      <w:pPr>
        <w:pStyle w:val="8"/>
        <w:rPr>
          <w:rFonts w:hint="eastAsia" w:ascii="宋体" w:hAnsi="宋体" w:eastAsia="宋体" w:cs="宋体"/>
          <w:color w:val="auto"/>
          <w:highlight w:val="none"/>
        </w:rPr>
      </w:pPr>
    </w:p>
    <w:p w14:paraId="6CB21E80">
      <w:pPr>
        <w:pStyle w:val="8"/>
        <w:rPr>
          <w:rFonts w:hint="eastAsia" w:ascii="宋体" w:hAnsi="宋体" w:eastAsia="宋体" w:cs="宋体"/>
          <w:color w:val="auto"/>
          <w:highlight w:val="none"/>
        </w:rPr>
      </w:pPr>
    </w:p>
    <w:p w14:paraId="08490F29">
      <w:pPr>
        <w:pStyle w:val="8"/>
        <w:rPr>
          <w:rFonts w:hint="eastAsia" w:ascii="宋体" w:hAnsi="宋体" w:eastAsia="宋体" w:cs="宋体"/>
          <w:color w:val="auto"/>
          <w:highlight w:val="none"/>
        </w:rPr>
      </w:pPr>
    </w:p>
    <w:p w14:paraId="75D758B4">
      <w:pPr>
        <w:pStyle w:val="8"/>
        <w:rPr>
          <w:rFonts w:hint="eastAsia" w:ascii="宋体" w:hAnsi="宋体" w:eastAsia="宋体" w:cs="宋体"/>
          <w:color w:val="auto"/>
          <w:highlight w:val="none"/>
        </w:rPr>
      </w:pPr>
    </w:p>
    <w:p w14:paraId="6172F629">
      <w:pPr>
        <w:pStyle w:val="8"/>
        <w:rPr>
          <w:rFonts w:hint="eastAsia" w:ascii="宋体" w:hAnsi="宋体" w:eastAsia="宋体" w:cs="宋体"/>
          <w:color w:val="auto"/>
          <w:highlight w:val="none"/>
        </w:rPr>
      </w:pPr>
    </w:p>
    <w:p w14:paraId="125A7E01">
      <w:pPr>
        <w:pStyle w:val="8"/>
        <w:rPr>
          <w:rFonts w:hint="eastAsia" w:ascii="宋体" w:hAnsi="宋体" w:eastAsia="宋体" w:cs="宋体"/>
          <w:color w:val="auto"/>
          <w:highlight w:val="none"/>
        </w:rPr>
      </w:pPr>
    </w:p>
    <w:p w14:paraId="34A0B08D">
      <w:pPr>
        <w:pStyle w:val="8"/>
        <w:rPr>
          <w:rFonts w:hint="eastAsia" w:ascii="宋体" w:hAnsi="宋体" w:eastAsia="宋体" w:cs="宋体"/>
          <w:color w:val="auto"/>
          <w:highlight w:val="none"/>
        </w:rPr>
      </w:pPr>
    </w:p>
    <w:p w14:paraId="13A1CFF1">
      <w:pPr>
        <w:pStyle w:val="8"/>
        <w:rPr>
          <w:rFonts w:hint="eastAsia" w:ascii="宋体" w:hAnsi="宋体" w:eastAsia="宋体" w:cs="宋体"/>
          <w:color w:val="auto"/>
          <w:highlight w:val="none"/>
        </w:rPr>
      </w:pPr>
    </w:p>
    <w:p w14:paraId="41B3054D">
      <w:pPr>
        <w:pStyle w:val="8"/>
        <w:rPr>
          <w:rFonts w:hint="eastAsia" w:ascii="宋体" w:hAnsi="宋体" w:eastAsia="宋体" w:cs="宋体"/>
          <w:color w:val="auto"/>
          <w:highlight w:val="none"/>
        </w:rPr>
      </w:pPr>
    </w:p>
    <w:p w14:paraId="0BDF3005">
      <w:pPr>
        <w:pStyle w:val="8"/>
        <w:rPr>
          <w:rFonts w:hint="eastAsia" w:ascii="宋体" w:hAnsi="宋体" w:eastAsia="宋体" w:cs="宋体"/>
          <w:color w:val="auto"/>
          <w:highlight w:val="none"/>
        </w:rPr>
      </w:pPr>
    </w:p>
    <w:p w14:paraId="0C41E984">
      <w:pPr>
        <w:pStyle w:val="8"/>
        <w:rPr>
          <w:rFonts w:hint="eastAsia" w:ascii="宋体" w:hAnsi="宋体" w:eastAsia="宋体" w:cs="宋体"/>
          <w:color w:val="auto"/>
          <w:highlight w:val="none"/>
        </w:rPr>
      </w:pPr>
    </w:p>
    <w:p w14:paraId="57A81B2F">
      <w:pPr>
        <w:pStyle w:val="8"/>
        <w:rPr>
          <w:rFonts w:hint="eastAsia" w:ascii="宋体" w:hAnsi="宋体" w:eastAsia="宋体" w:cs="宋体"/>
          <w:color w:val="auto"/>
          <w:highlight w:val="none"/>
        </w:rPr>
      </w:pPr>
    </w:p>
    <w:p w14:paraId="6727B6AF">
      <w:pPr>
        <w:pStyle w:val="8"/>
        <w:rPr>
          <w:rFonts w:hint="eastAsia" w:ascii="宋体" w:hAnsi="宋体" w:eastAsia="宋体" w:cs="宋体"/>
          <w:color w:val="auto"/>
          <w:highlight w:val="none"/>
        </w:rPr>
      </w:pPr>
    </w:p>
    <w:p w14:paraId="799844E4">
      <w:pPr>
        <w:pStyle w:val="8"/>
        <w:rPr>
          <w:rFonts w:hint="eastAsia" w:ascii="宋体" w:hAnsi="宋体" w:eastAsia="宋体" w:cs="宋体"/>
          <w:color w:val="auto"/>
          <w:highlight w:val="none"/>
        </w:rPr>
      </w:pPr>
    </w:p>
    <w:p w14:paraId="6197DF8E">
      <w:pPr>
        <w:pStyle w:val="8"/>
        <w:rPr>
          <w:rFonts w:hint="eastAsia" w:ascii="宋体" w:hAnsi="宋体" w:eastAsia="宋体" w:cs="宋体"/>
          <w:color w:val="auto"/>
          <w:highlight w:val="none"/>
        </w:rPr>
      </w:pPr>
    </w:p>
    <w:p w14:paraId="1A6826D3">
      <w:pPr>
        <w:pStyle w:val="8"/>
        <w:rPr>
          <w:rFonts w:hint="eastAsia" w:ascii="宋体" w:hAnsi="宋体" w:eastAsia="宋体" w:cs="宋体"/>
          <w:color w:val="auto"/>
          <w:highlight w:val="none"/>
        </w:rPr>
      </w:pPr>
    </w:p>
    <w:p w14:paraId="28A63722">
      <w:pPr>
        <w:pStyle w:val="8"/>
        <w:rPr>
          <w:rFonts w:hint="eastAsia" w:ascii="宋体" w:hAnsi="宋体" w:eastAsia="宋体" w:cs="宋体"/>
          <w:color w:val="auto"/>
          <w:highlight w:val="none"/>
        </w:rPr>
      </w:pPr>
    </w:p>
    <w:p w14:paraId="0B9DDBF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66416EC">
      <w:pPr>
        <w:pStyle w:val="8"/>
        <w:rPr>
          <w:rFonts w:hint="eastAsia" w:ascii="宋体" w:hAnsi="宋体" w:eastAsia="宋体" w:cs="宋体"/>
          <w:color w:val="auto"/>
          <w:highlight w:val="none"/>
        </w:rPr>
      </w:pPr>
    </w:p>
    <w:p w14:paraId="08D02BD6">
      <w:pPr>
        <w:pStyle w:val="8"/>
        <w:rPr>
          <w:rFonts w:hint="eastAsia" w:ascii="宋体" w:hAnsi="宋体" w:eastAsia="宋体" w:cs="宋体"/>
          <w:color w:val="auto"/>
          <w:highlight w:val="none"/>
        </w:rPr>
      </w:pPr>
    </w:p>
    <w:p w14:paraId="352E6AE3">
      <w:pPr>
        <w:pStyle w:val="8"/>
        <w:rPr>
          <w:rFonts w:hint="eastAsia" w:ascii="宋体" w:hAnsi="宋体" w:eastAsia="宋体" w:cs="宋体"/>
          <w:color w:val="auto"/>
          <w:highlight w:val="none"/>
        </w:rPr>
      </w:pPr>
      <w:r>
        <w:rPr>
          <w:rFonts w:hint="eastAsia" w:ascii="宋体" w:hAnsi="宋体" w:eastAsia="宋体" w:cs="宋体"/>
          <w:color w:val="auto"/>
          <w:highlight w:val="none"/>
        </w:rPr>
        <w:t>（本合同为政府采购合同范本，合同内容及条款仅供参考，具体合同以双方签订合同为准）</w:t>
      </w:r>
    </w:p>
    <w:p w14:paraId="50C75E81">
      <w:pPr>
        <w:spacing w:line="276" w:lineRule="auto"/>
        <w:rPr>
          <w:rFonts w:hint="eastAsia" w:ascii="宋体" w:hAnsi="宋体" w:cs="宋体"/>
          <w:bCs/>
          <w:color w:val="auto"/>
          <w:spacing w:val="7"/>
          <w:sz w:val="24"/>
          <w:szCs w:val="24"/>
          <w:highlight w:val="none"/>
        </w:rPr>
      </w:pPr>
      <w:bookmarkStart w:id="147" w:name="_Toc514226064"/>
      <w:bookmarkStart w:id="148" w:name="_Toc12464209"/>
      <w:bookmarkStart w:id="149" w:name="_Toc512673808"/>
      <w:bookmarkStart w:id="150" w:name="_Toc632"/>
      <w:bookmarkStart w:id="151" w:name="_Toc377025612"/>
      <w:r>
        <w:rPr>
          <w:rFonts w:hint="eastAsia" w:ascii="宋体" w:hAnsi="宋体" w:cs="宋体"/>
          <w:bCs/>
          <w:color w:val="auto"/>
          <w:spacing w:val="7"/>
          <w:sz w:val="24"/>
          <w:szCs w:val="24"/>
          <w:highlight w:val="none"/>
        </w:rPr>
        <w:t xml:space="preserve">甲  方：           </w:t>
      </w:r>
    </w:p>
    <w:p w14:paraId="0B81651D">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 xml:space="preserve">乙  方： </w:t>
      </w:r>
    </w:p>
    <w:p w14:paraId="7E10D2BD">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甲方名称根据的批复，组织对***项目进行公开招标，招标编号（），于年月日通过公开招标，确定乙方为***项目中标人。为了保护供需各方合法权益,根据《中华人民共和国政府采购法》、《</w:t>
      </w:r>
      <w:r>
        <w:rPr>
          <w:rFonts w:hint="eastAsia" w:ascii="宋体" w:hAnsi="宋体" w:cs="宋体"/>
          <w:bCs/>
          <w:color w:val="auto"/>
          <w:spacing w:val="7"/>
          <w:sz w:val="24"/>
          <w:szCs w:val="24"/>
          <w:highlight w:val="none"/>
          <w:lang w:eastAsia="zh-CN"/>
        </w:rPr>
        <w:t>中华人民共和国民法典</w:t>
      </w:r>
      <w:r>
        <w:rPr>
          <w:rFonts w:hint="eastAsia" w:ascii="宋体" w:hAnsi="宋体" w:cs="宋体"/>
          <w:bCs/>
          <w:color w:val="auto"/>
          <w:spacing w:val="7"/>
          <w:sz w:val="24"/>
          <w:szCs w:val="24"/>
          <w:highlight w:val="none"/>
        </w:rPr>
        <w:t xml:space="preserve">》等相关法律、法规的规定，并严格遵循政府采购项目招标文件的相关规定，经甲乙双方协商一致，订立本合同。 </w:t>
      </w:r>
    </w:p>
    <w:p w14:paraId="66718841">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一、项目概况、合同金额（详见报价表，附后）</w:t>
      </w:r>
    </w:p>
    <w:p w14:paraId="2C851F86">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1.项目编号：。</w:t>
      </w:r>
    </w:p>
    <w:p w14:paraId="0A171F77">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2.项目名称：。</w:t>
      </w:r>
    </w:p>
    <w:p w14:paraId="341ECC28">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3.具体内容：（详见乙方报价表）</w:t>
      </w:r>
    </w:p>
    <w:p w14:paraId="1C8AEFA7">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4.合同金额：人民币元（大写：），以上价格以人民币结算。</w:t>
      </w:r>
    </w:p>
    <w:p w14:paraId="19189A55">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二、付款方式</w:t>
      </w:r>
    </w:p>
    <w:p w14:paraId="5FE57F5A">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三、交货时间、交货地点</w:t>
      </w:r>
    </w:p>
    <w:p w14:paraId="02537CAF">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1.交货时间：     年   月   日。</w:t>
      </w:r>
    </w:p>
    <w:p w14:paraId="57E30902">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2.交货地点：采购人指定地点</w:t>
      </w:r>
    </w:p>
    <w:p w14:paraId="3BDD7DDA">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四、履约验收</w:t>
      </w:r>
    </w:p>
    <w:p w14:paraId="3B31E2CC">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1.乙方提供的产品为原装正品，各项指标符合出产国检测标准和出厂标准，各项技术参数符合招标文件要求和乙方响应文件承诺。</w:t>
      </w:r>
    </w:p>
    <w:p w14:paraId="03D67458">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2.乙方所交产品不符合规定或质量不合格的，由乙方负责包换，并承担换货而支付的一切费用。乙方不能调换的，按不能交货处理。</w:t>
      </w:r>
    </w:p>
    <w:p w14:paraId="553A0B57">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3.乙方应保证所提供的设备不侵犯第三方的专利权、商标权、著作权或其他知识产权。若乙方的行为侵犯了第三方的前述权利，并造成了第三方追究甲方的责任，甲方为此所受到的损失，应由乙方承担。</w:t>
      </w:r>
    </w:p>
    <w:p w14:paraId="2ED1EB5D">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4.甲方按国家相关标准和本招标文件的相关要求自行组织有关专业人员验收。</w:t>
      </w:r>
    </w:p>
    <w:p w14:paraId="463F11B2">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5.验收内容：所采购的数量、参数标准、规格和质量。</w:t>
      </w:r>
    </w:p>
    <w:p w14:paraId="7C96BB5E">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五、相关权利及义务</w:t>
      </w:r>
    </w:p>
    <w:p w14:paraId="3D9EFFF5">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1.甲方在验收时对不符合招标文件要求的产品有权拒绝接收和追究违约责任。</w:t>
      </w:r>
    </w:p>
    <w:p w14:paraId="17CE28C2">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2.甲方有权监督乙方的售后服务，并对乙方的售后服务不符合响应文件承诺内容时加以指出乃至追究合同责任。</w:t>
      </w:r>
    </w:p>
    <w:p w14:paraId="5AFE4A48">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3.甲方在合同规定期限内协助履行付款责任。</w:t>
      </w:r>
    </w:p>
    <w:p w14:paraId="687481A6">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4.甲方对乙方的技术及商业机密予以保密。</w:t>
      </w:r>
    </w:p>
    <w:p w14:paraId="589EA0CF">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5.乙方有权按照合同要求及时支付相应合同款项。</w:t>
      </w:r>
    </w:p>
    <w:p w14:paraId="588C076E">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6.乙方有义务按投标文件中的售后服务承诺提供良好的服务。</w:t>
      </w:r>
    </w:p>
    <w:p w14:paraId="0F05E5D3">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七、违约责任</w:t>
      </w:r>
    </w:p>
    <w:p w14:paraId="704E817A">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w:t>
      </w:r>
      <w:r>
        <w:rPr>
          <w:rFonts w:hint="eastAsia" w:ascii="宋体" w:hAnsi="宋体" w:cs="宋体"/>
          <w:bCs/>
          <w:color w:val="auto"/>
          <w:spacing w:val="7"/>
          <w:sz w:val="24"/>
          <w:szCs w:val="24"/>
          <w:highlight w:val="none"/>
          <w:lang w:eastAsia="zh-CN"/>
        </w:rPr>
        <w:t>中华人民共和国民法典</w:t>
      </w:r>
      <w:r>
        <w:rPr>
          <w:rFonts w:hint="eastAsia" w:ascii="宋体" w:hAnsi="宋体" w:cs="宋体"/>
          <w:bCs/>
          <w:color w:val="auto"/>
          <w:spacing w:val="7"/>
          <w:sz w:val="24"/>
          <w:szCs w:val="24"/>
          <w:highlight w:val="none"/>
        </w:rPr>
        <w:t>》有关条文及本合同第八条处理。</w:t>
      </w:r>
    </w:p>
    <w:p w14:paraId="0ECA1D82">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八、不可抗力</w:t>
      </w:r>
    </w:p>
    <w:p w14:paraId="7ADAC530">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35CBAEC9">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九、争议</w:t>
      </w:r>
    </w:p>
    <w:p w14:paraId="61FD21AB">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双方本着友好合作的态度，对合同履行过程中发生的违约行为进行及时的协商解决，如不能协商解决可向甲方所在地人民法院提起诉讼。</w:t>
      </w:r>
    </w:p>
    <w:p w14:paraId="4701965B">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十、其它</w:t>
      </w:r>
    </w:p>
    <w:p w14:paraId="22F1F6DB">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1.本合同一式陆份，甲方叁份，乙方叁份。</w:t>
      </w:r>
    </w:p>
    <w:p w14:paraId="3797E236">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2.本合同自双方签订之日起生效。</w:t>
      </w:r>
    </w:p>
    <w:p w14:paraId="58CE035D">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3.本项目招标文件、投标文件等是本合同的附件，与合同具有同等的法律效力。</w:t>
      </w:r>
    </w:p>
    <w:p w14:paraId="7263E724">
      <w:pPr>
        <w:spacing w:line="276" w:lineRule="auto"/>
        <w:ind w:firstLine="508" w:firstLineChars="200"/>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4.其它未尽事宜，由甲乙双方友好协商解决，并参照《</w:t>
      </w:r>
      <w:r>
        <w:rPr>
          <w:rFonts w:hint="eastAsia" w:ascii="宋体" w:hAnsi="宋体" w:cs="宋体"/>
          <w:bCs/>
          <w:color w:val="auto"/>
          <w:spacing w:val="7"/>
          <w:sz w:val="24"/>
          <w:szCs w:val="24"/>
          <w:highlight w:val="none"/>
          <w:lang w:eastAsia="zh-CN"/>
        </w:rPr>
        <w:t>中华人民共和国民法典</w:t>
      </w:r>
      <w:r>
        <w:rPr>
          <w:rFonts w:hint="eastAsia" w:ascii="宋体" w:hAnsi="宋体" w:cs="宋体"/>
          <w:bCs/>
          <w:color w:val="auto"/>
          <w:spacing w:val="7"/>
          <w:sz w:val="24"/>
          <w:szCs w:val="24"/>
          <w:highlight w:val="none"/>
        </w:rPr>
        <w:t>》有关条款执行。</w:t>
      </w:r>
    </w:p>
    <w:p w14:paraId="7DA7408B">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委托人（盖章）：                     受托人（盖章）：</w:t>
      </w:r>
    </w:p>
    <w:p w14:paraId="14640710">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法定代表人（签字或盖章）：           法定代表人（签字或盖章）：</w:t>
      </w:r>
    </w:p>
    <w:p w14:paraId="5C6FC04F">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或授权委托人（签字或盖章）：         或授权委托人（签字或盖章）：</w:t>
      </w:r>
    </w:p>
    <w:p w14:paraId="46318C30">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单位地址：                          单位地址：</w:t>
      </w:r>
    </w:p>
    <w:p w14:paraId="75DBE015">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邮政编码：                          邮政编码：</w:t>
      </w:r>
    </w:p>
    <w:p w14:paraId="0F306CE2">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联系电话：                          联系电话：</w:t>
      </w:r>
    </w:p>
    <w:p w14:paraId="4FCDD944">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传    真：                          传    真：</w:t>
      </w:r>
    </w:p>
    <w:p w14:paraId="2714E444">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电子信箱：                          电子信箱：</w:t>
      </w:r>
    </w:p>
    <w:p w14:paraId="6785C105">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开户银行：                          开户银行：</w:t>
      </w:r>
    </w:p>
    <w:p w14:paraId="114ABF20">
      <w:pPr>
        <w:spacing w:line="276" w:lineRule="auto"/>
        <w:rPr>
          <w:rFonts w:hint="eastAsia" w:ascii="宋体" w:hAnsi="宋体" w:cs="宋体"/>
          <w:bCs/>
          <w:color w:val="auto"/>
          <w:spacing w:val="7"/>
          <w:sz w:val="24"/>
          <w:szCs w:val="24"/>
          <w:highlight w:val="none"/>
        </w:rPr>
      </w:pPr>
      <w:r>
        <w:rPr>
          <w:rFonts w:hint="eastAsia" w:ascii="宋体" w:hAnsi="宋体" w:cs="宋体"/>
          <w:bCs/>
          <w:color w:val="auto"/>
          <w:spacing w:val="7"/>
          <w:sz w:val="24"/>
          <w:szCs w:val="24"/>
          <w:highlight w:val="none"/>
        </w:rPr>
        <w:t>账    号：                          账    号：</w:t>
      </w:r>
    </w:p>
    <w:p w14:paraId="4EC4BC6D">
      <w:pPr>
        <w:pStyle w:val="28"/>
        <w:spacing w:line="276" w:lineRule="auto"/>
        <w:jc w:val="both"/>
        <w:rPr>
          <w:rStyle w:val="30"/>
          <w:rFonts w:hint="eastAsia" w:ascii="宋体" w:hAnsi="宋体" w:cs="宋体"/>
          <w:b/>
          <w:bCs w:val="0"/>
          <w:color w:val="auto"/>
          <w:kern w:val="0"/>
          <w:sz w:val="32"/>
          <w:szCs w:val="36"/>
          <w:highlight w:val="none"/>
        </w:rPr>
      </w:pPr>
    </w:p>
    <w:p w14:paraId="2695C5D0">
      <w:pPr>
        <w:rPr>
          <w:rStyle w:val="30"/>
          <w:rFonts w:hint="eastAsia" w:ascii="宋体" w:hAnsi="宋体" w:cs="宋体"/>
          <w:b/>
          <w:bCs w:val="0"/>
          <w:color w:val="auto"/>
          <w:kern w:val="0"/>
          <w:sz w:val="32"/>
          <w:szCs w:val="36"/>
          <w:highlight w:val="none"/>
        </w:rPr>
      </w:pPr>
      <w:bookmarkStart w:id="152" w:name="_Toc11525"/>
      <w:bookmarkStart w:id="153" w:name="_Toc27051"/>
      <w:r>
        <w:rPr>
          <w:rStyle w:val="30"/>
          <w:rFonts w:hint="eastAsia" w:ascii="宋体" w:hAnsi="宋体" w:cs="宋体"/>
          <w:b/>
          <w:bCs w:val="0"/>
          <w:color w:val="auto"/>
          <w:kern w:val="0"/>
          <w:sz w:val="32"/>
          <w:szCs w:val="36"/>
          <w:highlight w:val="none"/>
        </w:rPr>
        <w:br w:type="page"/>
      </w:r>
    </w:p>
    <w:p w14:paraId="6C7D73F1">
      <w:pPr>
        <w:pStyle w:val="28"/>
        <w:numPr>
          <w:ilvl w:val="0"/>
          <w:numId w:val="0"/>
        </w:numPr>
        <w:spacing w:line="276" w:lineRule="auto"/>
        <w:outlineLvl w:val="0"/>
        <w:rPr>
          <w:rStyle w:val="30"/>
          <w:rFonts w:hint="eastAsia" w:ascii="宋体" w:hAnsi="宋体" w:cs="宋体"/>
          <w:b/>
          <w:bCs w:val="0"/>
          <w:color w:val="auto"/>
          <w:kern w:val="0"/>
          <w:sz w:val="32"/>
          <w:szCs w:val="36"/>
          <w:highlight w:val="none"/>
        </w:rPr>
      </w:pPr>
      <w:r>
        <w:rPr>
          <w:rStyle w:val="30"/>
          <w:rFonts w:hint="eastAsia" w:ascii="宋体" w:hAnsi="宋体" w:cs="宋体"/>
          <w:b/>
          <w:bCs w:val="0"/>
          <w:color w:val="auto"/>
          <w:kern w:val="0"/>
          <w:sz w:val="32"/>
          <w:szCs w:val="36"/>
          <w:highlight w:val="none"/>
          <w:lang w:val="en-US" w:eastAsia="zh-CN"/>
        </w:rPr>
        <w:t xml:space="preserve">第五章 </w:t>
      </w:r>
      <w:r>
        <w:rPr>
          <w:rStyle w:val="30"/>
          <w:rFonts w:hint="eastAsia" w:ascii="宋体" w:hAnsi="宋体" w:cs="宋体"/>
          <w:b/>
          <w:bCs w:val="0"/>
          <w:color w:val="auto"/>
          <w:kern w:val="0"/>
          <w:sz w:val="32"/>
          <w:szCs w:val="36"/>
          <w:highlight w:val="none"/>
        </w:rPr>
        <w:t>采购内容及要求</w:t>
      </w:r>
      <w:bookmarkEnd w:id="152"/>
    </w:p>
    <w:p w14:paraId="6597C2AE">
      <w:pPr>
        <w:pStyle w:val="28"/>
        <w:numPr>
          <w:ilvl w:val="0"/>
          <w:numId w:val="0"/>
        </w:numPr>
        <w:spacing w:line="276" w:lineRule="auto"/>
        <w:jc w:val="both"/>
        <w:outlineLvl w:val="0"/>
        <w:rPr>
          <w:rStyle w:val="30"/>
          <w:rFonts w:hint="eastAsia" w:ascii="宋体" w:hAnsi="宋体" w:cs="宋体"/>
          <w:b/>
          <w:bCs w:val="0"/>
          <w:color w:val="auto"/>
          <w:kern w:val="0"/>
          <w:sz w:val="32"/>
          <w:szCs w:val="36"/>
          <w:highlight w:val="none"/>
        </w:rPr>
      </w:pPr>
    </w:p>
    <w:bookmarkEnd w:id="147"/>
    <w:bookmarkEnd w:id="148"/>
    <w:bookmarkEnd w:id="153"/>
    <w:p w14:paraId="0356DA17">
      <w:pPr>
        <w:pStyle w:val="14"/>
        <w:spacing w:line="360" w:lineRule="auto"/>
        <w:ind w:left="0" w:firstLine="480" w:firstLineChars="200"/>
        <w:rPr>
          <w:rFonts w:hint="eastAsia" w:ascii="宋体" w:hAnsi="宋体" w:cs="宋体"/>
          <w:color w:val="auto"/>
          <w:kern w:val="0"/>
          <w:sz w:val="24"/>
          <w:szCs w:val="24"/>
          <w:highlight w:val="none"/>
          <w:lang w:eastAsia="zh-CN"/>
        </w:rPr>
      </w:pPr>
      <w:bookmarkStart w:id="154" w:name="_Toc10087"/>
      <w:bookmarkStart w:id="155" w:name="_Toc2882"/>
      <w:r>
        <w:rPr>
          <w:rFonts w:hint="eastAsia" w:ascii="宋体" w:hAnsi="宋体" w:cs="宋体"/>
          <w:color w:val="auto"/>
          <w:kern w:val="0"/>
          <w:sz w:val="24"/>
          <w:szCs w:val="24"/>
          <w:highlight w:val="none"/>
        </w:rPr>
        <w:t>本项目为三门峡市气象局三门峡市精准化气象防灾减灾工程项目。项目主要内容</w:t>
      </w:r>
      <w:r>
        <w:rPr>
          <w:rFonts w:hint="eastAsia" w:ascii="宋体" w:hAnsi="宋体" w:cs="宋体"/>
          <w:color w:val="auto"/>
          <w:kern w:val="0"/>
          <w:sz w:val="24"/>
          <w:szCs w:val="24"/>
          <w:highlight w:val="none"/>
          <w:lang w:eastAsia="zh-CN"/>
        </w:rPr>
        <w:t>：精准化立体气象观测分系统；精准化气象预报预警系统；智慧型公共气象服务系统。（</w:t>
      </w:r>
      <w:r>
        <w:rPr>
          <w:rFonts w:hint="eastAsia" w:ascii="宋体" w:hAnsi="宋体" w:cs="宋体"/>
          <w:color w:val="auto"/>
          <w:kern w:val="0"/>
          <w:sz w:val="24"/>
          <w:szCs w:val="24"/>
          <w:highlight w:val="none"/>
          <w:lang w:val="en-US" w:eastAsia="zh-CN"/>
        </w:rPr>
        <w:t>详见采购内容清单</w:t>
      </w:r>
      <w:r>
        <w:rPr>
          <w:rFonts w:hint="eastAsia" w:ascii="宋体" w:hAnsi="宋体" w:cs="宋体"/>
          <w:color w:val="auto"/>
          <w:kern w:val="0"/>
          <w:sz w:val="24"/>
          <w:szCs w:val="24"/>
          <w:highlight w:val="none"/>
          <w:lang w:eastAsia="zh-CN"/>
        </w:rPr>
        <w:t>）</w:t>
      </w:r>
    </w:p>
    <w:p w14:paraId="2A0D2300">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br w:type="page"/>
      </w:r>
    </w:p>
    <w:tbl>
      <w:tblPr>
        <w:tblStyle w:val="22"/>
        <w:tblW w:w="903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1290"/>
        <w:gridCol w:w="5782"/>
        <w:gridCol w:w="743"/>
        <w:gridCol w:w="715"/>
      </w:tblGrid>
      <w:tr w14:paraId="3FC513CB">
        <w:trPr>
          <w:trHeight w:val="320" w:hRule="atLeast"/>
        </w:trPr>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8FE29">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序号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044D1">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项目名称</w:t>
            </w:r>
          </w:p>
        </w:tc>
        <w:tc>
          <w:tcPr>
            <w:tcW w:w="5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C1548">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技术参数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D85AD">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单位</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F4636">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数量</w:t>
            </w:r>
          </w:p>
        </w:tc>
      </w:tr>
      <w:tr w14:paraId="66FAA6A7">
        <w:trPr>
          <w:trHeight w:val="312" w:hRule="atLeast"/>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9849E">
            <w:pPr>
              <w:jc w:val="center"/>
              <w:rPr>
                <w:rFonts w:hint="eastAsia" w:ascii="黑体" w:hAnsi="宋体" w:eastAsia="黑体" w:cs="黑体"/>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40248">
            <w:pPr>
              <w:jc w:val="center"/>
              <w:rPr>
                <w:rFonts w:hint="eastAsia" w:ascii="黑体" w:hAnsi="宋体" w:eastAsia="黑体" w:cs="黑体"/>
                <w:i w:val="0"/>
                <w:iCs w:val="0"/>
                <w:color w:val="auto"/>
                <w:sz w:val="24"/>
                <w:szCs w:val="24"/>
                <w:highlight w:val="none"/>
                <w:u w:val="none"/>
              </w:rPr>
            </w:pPr>
          </w:p>
        </w:tc>
        <w:tc>
          <w:tcPr>
            <w:tcW w:w="5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CA6B3">
            <w:pPr>
              <w:jc w:val="center"/>
              <w:rPr>
                <w:rFonts w:hint="eastAsia" w:ascii="黑体" w:hAnsi="宋体" w:eastAsia="黑体" w:cs="黑体"/>
                <w:i w:val="0"/>
                <w:iCs w:val="0"/>
                <w:color w:val="auto"/>
                <w:sz w:val="24"/>
                <w:szCs w:val="24"/>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B744">
            <w:pPr>
              <w:jc w:val="center"/>
              <w:rPr>
                <w:rFonts w:hint="eastAsia" w:ascii="黑体" w:hAnsi="宋体" w:eastAsia="黑体" w:cs="黑体"/>
                <w:i w:val="0"/>
                <w:iCs w:val="0"/>
                <w:color w:val="auto"/>
                <w:sz w:val="24"/>
                <w:szCs w:val="24"/>
                <w:highlight w:val="none"/>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B6F9">
            <w:pPr>
              <w:jc w:val="center"/>
              <w:rPr>
                <w:rFonts w:hint="eastAsia" w:ascii="黑体" w:hAnsi="宋体" w:eastAsia="黑体" w:cs="黑体"/>
                <w:i w:val="0"/>
                <w:iCs w:val="0"/>
                <w:color w:val="auto"/>
                <w:sz w:val="24"/>
                <w:szCs w:val="24"/>
                <w:highlight w:val="none"/>
                <w:u w:val="none"/>
              </w:rPr>
            </w:pPr>
          </w:p>
        </w:tc>
      </w:tr>
      <w:tr w14:paraId="2301337F">
        <w:trPr>
          <w:trHeight w:val="226"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A9EF8F4">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1</w:t>
            </w:r>
          </w:p>
        </w:tc>
        <w:tc>
          <w:tcPr>
            <w:tcW w:w="8530" w:type="dxa"/>
            <w:gridSpan w:val="4"/>
            <w:tcBorders>
              <w:top w:val="nil"/>
              <w:left w:val="nil"/>
              <w:bottom w:val="single" w:color="000000" w:sz="4" w:space="0"/>
              <w:right w:val="single" w:color="000000" w:sz="4" w:space="0"/>
            </w:tcBorders>
            <w:shd w:val="clear" w:color="auto" w:fill="auto"/>
            <w:vAlign w:val="center"/>
          </w:tcPr>
          <w:p w14:paraId="5E83CC44">
            <w:pPr>
              <w:jc w:val="left"/>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8"/>
                <w:szCs w:val="28"/>
                <w:highlight w:val="none"/>
                <w:u w:val="none"/>
                <w:lang w:val="en-US" w:eastAsia="zh-CN" w:bidi="ar"/>
              </w:rPr>
              <w:t>精准化立体气象观测分系统</w:t>
            </w:r>
          </w:p>
        </w:tc>
      </w:tr>
      <w:tr w14:paraId="34484B95">
        <w:trPr>
          <w:trHeight w:val="313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23D6EAF8">
            <w:pPr>
              <w:keepNext w:val="0"/>
              <w:keepLines w:val="0"/>
              <w:widowControl/>
              <w:suppressLineNumbers w:val="0"/>
              <w:jc w:val="center"/>
              <w:textAlignment w:val="center"/>
              <w:rPr>
                <w:rFonts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290" w:type="dxa"/>
            <w:tcBorders>
              <w:top w:val="nil"/>
              <w:left w:val="nil"/>
              <w:bottom w:val="single" w:color="000000" w:sz="4" w:space="0"/>
              <w:right w:val="single" w:color="000000" w:sz="4" w:space="0"/>
            </w:tcBorders>
            <w:shd w:val="clear" w:color="auto" w:fill="auto"/>
            <w:vAlign w:val="center"/>
          </w:tcPr>
          <w:p w14:paraId="63BBE1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六要素自动气象站</w:t>
            </w:r>
          </w:p>
        </w:tc>
        <w:tc>
          <w:tcPr>
            <w:tcW w:w="5782" w:type="dxa"/>
            <w:tcBorders>
              <w:top w:val="nil"/>
              <w:left w:val="nil"/>
              <w:bottom w:val="single" w:color="000000" w:sz="4" w:space="0"/>
              <w:right w:val="single" w:color="000000" w:sz="4" w:space="0"/>
            </w:tcBorders>
            <w:shd w:val="clear" w:color="auto" w:fill="auto"/>
            <w:noWrap/>
            <w:vAlign w:val="center"/>
          </w:tcPr>
          <w:p w14:paraId="28B8DC85">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备需获得由中国气象局颁发的气象专用技术装备使用许可证。数据采集器：符合新型自动气象站技术要求，具备扩展能见度等其他要素功能；温湿度传感器：-50℃～50℃、5%～100%RH；气压传感器：500hPa～1100hPa；风向风速传感器：0～360°、0～60m/s；双翻斗雨量传感器：0～4mm/min雨强，含65cm高不锈钢底座，安装后口部高度达到120cm；无拉线风杆：10m；电源模块：太阳能电源、蓄电池脱离辅助电源后可保证15天；通信模块：工业级产品、4G/5G；围栏：8米（长）×4米（宽）×1.5米（高）锌钢围栏；台站参数标牌和警示标牌：配备60cm（宽）×40cm（高）台站参数标牌1和警示标牌1。</w:t>
            </w:r>
          </w:p>
        </w:tc>
        <w:tc>
          <w:tcPr>
            <w:tcW w:w="743" w:type="dxa"/>
            <w:tcBorders>
              <w:top w:val="nil"/>
              <w:left w:val="nil"/>
              <w:bottom w:val="single" w:color="000000" w:sz="4" w:space="0"/>
              <w:right w:val="single" w:color="000000" w:sz="4" w:space="0"/>
            </w:tcBorders>
            <w:shd w:val="clear" w:color="auto" w:fill="auto"/>
            <w:noWrap/>
            <w:vAlign w:val="center"/>
          </w:tcPr>
          <w:p w14:paraId="1E21FC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00175F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r>
      <w:tr w14:paraId="2BA945CE">
        <w:trPr>
          <w:trHeight w:val="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5F5044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290" w:type="dxa"/>
            <w:tcBorders>
              <w:top w:val="nil"/>
              <w:left w:val="nil"/>
              <w:bottom w:val="single" w:color="000000" w:sz="4" w:space="0"/>
              <w:right w:val="single" w:color="000000" w:sz="4" w:space="0"/>
            </w:tcBorders>
            <w:shd w:val="clear" w:color="auto" w:fill="auto"/>
            <w:vAlign w:val="center"/>
          </w:tcPr>
          <w:p w14:paraId="46D3C6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风向风速、雨量、温湿度、采集器备件</w:t>
            </w:r>
          </w:p>
        </w:tc>
        <w:tc>
          <w:tcPr>
            <w:tcW w:w="5782" w:type="dxa"/>
            <w:tcBorders>
              <w:top w:val="nil"/>
              <w:left w:val="nil"/>
              <w:bottom w:val="single" w:color="000000" w:sz="4" w:space="0"/>
              <w:right w:val="single" w:color="000000" w:sz="4" w:space="0"/>
            </w:tcBorders>
            <w:shd w:val="clear" w:color="auto" w:fill="auto"/>
            <w:noWrap/>
            <w:vAlign w:val="center"/>
          </w:tcPr>
          <w:p w14:paraId="63E42A4E">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备功能符合新型自动气象站技术要求。温湿度传感器：-50℃～50℃、5%～100%RH；风向风速传感器：0～360°、0～60m/s；双翻斗雨量传感器：0～4mm/min雨强，含65cm高不锈钢底座，安装后口部高度达到120cm；数据采集器：符合新型自动气象站技术要求，具备扩展能见度等其他要素功能。</w:t>
            </w:r>
          </w:p>
        </w:tc>
        <w:tc>
          <w:tcPr>
            <w:tcW w:w="743" w:type="dxa"/>
            <w:tcBorders>
              <w:top w:val="nil"/>
              <w:left w:val="nil"/>
              <w:bottom w:val="single" w:color="000000" w:sz="4" w:space="0"/>
              <w:right w:val="single" w:color="000000" w:sz="4" w:space="0"/>
            </w:tcBorders>
            <w:shd w:val="clear" w:color="auto" w:fill="auto"/>
            <w:noWrap/>
            <w:vAlign w:val="center"/>
          </w:tcPr>
          <w:p w14:paraId="56D4CD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017FA0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3D22B140">
        <w:trPr>
          <w:trHeight w:val="1896"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6D8B8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290" w:type="dxa"/>
            <w:tcBorders>
              <w:top w:val="nil"/>
              <w:left w:val="nil"/>
              <w:bottom w:val="single" w:color="000000" w:sz="4" w:space="0"/>
              <w:right w:val="single" w:color="000000" w:sz="4" w:space="0"/>
            </w:tcBorders>
            <w:shd w:val="clear" w:color="auto" w:fill="auto"/>
            <w:vAlign w:val="center"/>
          </w:tcPr>
          <w:p w14:paraId="2F9D68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单雨量站</w:t>
            </w:r>
          </w:p>
        </w:tc>
        <w:tc>
          <w:tcPr>
            <w:tcW w:w="5782" w:type="dxa"/>
            <w:tcBorders>
              <w:top w:val="nil"/>
              <w:left w:val="nil"/>
              <w:bottom w:val="single" w:color="000000" w:sz="4" w:space="0"/>
              <w:right w:val="single" w:color="000000" w:sz="4" w:space="0"/>
            </w:tcBorders>
            <w:shd w:val="clear" w:color="auto" w:fill="auto"/>
            <w:noWrap/>
            <w:vAlign w:val="center"/>
          </w:tcPr>
          <w:p w14:paraId="3E240E51">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备需获得由中国气象局颁发的气象专用技术装备使用许可证。数据采集器：符合《翻斗式自动雨量站功能规格需求书》技术要求；双翻斗雨量传感器：0～4mm/min雨强，含65cm高不锈钢底座，安装后口部高度达到120cm；太阳能供电系统：脱离辅助电源后可保证15天；机箱、立杆符合相关要求。</w:t>
            </w:r>
          </w:p>
        </w:tc>
        <w:tc>
          <w:tcPr>
            <w:tcW w:w="743" w:type="dxa"/>
            <w:tcBorders>
              <w:top w:val="nil"/>
              <w:left w:val="nil"/>
              <w:bottom w:val="single" w:color="000000" w:sz="4" w:space="0"/>
              <w:right w:val="single" w:color="000000" w:sz="4" w:space="0"/>
            </w:tcBorders>
            <w:shd w:val="clear" w:color="auto" w:fill="auto"/>
            <w:noWrap/>
            <w:vAlign w:val="center"/>
          </w:tcPr>
          <w:p w14:paraId="6CC5F3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59FF83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43142840">
        <w:trPr>
          <w:trHeight w:val="2456"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7ADB3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290" w:type="dxa"/>
            <w:tcBorders>
              <w:top w:val="nil"/>
              <w:left w:val="nil"/>
              <w:bottom w:val="single" w:color="000000" w:sz="4" w:space="0"/>
              <w:right w:val="single" w:color="000000" w:sz="4" w:space="0"/>
            </w:tcBorders>
            <w:shd w:val="clear" w:color="auto" w:fill="auto"/>
            <w:vAlign w:val="center"/>
          </w:tcPr>
          <w:p w14:paraId="76E611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自动土壤水分观测仪</w:t>
            </w:r>
          </w:p>
        </w:tc>
        <w:tc>
          <w:tcPr>
            <w:tcW w:w="5782" w:type="dxa"/>
            <w:tcBorders>
              <w:top w:val="nil"/>
              <w:left w:val="nil"/>
              <w:bottom w:val="single" w:color="000000" w:sz="4" w:space="0"/>
              <w:right w:val="single" w:color="000000" w:sz="4" w:space="0"/>
            </w:tcBorders>
            <w:shd w:val="clear" w:color="auto" w:fill="auto"/>
            <w:noWrap/>
            <w:vAlign w:val="center"/>
          </w:tcPr>
          <w:p w14:paraId="6ED3955A">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备需获得由中国气象局颁发的气象专用技术装备使用许可证。数据采集器：符合《自动土壤水分观测仪功能规格需求书》技术要求；测量要素：土壤体积含水量；测量层次：10、20、30、40、50、60、80、100cm；测量范围：0～100%；准确度：±5%；分辨率：0.1%；采样频率：1次/分；工作温度范围：0－60℃；电源：DC12V。太阳能供电系统：脱离辅助电源后可保证15天；机箱、立杆符合相关要求。</w:t>
            </w:r>
          </w:p>
        </w:tc>
        <w:tc>
          <w:tcPr>
            <w:tcW w:w="743" w:type="dxa"/>
            <w:tcBorders>
              <w:top w:val="nil"/>
              <w:left w:val="nil"/>
              <w:bottom w:val="single" w:color="000000" w:sz="4" w:space="0"/>
              <w:right w:val="single" w:color="000000" w:sz="4" w:space="0"/>
            </w:tcBorders>
            <w:shd w:val="clear" w:color="auto" w:fill="auto"/>
            <w:noWrap/>
            <w:vAlign w:val="center"/>
          </w:tcPr>
          <w:p w14:paraId="1FFAC4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3891AA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r>
      <w:tr w14:paraId="7157FB87">
        <w:trPr>
          <w:trHeight w:val="10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1A3C4D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290" w:type="dxa"/>
            <w:tcBorders>
              <w:top w:val="nil"/>
              <w:left w:val="nil"/>
              <w:bottom w:val="single" w:color="000000" w:sz="4" w:space="0"/>
              <w:right w:val="single" w:color="000000" w:sz="4" w:space="0"/>
            </w:tcBorders>
            <w:shd w:val="clear" w:color="auto" w:fill="auto"/>
            <w:vAlign w:val="center"/>
          </w:tcPr>
          <w:p w14:paraId="6AB51E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市－县100M网络专用线路</w:t>
            </w:r>
          </w:p>
        </w:tc>
        <w:tc>
          <w:tcPr>
            <w:tcW w:w="5782" w:type="dxa"/>
            <w:tcBorders>
              <w:top w:val="nil"/>
              <w:left w:val="nil"/>
              <w:bottom w:val="single" w:color="000000" w:sz="4" w:space="0"/>
              <w:right w:val="single" w:color="000000" w:sz="4" w:space="0"/>
            </w:tcBorders>
            <w:shd w:val="clear" w:color="auto" w:fill="auto"/>
            <w:noWrap/>
            <w:vAlign w:val="center"/>
          </w:tcPr>
          <w:p w14:paraId="35E1C637">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带宽：100Mbps，上下行速率对等，支持IPv4/IPv6双线。</w:t>
            </w:r>
          </w:p>
        </w:tc>
        <w:tc>
          <w:tcPr>
            <w:tcW w:w="743" w:type="dxa"/>
            <w:tcBorders>
              <w:top w:val="nil"/>
              <w:left w:val="nil"/>
              <w:bottom w:val="single" w:color="000000" w:sz="4" w:space="0"/>
              <w:right w:val="single" w:color="000000" w:sz="4" w:space="0"/>
            </w:tcBorders>
            <w:shd w:val="clear" w:color="auto" w:fill="auto"/>
            <w:noWrap/>
            <w:vAlign w:val="center"/>
          </w:tcPr>
          <w:p w14:paraId="3FC71A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05A9D8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5E9B5CF1">
        <w:trPr>
          <w:trHeight w:val="617" w:hRule="atLeast"/>
        </w:trPr>
        <w:tc>
          <w:tcPr>
            <w:tcW w:w="501" w:type="dxa"/>
            <w:vMerge w:val="restart"/>
            <w:tcBorders>
              <w:top w:val="nil"/>
              <w:left w:val="single" w:color="000000" w:sz="4" w:space="0"/>
              <w:bottom w:val="single" w:color="000000" w:sz="4" w:space="0"/>
              <w:right w:val="single" w:color="000000" w:sz="4" w:space="0"/>
            </w:tcBorders>
            <w:shd w:val="clear" w:color="auto" w:fill="auto"/>
            <w:vAlign w:val="top"/>
          </w:tcPr>
          <w:p w14:paraId="7086473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Style w:val="36"/>
                <w:color w:val="auto"/>
                <w:highlight w:val="none"/>
                <w:lang w:val="en-US" w:eastAsia="zh-CN" w:bidi="ar"/>
              </w:rPr>
              <w:t>1.6</w:t>
            </w:r>
          </w:p>
        </w:tc>
        <w:tc>
          <w:tcPr>
            <w:tcW w:w="1290" w:type="dxa"/>
            <w:vMerge w:val="restart"/>
            <w:tcBorders>
              <w:top w:val="nil"/>
              <w:left w:val="single" w:color="000000" w:sz="4" w:space="0"/>
              <w:bottom w:val="single" w:color="000000" w:sz="4" w:space="0"/>
              <w:right w:val="single" w:color="000000" w:sz="4" w:space="0"/>
            </w:tcBorders>
            <w:shd w:val="clear" w:color="auto" w:fill="auto"/>
            <w:vAlign w:val="top"/>
          </w:tcPr>
          <w:p w14:paraId="517B1BC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Style w:val="36"/>
                <w:color w:val="auto"/>
                <w:highlight w:val="none"/>
                <w:lang w:val="en-US" w:eastAsia="zh-CN" w:bidi="ar"/>
              </w:rPr>
              <w:t>网络版杀毒软件</w:t>
            </w:r>
          </w:p>
        </w:tc>
        <w:tc>
          <w:tcPr>
            <w:tcW w:w="5782" w:type="dxa"/>
            <w:tcBorders>
              <w:top w:val="nil"/>
              <w:left w:val="nil"/>
              <w:bottom w:val="single" w:color="000000" w:sz="4" w:space="0"/>
              <w:right w:val="single" w:color="000000" w:sz="4" w:space="0"/>
            </w:tcBorders>
            <w:shd w:val="clear" w:color="auto" w:fill="auto"/>
            <w:vAlign w:val="center"/>
          </w:tcPr>
          <w:p w14:paraId="3DD30DBF">
            <w:pPr>
              <w:keepNext w:val="0"/>
              <w:keepLines w:val="0"/>
              <w:widowControl/>
              <w:suppressLineNumbers w:val="0"/>
              <w:spacing w:after="240" w:afterAutospacing="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支持中/英文界面，系统部署采用 C/S 架构，管理采用 B/S 架构，管理员只需通过浏览器登录控制中心，即可对系统进行管理；</w:t>
            </w:r>
            <w:r>
              <w:rPr>
                <w:rStyle w:val="36"/>
                <w:color w:val="auto"/>
                <w:highlight w:val="none"/>
                <w:lang w:val="en-US" w:eastAsia="zh-CN" w:bidi="ar"/>
              </w:rPr>
              <w:br w:type="textWrapping"/>
            </w:r>
            <w:r>
              <w:rPr>
                <w:rStyle w:val="36"/>
                <w:color w:val="auto"/>
                <w:highlight w:val="none"/>
                <w:lang w:val="en-US" w:eastAsia="zh-CN" w:bidi="ar"/>
              </w:rPr>
              <w:t>支持对Windows、linux、Mac各种不同操作系统版本的客户端统一运维管控；</w:t>
            </w:r>
            <w:r>
              <w:rPr>
                <w:rStyle w:val="36"/>
                <w:color w:val="auto"/>
                <w:highlight w:val="none"/>
                <w:lang w:val="en-US" w:eastAsia="zh-CN" w:bidi="ar"/>
              </w:rPr>
              <w:br w:type="textWrapping"/>
            </w:r>
            <w:r>
              <w:rPr>
                <w:rStyle w:val="36"/>
                <w:color w:val="auto"/>
                <w:highlight w:val="none"/>
                <w:lang w:val="en-US" w:eastAsia="zh-CN" w:bidi="ar"/>
              </w:rPr>
              <w:t>支持Windows 7/Windows 8/Windows 8.1/Windows 10/Windows 11/Windows Server 2008R2/2012/2016/2019/2022/Ubuntu 16.04/Ubuntu 22.04/ CentOS 7/ CentOS 8 / RedHat6.1 /openSUSE</w:t>
            </w:r>
            <w:r>
              <w:rPr>
                <w:rStyle w:val="37"/>
                <w:color w:val="auto"/>
                <w:highlight w:val="none"/>
                <w:lang w:val="en-US" w:eastAsia="zh-CN" w:bidi="ar"/>
              </w:rPr>
              <w:t xml:space="preserve"> </w:t>
            </w:r>
            <w:r>
              <w:rPr>
                <w:rStyle w:val="36"/>
                <w:color w:val="auto"/>
                <w:highlight w:val="none"/>
                <w:lang w:val="en-US" w:eastAsia="zh-CN" w:bidi="ar"/>
              </w:rPr>
              <w:t>15 / UOS-20（统信）/ Kylin-v10-sp1 (麒麟)等；</w:t>
            </w:r>
            <w:r>
              <w:rPr>
                <w:rStyle w:val="36"/>
                <w:color w:val="auto"/>
                <w:highlight w:val="none"/>
                <w:lang w:val="en-US" w:eastAsia="zh-CN" w:bidi="ar"/>
              </w:rPr>
              <w:br w:type="textWrapping"/>
            </w:r>
            <w:r>
              <w:rPr>
                <w:rStyle w:val="36"/>
                <w:color w:val="auto"/>
                <w:highlight w:val="none"/>
                <w:lang w:val="en-US" w:eastAsia="zh-CN" w:bidi="ar"/>
              </w:rPr>
              <w:t>支持终端发现，可以通过扫描发现需要安装但没有安装终端的计算机，以免出现漏管漏控的情况；</w:t>
            </w:r>
            <w:r>
              <w:rPr>
                <w:rStyle w:val="36"/>
                <w:color w:val="auto"/>
                <w:highlight w:val="none"/>
                <w:lang w:val="en-US" w:eastAsia="zh-CN" w:bidi="ar"/>
              </w:rPr>
              <w:br w:type="textWrapping"/>
            </w:r>
            <w:r>
              <w:rPr>
                <w:rStyle w:val="36"/>
                <w:color w:val="auto"/>
                <w:highlight w:val="none"/>
                <w:lang w:val="en-US" w:eastAsia="zh-CN" w:bidi="ar"/>
              </w:rPr>
              <w:t>支持容灾备份功能，当主中心计算机遭受如宕机、断电、硬件/软件故障等意外情况或人为操作错误导致主中心计算机无法正常使用时，备用中心将顶替宕机的主中心且同步数据；</w:t>
            </w:r>
            <w:r>
              <w:rPr>
                <w:rStyle w:val="36"/>
                <w:color w:val="auto"/>
                <w:highlight w:val="none"/>
                <w:lang w:val="en-US" w:eastAsia="zh-CN" w:bidi="ar"/>
              </w:rPr>
              <w:br w:type="textWrapping"/>
            </w:r>
            <w:r>
              <w:rPr>
                <w:rStyle w:val="36"/>
                <w:color w:val="auto"/>
                <w:highlight w:val="none"/>
                <w:lang w:val="en-US" w:eastAsia="zh-CN" w:bidi="ar"/>
              </w:rPr>
              <w:t>支持自定义数据存放位置，可根据自身需要选择数据库：达梦数据、MySQL；</w:t>
            </w:r>
            <w:r>
              <w:rPr>
                <w:rStyle w:val="36"/>
                <w:color w:val="auto"/>
                <w:highlight w:val="none"/>
                <w:lang w:val="en-US" w:eastAsia="zh-CN" w:bidi="ar"/>
              </w:rPr>
              <w:br w:type="textWrapping"/>
            </w:r>
            <w:r>
              <w:rPr>
                <w:rStyle w:val="36"/>
                <w:color w:val="auto"/>
                <w:highlight w:val="none"/>
                <w:lang w:val="en-US" w:eastAsia="zh-CN" w:bidi="ar"/>
              </w:rPr>
              <w:t>支持展示全网终端安全概览：终端在线数量、异常终端数量、离线终端数量、已安装终端数量、未安装终端数量和授权使用情况；</w:t>
            </w:r>
            <w:r>
              <w:rPr>
                <w:rStyle w:val="36"/>
                <w:color w:val="auto"/>
                <w:highlight w:val="none"/>
                <w:lang w:val="en-US" w:eastAsia="zh-CN" w:bidi="ar"/>
              </w:rPr>
              <w:br w:type="textWrapping"/>
            </w:r>
            <w:r>
              <w:rPr>
                <w:rStyle w:val="36"/>
                <w:color w:val="auto"/>
                <w:highlight w:val="none"/>
                <w:lang w:val="en-US" w:eastAsia="zh-CN" w:bidi="ar"/>
              </w:rPr>
              <w:t>支持展示全网终端安全事件可视化数据：7/30天病毒查杀事件、7/30天漏洞修复事件、7/30天系统防护事件、7/30天网络防护事件、违规外联和软件禁用事件；</w:t>
            </w:r>
            <w:r>
              <w:rPr>
                <w:rStyle w:val="36"/>
                <w:color w:val="auto"/>
                <w:highlight w:val="none"/>
                <w:lang w:val="en-US" w:eastAsia="zh-CN" w:bidi="ar"/>
              </w:rPr>
              <w:br w:type="textWrapping"/>
            </w:r>
            <w:r>
              <w:rPr>
                <w:rStyle w:val="36"/>
                <w:color w:val="auto"/>
                <w:highlight w:val="none"/>
                <w:lang w:val="en-US" w:eastAsia="zh-CN" w:bidi="ar"/>
              </w:rPr>
              <w:t>支持监控中心服务器性能：CPU使用率、内存使用率、磁盘占用率、网络流量和备用中心使用状况；</w:t>
            </w:r>
            <w:r>
              <w:rPr>
                <w:rStyle w:val="36"/>
                <w:color w:val="auto"/>
                <w:highlight w:val="none"/>
                <w:lang w:val="en-US" w:eastAsia="zh-CN" w:bidi="ar"/>
              </w:rPr>
              <w:br w:type="textWrapping"/>
            </w:r>
            <w:r>
              <w:rPr>
                <w:rStyle w:val="36"/>
                <w:color w:val="auto"/>
                <w:highlight w:val="none"/>
                <w:lang w:val="en-US" w:eastAsia="zh-CN" w:bidi="ar"/>
              </w:rPr>
              <w:t>支持查看终端 CPU 利用率、内存利用率，以及终端最近 24 小时的上传、下载流量信息；</w:t>
            </w:r>
            <w:r>
              <w:rPr>
                <w:rStyle w:val="36"/>
                <w:color w:val="auto"/>
                <w:highlight w:val="none"/>
                <w:lang w:val="en-US" w:eastAsia="zh-CN" w:bidi="ar"/>
              </w:rPr>
              <w:br w:type="textWrapping"/>
            </w:r>
            <w:r>
              <w:rPr>
                <w:rStyle w:val="36"/>
                <w:color w:val="auto"/>
                <w:highlight w:val="none"/>
                <w:lang w:val="en-US" w:eastAsia="zh-CN" w:bidi="ar"/>
              </w:rPr>
              <w:t>支持定制防护策略以及策略细粒度配置：包括病毒防御（文件实时监控、恶意行为监控、内存防护、U盘保护、下载保护、邮件监控、Web扫描）；系统防御（系统加固、应用加固、软件安装拦截、浏览器保护、摄像头防护）；网络防御（网络入侵拦截、对外攻击拦截、恶意网站拦截、横向渗透防护、Web服务保护、暴破攻击防护、僵尸网络防护、远程登录防护）；访问控制（IP协议控制、IP黑名单、联网控制、网站内容控制、程序执行控制、设备控制）；行为管理（软件禁用、违规外联、桌面控制、安全基线检测）以及安全工具（弹窗拦截和垃圾清理设置）可根据不同分组需求定制不同的策略；</w:t>
            </w:r>
            <w:r>
              <w:rPr>
                <w:rStyle w:val="36"/>
                <w:color w:val="auto"/>
                <w:highlight w:val="none"/>
                <w:lang w:val="en-US" w:eastAsia="zh-CN" w:bidi="ar"/>
              </w:rPr>
              <w:br w:type="textWrapping"/>
            </w:r>
            <w:r>
              <w:rPr>
                <w:rStyle w:val="36"/>
                <w:color w:val="auto"/>
                <w:highlight w:val="none"/>
                <w:lang w:val="en-US" w:eastAsia="zh-CN" w:bidi="ar"/>
              </w:rPr>
              <w:t>支持中心事件邮件告警规则，当控制中心升级失败、一周未更新、中心磁盘达到阈值时，向管理者发送自定义信息的邮件通知；</w:t>
            </w:r>
          </w:p>
        </w:tc>
        <w:tc>
          <w:tcPr>
            <w:tcW w:w="743" w:type="dxa"/>
            <w:vMerge w:val="restart"/>
            <w:tcBorders>
              <w:top w:val="nil"/>
              <w:left w:val="single" w:color="000000" w:sz="4" w:space="0"/>
              <w:bottom w:val="single" w:color="000000" w:sz="4" w:space="0"/>
              <w:right w:val="single" w:color="000000" w:sz="4" w:space="0"/>
            </w:tcBorders>
            <w:shd w:val="clear" w:color="auto" w:fill="auto"/>
            <w:noWrap/>
            <w:vAlign w:val="center"/>
          </w:tcPr>
          <w:p w14:paraId="6E5487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vMerge w:val="restart"/>
            <w:tcBorders>
              <w:top w:val="nil"/>
              <w:left w:val="single" w:color="000000" w:sz="4" w:space="0"/>
              <w:bottom w:val="single" w:color="000000" w:sz="4" w:space="0"/>
              <w:right w:val="single" w:color="000000" w:sz="4" w:space="0"/>
            </w:tcBorders>
            <w:shd w:val="clear" w:color="auto" w:fill="auto"/>
            <w:noWrap/>
            <w:vAlign w:val="center"/>
          </w:tcPr>
          <w:p w14:paraId="32AD24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74B3993">
        <w:trPr>
          <w:trHeight w:val="1151" w:hRule="atLeast"/>
        </w:trPr>
        <w:tc>
          <w:tcPr>
            <w:tcW w:w="501" w:type="dxa"/>
            <w:vMerge w:val="continue"/>
            <w:tcBorders>
              <w:top w:val="nil"/>
              <w:left w:val="single" w:color="000000" w:sz="4" w:space="0"/>
              <w:bottom w:val="single" w:color="000000" w:sz="4" w:space="0"/>
              <w:right w:val="single" w:color="000000" w:sz="4" w:space="0"/>
            </w:tcBorders>
            <w:shd w:val="clear" w:color="auto" w:fill="auto"/>
            <w:vAlign w:val="top"/>
          </w:tcPr>
          <w:p w14:paraId="738E6A49">
            <w:pPr>
              <w:jc w:val="center"/>
              <w:rPr>
                <w:rFonts w:hint="eastAsia" w:ascii="仿宋" w:hAnsi="仿宋" w:eastAsia="仿宋" w:cs="仿宋"/>
                <w:i w:val="0"/>
                <w:iCs w:val="0"/>
                <w:color w:val="auto"/>
                <w:sz w:val="24"/>
                <w:szCs w:val="24"/>
                <w:highlight w:val="none"/>
                <w:u w:val="none"/>
              </w:rPr>
            </w:pPr>
          </w:p>
        </w:tc>
        <w:tc>
          <w:tcPr>
            <w:tcW w:w="1290" w:type="dxa"/>
            <w:vMerge w:val="continue"/>
            <w:tcBorders>
              <w:top w:val="nil"/>
              <w:left w:val="single" w:color="000000" w:sz="4" w:space="0"/>
              <w:bottom w:val="single" w:color="000000" w:sz="4" w:space="0"/>
              <w:right w:val="single" w:color="000000" w:sz="4" w:space="0"/>
            </w:tcBorders>
            <w:shd w:val="clear" w:color="auto" w:fill="auto"/>
            <w:vAlign w:val="top"/>
          </w:tcPr>
          <w:p w14:paraId="03D1CDB5">
            <w:pPr>
              <w:jc w:val="center"/>
              <w:rPr>
                <w:rFonts w:hint="eastAsia" w:ascii="仿宋" w:hAnsi="仿宋" w:eastAsia="仿宋" w:cs="仿宋"/>
                <w:i w:val="0"/>
                <w:iCs w:val="0"/>
                <w:color w:val="auto"/>
                <w:sz w:val="24"/>
                <w:szCs w:val="24"/>
                <w:highlight w:val="none"/>
                <w:u w:val="none"/>
              </w:rPr>
            </w:pPr>
          </w:p>
        </w:tc>
        <w:tc>
          <w:tcPr>
            <w:tcW w:w="5782" w:type="dxa"/>
            <w:tcBorders>
              <w:top w:val="nil"/>
              <w:left w:val="nil"/>
              <w:bottom w:val="single" w:color="000000" w:sz="4" w:space="0"/>
              <w:right w:val="single" w:color="000000" w:sz="4" w:space="0"/>
            </w:tcBorders>
            <w:shd w:val="clear" w:color="auto" w:fill="auto"/>
            <w:vAlign w:val="center"/>
          </w:tcPr>
          <w:p w14:paraId="138F8879">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具备事件日志模块，包含病毒查杀日志、病毒防御事件日志、系统防御事件日志、网络防御事件日志、访问控制事件日志、漏洞修复事件日志、终端管理日志、系统管理日志；</w:t>
            </w:r>
            <w:r>
              <w:rPr>
                <w:rStyle w:val="36"/>
                <w:color w:val="auto"/>
                <w:highlight w:val="none"/>
                <w:lang w:val="en-US" w:eastAsia="zh-CN" w:bidi="ar"/>
              </w:rPr>
              <w:br w:type="textWrapping"/>
            </w:r>
            <w:r>
              <w:rPr>
                <w:rStyle w:val="36"/>
                <w:color w:val="auto"/>
                <w:highlight w:val="none"/>
                <w:lang w:val="en-US" w:eastAsia="zh-CN" w:bidi="ar"/>
              </w:rPr>
              <w:t>配备安全工具及管理工具：域部署工具、离线升级工具、中心迁移工具、移动存储注册工具安全U盘程序、专杀工具、SHA-2代码签名补丁修复工具；管理员可设置高危操作动态认证，下发远程桌面任务、添加信任文件或进行文件分发时需要管理员进行二次动态认证后才可执行高危操作；支持备份终端信息,分组及规则,防护策略,事件日志,管理员信息,系统设置；支持自动备份，按照月/周/时间设置自动备份，可设置FTP备份路径和备份异常的处理方式；支持屏蔽搜索引擎功能，可阻止搜索引擎对中心地址的索引与抓取，当中心架设在公网时，避免他人通过搜索引擎获取地址后实施恶意访问；支持可对终端添加多个中心地址,当终端接入网络环境时,中心可对终端实施管控；支持第三方软件调用API接口，包括调用漏洞修复信息、下发查杀/隔离终端任务、调用接口获取全部分组信息、调用接口创建分组、调用接口修改分组名称、调用接口删除分组、调用接口查询上线终端情况、调用接口查询终端详情、调用接口修改终端名称、调用接口修改终端分组、调用接口查询资产登记信息、调用接口获取终端最后一次上线时间和最后一次与终端通信时间、调用接口获取终端开关机时间、调用接口获取软件的安装日期、调用接口通过mac地址查询终端信息、调用接口对终端发送通知；</w:t>
            </w:r>
          </w:p>
        </w:tc>
        <w:tc>
          <w:tcPr>
            <w:tcW w:w="74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34123D7">
            <w:pPr>
              <w:jc w:val="center"/>
              <w:rPr>
                <w:rFonts w:hint="eastAsia" w:ascii="仿宋" w:hAnsi="仿宋" w:eastAsia="仿宋" w:cs="仿宋"/>
                <w:i w:val="0"/>
                <w:iCs w:val="0"/>
                <w:color w:val="auto"/>
                <w:sz w:val="24"/>
                <w:szCs w:val="24"/>
                <w:highlight w:val="none"/>
                <w:u w:val="none"/>
              </w:rPr>
            </w:pPr>
          </w:p>
        </w:tc>
        <w:tc>
          <w:tcPr>
            <w:tcW w:w="71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9542023">
            <w:pPr>
              <w:jc w:val="center"/>
              <w:rPr>
                <w:rFonts w:hint="eastAsia" w:ascii="仿宋" w:hAnsi="仿宋" w:eastAsia="仿宋" w:cs="仿宋"/>
                <w:i w:val="0"/>
                <w:iCs w:val="0"/>
                <w:color w:val="auto"/>
                <w:sz w:val="24"/>
                <w:szCs w:val="24"/>
                <w:highlight w:val="none"/>
                <w:u w:val="none"/>
              </w:rPr>
            </w:pPr>
          </w:p>
        </w:tc>
      </w:tr>
      <w:tr w14:paraId="5D5A3BE0">
        <w:trPr>
          <w:trHeight w:val="8190" w:hRule="atLeast"/>
        </w:trPr>
        <w:tc>
          <w:tcPr>
            <w:tcW w:w="501" w:type="dxa"/>
            <w:tcBorders>
              <w:top w:val="nil"/>
              <w:left w:val="single" w:color="000000" w:sz="4" w:space="0"/>
              <w:bottom w:val="single" w:color="000000" w:sz="4" w:space="0"/>
              <w:right w:val="single" w:color="000000" w:sz="4" w:space="0"/>
            </w:tcBorders>
            <w:shd w:val="clear" w:color="auto" w:fill="auto"/>
            <w:vAlign w:val="top"/>
          </w:tcPr>
          <w:p w14:paraId="693984C6">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top"/>
          </w:tcPr>
          <w:p w14:paraId="0EB73FDA">
            <w:pPr>
              <w:jc w:val="center"/>
              <w:rPr>
                <w:rFonts w:hint="eastAsia" w:ascii="仿宋" w:hAnsi="仿宋" w:eastAsia="仿宋" w:cs="仿宋"/>
                <w:i w:val="0"/>
                <w:iCs w:val="0"/>
                <w:color w:val="auto"/>
                <w:sz w:val="24"/>
                <w:szCs w:val="24"/>
                <w:highlight w:val="none"/>
                <w:u w:val="none"/>
              </w:rPr>
            </w:pPr>
          </w:p>
        </w:tc>
        <w:tc>
          <w:tcPr>
            <w:tcW w:w="5782" w:type="dxa"/>
            <w:tcBorders>
              <w:top w:val="nil"/>
              <w:left w:val="nil"/>
              <w:bottom w:val="single" w:color="000000" w:sz="4" w:space="0"/>
              <w:right w:val="single" w:color="000000" w:sz="4" w:space="0"/>
            </w:tcBorders>
            <w:shd w:val="clear" w:color="auto" w:fill="auto"/>
            <w:vAlign w:val="center"/>
          </w:tcPr>
          <w:p w14:paraId="7A29EF7D">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展示并导出终端基本信息，包括但不限于终端名称、计算机名称、终端分组、安全风险、本地IP、通信IP、MAC地址、终端类型、操作系统名称、主机序列号、病毒库版本、终端版本、唯一标识、防御功能状态、终端隔离状态、策略同步状态、最后登录用户、最后上线时间、首次上线时间、上次关机时间、本次开机时间和终端标签，累计上传流量、累计下载流量可组合检索项进行全方位查询、定位、展示，并支持信息导出；支持对终端下发快速查杀、全盘查杀、自定查杀任务且可设置不允许终端暂停或停止查杀任务以及查杀任务完成时自动关机；可推送终端升级、发送通知、同步防护策略、垃圾清理、关机、重启等任务；中心支持将终端禁网，实现上网行为管控支持将终端隔离区内文件恢复支持将终端拉黑，避免占用授权点数；支持热补丁机制，利用产品自身防御功能，防护其他软件以及系统出现的漏洞，阻止对计算机造成损害与入侵；具有反病毒底层技术，反病毒引擎为本地反病毒引擎，不依赖云（联网时的病毒查杀能力与断网时的病毒查杀能力一致）具有轻量级的病毒库，却有较强的病毒查杀能力；支持Web扫描，应用程序与网站服务器进行通讯时，Web 扫描功能会检测网站服务器返回的数据，并及时阻止其中的恶意代码；支持网络入侵拦截，拦截高危远程漏洞攻击，从而阻止勒索病毒、黑客攻击等通过响应漏洞入侵，可溯源到攻击源的地址，做出有效的动作，阻止病毒爆发；支持对外攻击检测，检测内网机器对外攻击情况阻止并且记录；支持远程登录防护， 针对弱口令账号的有效防御手段，阻止黑客通过暴力猜密码入侵电脑，可以有效的阻止基于RDP协议的入侵方式；</w:t>
            </w:r>
          </w:p>
        </w:tc>
        <w:tc>
          <w:tcPr>
            <w:tcW w:w="743" w:type="dxa"/>
            <w:tcBorders>
              <w:top w:val="nil"/>
              <w:left w:val="nil"/>
              <w:bottom w:val="single" w:color="000000" w:sz="4" w:space="0"/>
              <w:right w:val="single" w:color="000000" w:sz="4" w:space="0"/>
            </w:tcBorders>
            <w:shd w:val="clear" w:color="auto" w:fill="auto"/>
            <w:noWrap/>
            <w:vAlign w:val="center"/>
          </w:tcPr>
          <w:p w14:paraId="7FFC7304">
            <w:pPr>
              <w:jc w:val="center"/>
              <w:rPr>
                <w:rFonts w:hint="eastAsia" w:ascii="仿宋" w:hAnsi="仿宋" w:eastAsia="仿宋" w:cs="仿宋"/>
                <w:i w:val="0"/>
                <w:iCs w:val="0"/>
                <w:color w:val="auto"/>
                <w:sz w:val="24"/>
                <w:szCs w:val="24"/>
                <w:highlight w:val="none"/>
                <w:u w:val="none"/>
              </w:rPr>
            </w:pPr>
          </w:p>
        </w:tc>
        <w:tc>
          <w:tcPr>
            <w:tcW w:w="715" w:type="dxa"/>
            <w:tcBorders>
              <w:top w:val="nil"/>
              <w:left w:val="nil"/>
              <w:bottom w:val="single" w:color="000000" w:sz="4" w:space="0"/>
              <w:right w:val="single" w:color="000000" w:sz="4" w:space="0"/>
            </w:tcBorders>
            <w:shd w:val="clear" w:color="auto" w:fill="auto"/>
            <w:noWrap/>
            <w:vAlign w:val="center"/>
          </w:tcPr>
          <w:p w14:paraId="40356B3D">
            <w:pPr>
              <w:jc w:val="center"/>
              <w:rPr>
                <w:rFonts w:hint="eastAsia" w:ascii="仿宋" w:hAnsi="仿宋" w:eastAsia="仿宋" w:cs="仿宋"/>
                <w:i w:val="0"/>
                <w:iCs w:val="0"/>
                <w:color w:val="auto"/>
                <w:sz w:val="24"/>
                <w:szCs w:val="24"/>
                <w:highlight w:val="none"/>
                <w:u w:val="none"/>
              </w:rPr>
            </w:pPr>
          </w:p>
        </w:tc>
      </w:tr>
      <w:tr w14:paraId="44BB1201">
        <w:trPr>
          <w:trHeight w:val="1984"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3240EF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290" w:type="dxa"/>
            <w:tcBorders>
              <w:top w:val="nil"/>
              <w:left w:val="nil"/>
              <w:bottom w:val="single" w:color="000000" w:sz="4" w:space="0"/>
              <w:right w:val="single" w:color="000000" w:sz="4" w:space="0"/>
            </w:tcBorders>
            <w:shd w:val="clear" w:color="auto" w:fill="auto"/>
            <w:vAlign w:val="center"/>
          </w:tcPr>
          <w:p w14:paraId="6B2B6F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省市县三级专线路由器</w:t>
            </w:r>
          </w:p>
        </w:tc>
        <w:tc>
          <w:tcPr>
            <w:tcW w:w="5782" w:type="dxa"/>
            <w:tcBorders>
              <w:top w:val="nil"/>
              <w:left w:val="nil"/>
              <w:bottom w:val="single" w:color="000000" w:sz="4" w:space="0"/>
              <w:right w:val="single" w:color="000000" w:sz="4" w:space="0"/>
            </w:tcBorders>
            <w:shd w:val="clear" w:color="auto" w:fill="auto"/>
            <w:noWrap/>
            <w:vAlign w:val="center"/>
          </w:tcPr>
          <w:p w14:paraId="3101614D">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包转发率60Mpps，业务槽位数量：4*SIC+2*HMIM，固定接口：WAN：6*10GE光+8*GE电；LAN：8*GE电，NAT吞吐量(IMIX)25900Mbps，防火墙吞吐量(IMIX)25600Mbps，IPSec吞吐量(IMIX)4950Mbps，新建连接数300k/s，并发连接数500k/s</w:t>
            </w:r>
          </w:p>
        </w:tc>
        <w:tc>
          <w:tcPr>
            <w:tcW w:w="743" w:type="dxa"/>
            <w:tcBorders>
              <w:top w:val="nil"/>
              <w:left w:val="nil"/>
              <w:bottom w:val="single" w:color="000000" w:sz="4" w:space="0"/>
              <w:right w:val="single" w:color="000000" w:sz="4" w:space="0"/>
            </w:tcBorders>
            <w:shd w:val="clear" w:color="auto" w:fill="auto"/>
            <w:noWrap/>
            <w:vAlign w:val="center"/>
          </w:tcPr>
          <w:p w14:paraId="0AA728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15" w:type="dxa"/>
            <w:tcBorders>
              <w:top w:val="nil"/>
              <w:left w:val="nil"/>
              <w:bottom w:val="single" w:color="000000" w:sz="4" w:space="0"/>
              <w:right w:val="single" w:color="000000" w:sz="4" w:space="0"/>
            </w:tcBorders>
            <w:shd w:val="clear" w:color="auto" w:fill="auto"/>
            <w:noWrap/>
            <w:vAlign w:val="center"/>
          </w:tcPr>
          <w:p w14:paraId="44643E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4D52F10D">
        <w:trPr>
          <w:trHeight w:val="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2F8D36D6">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2</w:t>
            </w:r>
          </w:p>
        </w:tc>
        <w:tc>
          <w:tcPr>
            <w:tcW w:w="8530" w:type="dxa"/>
            <w:gridSpan w:val="4"/>
            <w:tcBorders>
              <w:top w:val="nil"/>
              <w:left w:val="nil"/>
              <w:bottom w:val="single" w:color="000000" w:sz="4" w:space="0"/>
              <w:right w:val="single" w:color="000000" w:sz="4" w:space="0"/>
            </w:tcBorders>
            <w:shd w:val="clear" w:color="auto" w:fill="auto"/>
            <w:vAlign w:val="center"/>
          </w:tcPr>
          <w:p w14:paraId="7968A19F">
            <w:pPr>
              <w:jc w:val="left"/>
              <w:rPr>
                <w:rFonts w:hint="eastAsia" w:ascii="仿宋" w:hAnsi="仿宋" w:eastAsia="仿宋" w:cs="仿宋"/>
                <w:i w:val="0"/>
                <w:iCs w:val="0"/>
                <w:color w:val="auto"/>
                <w:sz w:val="24"/>
                <w:szCs w:val="24"/>
                <w:highlight w:val="none"/>
                <w:u w:val="none"/>
              </w:rPr>
            </w:pPr>
            <w:r>
              <w:rPr>
                <w:rFonts w:hint="eastAsia" w:ascii="黑体" w:hAnsi="宋体" w:eastAsia="黑体" w:cs="黑体"/>
                <w:i w:val="0"/>
                <w:iCs w:val="0"/>
                <w:color w:val="auto"/>
                <w:kern w:val="0"/>
                <w:sz w:val="28"/>
                <w:szCs w:val="28"/>
                <w:highlight w:val="none"/>
                <w:u w:val="none"/>
                <w:lang w:val="en-US" w:eastAsia="zh-CN" w:bidi="ar"/>
              </w:rPr>
              <w:t>精准化气象预报预警系统</w:t>
            </w:r>
          </w:p>
        </w:tc>
      </w:tr>
      <w:tr w14:paraId="4C0DD33C">
        <w:trPr>
          <w:trHeight w:val="1974"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7460C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290" w:type="dxa"/>
            <w:tcBorders>
              <w:top w:val="nil"/>
              <w:left w:val="nil"/>
              <w:bottom w:val="single" w:color="000000" w:sz="4" w:space="0"/>
              <w:right w:val="single" w:color="000000" w:sz="4" w:space="0"/>
            </w:tcBorders>
            <w:shd w:val="clear" w:color="auto" w:fill="auto"/>
            <w:vAlign w:val="center"/>
          </w:tcPr>
          <w:p w14:paraId="011618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三省联防实时数据（雨量）共享系统</w:t>
            </w:r>
          </w:p>
        </w:tc>
        <w:tc>
          <w:tcPr>
            <w:tcW w:w="5782" w:type="dxa"/>
            <w:tcBorders>
              <w:top w:val="nil"/>
              <w:left w:val="nil"/>
              <w:bottom w:val="single" w:color="000000" w:sz="4" w:space="0"/>
              <w:right w:val="single" w:color="000000" w:sz="4" w:space="0"/>
            </w:tcBorders>
            <w:shd w:val="clear" w:color="auto" w:fill="auto"/>
            <w:noWrap/>
            <w:vAlign w:val="center"/>
          </w:tcPr>
          <w:p w14:paraId="69539B18">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基于WEBGIS平台，叠加显示气象自动站数据。可通过选择区域名称将地图快速定位显示至所选区域，区域选择支持三省七市（三门峡、洛阳、济源、临汾、运城、渭南、商洛）。支持站点的筛选，同时提供雨量值的超出阈值的筛选。通过选择时间段，查看该时段内雨量的过去1小时（1分钟数据）、过去4小时（10分钟数据）、过去24小时（小时数据）、过去12小时+未来12小时（小时数据）演变过程时序图，时间段选择可精确到分钟。（详见附件1）</w:t>
            </w:r>
          </w:p>
        </w:tc>
        <w:tc>
          <w:tcPr>
            <w:tcW w:w="743" w:type="dxa"/>
            <w:tcBorders>
              <w:top w:val="nil"/>
              <w:left w:val="nil"/>
              <w:bottom w:val="single" w:color="000000" w:sz="4" w:space="0"/>
              <w:right w:val="single" w:color="000000" w:sz="4" w:space="0"/>
            </w:tcBorders>
            <w:shd w:val="clear" w:color="auto" w:fill="auto"/>
            <w:noWrap/>
            <w:vAlign w:val="center"/>
          </w:tcPr>
          <w:p w14:paraId="32DD44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715" w:type="dxa"/>
            <w:tcBorders>
              <w:top w:val="nil"/>
              <w:left w:val="nil"/>
              <w:bottom w:val="single" w:color="000000" w:sz="4" w:space="0"/>
              <w:right w:val="single" w:color="000000" w:sz="4" w:space="0"/>
            </w:tcBorders>
            <w:shd w:val="clear" w:color="auto" w:fill="auto"/>
            <w:noWrap/>
            <w:vAlign w:val="center"/>
          </w:tcPr>
          <w:p w14:paraId="57CBA0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4BD0100">
        <w:trPr>
          <w:trHeight w:val="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5616F3B3">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3</w:t>
            </w:r>
          </w:p>
        </w:tc>
        <w:tc>
          <w:tcPr>
            <w:tcW w:w="8530" w:type="dxa"/>
            <w:gridSpan w:val="4"/>
            <w:tcBorders>
              <w:top w:val="nil"/>
              <w:left w:val="nil"/>
              <w:bottom w:val="single" w:color="000000" w:sz="4" w:space="0"/>
              <w:right w:val="single" w:color="000000" w:sz="4" w:space="0"/>
            </w:tcBorders>
            <w:shd w:val="clear" w:color="auto" w:fill="auto"/>
            <w:vAlign w:val="center"/>
          </w:tcPr>
          <w:p w14:paraId="45C12AB9">
            <w:pPr>
              <w:jc w:val="left"/>
              <w:rPr>
                <w:rFonts w:hint="eastAsia" w:ascii="仿宋" w:hAnsi="仿宋" w:eastAsia="仿宋" w:cs="仿宋"/>
                <w:i w:val="0"/>
                <w:iCs w:val="0"/>
                <w:color w:val="auto"/>
                <w:sz w:val="24"/>
                <w:szCs w:val="24"/>
                <w:highlight w:val="none"/>
                <w:u w:val="none"/>
              </w:rPr>
            </w:pPr>
            <w:r>
              <w:rPr>
                <w:rFonts w:hint="eastAsia" w:ascii="黑体" w:hAnsi="宋体" w:eastAsia="黑体" w:cs="黑体"/>
                <w:i w:val="0"/>
                <w:iCs w:val="0"/>
                <w:color w:val="auto"/>
                <w:kern w:val="0"/>
                <w:sz w:val="28"/>
                <w:szCs w:val="28"/>
                <w:highlight w:val="none"/>
                <w:u w:val="none"/>
                <w:lang w:val="en-US" w:eastAsia="zh-CN" w:bidi="ar"/>
              </w:rPr>
              <w:t>智慧型公共气象服务系统</w:t>
            </w:r>
          </w:p>
        </w:tc>
      </w:tr>
      <w:tr w14:paraId="390A3129">
        <w:trPr>
          <w:trHeight w:val="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2BB54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1290" w:type="dxa"/>
            <w:tcBorders>
              <w:top w:val="nil"/>
              <w:left w:val="nil"/>
              <w:bottom w:val="single" w:color="000000" w:sz="4" w:space="0"/>
              <w:right w:val="single" w:color="000000" w:sz="4" w:space="0"/>
            </w:tcBorders>
            <w:shd w:val="clear" w:color="auto" w:fill="auto"/>
            <w:vAlign w:val="center"/>
          </w:tcPr>
          <w:p w14:paraId="07304E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城市暴雨公式修编</w:t>
            </w:r>
          </w:p>
        </w:tc>
        <w:tc>
          <w:tcPr>
            <w:tcW w:w="5782" w:type="dxa"/>
            <w:tcBorders>
              <w:top w:val="nil"/>
              <w:left w:val="nil"/>
              <w:bottom w:val="single" w:color="000000" w:sz="4" w:space="0"/>
              <w:right w:val="single" w:color="000000" w:sz="4" w:space="0"/>
            </w:tcBorders>
            <w:shd w:val="clear" w:color="auto" w:fill="auto"/>
            <w:noWrap/>
            <w:vAlign w:val="center"/>
          </w:tcPr>
          <w:p w14:paraId="6E51DE9A">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分析自1960～2020年60年以来的资料，收集城市区域雨量站点降雨资料，在对站点分钟降雨资料进行整理并建立数据库的基础上，采取年最大值法进行推导。（详见附件2）</w:t>
            </w:r>
          </w:p>
        </w:tc>
        <w:tc>
          <w:tcPr>
            <w:tcW w:w="743" w:type="dxa"/>
            <w:tcBorders>
              <w:top w:val="nil"/>
              <w:left w:val="nil"/>
              <w:bottom w:val="single" w:color="000000" w:sz="4" w:space="0"/>
              <w:right w:val="single" w:color="000000" w:sz="4" w:space="0"/>
            </w:tcBorders>
            <w:shd w:val="clear" w:color="auto" w:fill="auto"/>
            <w:noWrap/>
            <w:vAlign w:val="center"/>
          </w:tcPr>
          <w:p w14:paraId="5F0327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715" w:type="dxa"/>
            <w:tcBorders>
              <w:top w:val="nil"/>
              <w:left w:val="nil"/>
              <w:bottom w:val="single" w:color="000000" w:sz="4" w:space="0"/>
              <w:right w:val="single" w:color="000000" w:sz="4" w:space="0"/>
            </w:tcBorders>
            <w:shd w:val="clear" w:color="auto" w:fill="auto"/>
            <w:noWrap/>
            <w:vAlign w:val="center"/>
          </w:tcPr>
          <w:p w14:paraId="7969AA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B915C58">
        <w:trPr>
          <w:trHeight w:val="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3B6323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8530" w:type="dxa"/>
            <w:gridSpan w:val="4"/>
            <w:tcBorders>
              <w:top w:val="nil"/>
              <w:left w:val="nil"/>
              <w:bottom w:val="single" w:color="000000" w:sz="4" w:space="0"/>
              <w:right w:val="single" w:color="000000" w:sz="4" w:space="0"/>
            </w:tcBorders>
            <w:shd w:val="clear" w:color="auto" w:fill="auto"/>
            <w:vAlign w:val="center"/>
          </w:tcPr>
          <w:p w14:paraId="3D502ECF">
            <w:pPr>
              <w:jc w:val="left"/>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气象决策展示系统</w:t>
            </w:r>
          </w:p>
        </w:tc>
      </w:tr>
      <w:tr w14:paraId="3819B974">
        <w:trPr>
          <w:trHeight w:val="8190" w:hRule="atLeast"/>
        </w:trPr>
        <w:tc>
          <w:tcPr>
            <w:tcW w:w="501" w:type="dxa"/>
            <w:vMerge w:val="restart"/>
            <w:tcBorders>
              <w:top w:val="nil"/>
              <w:left w:val="single" w:color="000000" w:sz="4" w:space="0"/>
              <w:bottom w:val="single" w:color="000000" w:sz="4" w:space="0"/>
              <w:right w:val="single" w:color="000000" w:sz="4" w:space="0"/>
            </w:tcBorders>
            <w:shd w:val="clear" w:color="auto" w:fill="auto"/>
            <w:vAlign w:val="center"/>
          </w:tcPr>
          <w:p w14:paraId="444E6F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3.2.1</w:t>
            </w:r>
          </w:p>
        </w:tc>
        <w:tc>
          <w:tcPr>
            <w:tcW w:w="1290" w:type="dxa"/>
            <w:vMerge w:val="restart"/>
            <w:tcBorders>
              <w:top w:val="nil"/>
              <w:left w:val="single" w:color="000000" w:sz="4" w:space="0"/>
              <w:bottom w:val="single" w:color="000000" w:sz="4" w:space="0"/>
              <w:right w:val="single" w:color="000000" w:sz="4" w:space="0"/>
            </w:tcBorders>
            <w:shd w:val="clear" w:color="auto" w:fill="auto"/>
            <w:vAlign w:val="center"/>
          </w:tcPr>
          <w:p w14:paraId="63329D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气象决策综合业务显示系统</w:t>
            </w:r>
          </w:p>
        </w:tc>
        <w:tc>
          <w:tcPr>
            <w:tcW w:w="5782" w:type="dxa"/>
            <w:vMerge w:val="restart"/>
            <w:tcBorders>
              <w:top w:val="nil"/>
              <w:left w:val="single" w:color="000000" w:sz="4" w:space="0"/>
              <w:bottom w:val="single" w:color="000000" w:sz="4" w:space="0"/>
              <w:right w:val="single" w:color="000000" w:sz="4" w:space="0"/>
            </w:tcBorders>
            <w:shd w:val="clear" w:color="auto" w:fill="auto"/>
            <w:vAlign w:val="center"/>
          </w:tcPr>
          <w:p w14:paraId="546B5697">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配置气象大数据可视化系统，充分挖掘气象部门相关数据，将各类数据汇交集中，以可视化的方式展现出来，用以满足不同应用场景下对数据展示应用的需求。</w:t>
            </w:r>
            <w:r>
              <w:rPr>
                <w:rStyle w:val="36"/>
                <w:color w:val="auto"/>
                <w:highlight w:val="none"/>
                <w:lang w:val="en-US" w:eastAsia="zh-CN" w:bidi="ar"/>
              </w:rPr>
              <w:br w:type="textWrapping"/>
            </w:r>
            <w:r>
              <w:rPr>
                <w:rStyle w:val="36"/>
                <w:color w:val="auto"/>
                <w:highlight w:val="none"/>
                <w:lang w:val="en-US" w:eastAsia="zh-CN" w:bidi="ar"/>
              </w:rPr>
              <w:t>系统基于探索式分析，支持智能推荐图形、图表协同过滤、全维度数据钻取，帮助用户快速定位并发现问题。内置多种展示方式+数据自由拼装，拖拽式的操作，简单易用。</w:t>
            </w:r>
            <w:r>
              <w:rPr>
                <w:rStyle w:val="36"/>
                <w:color w:val="auto"/>
                <w:highlight w:val="none"/>
                <w:lang w:val="en-US" w:eastAsia="zh-CN" w:bidi="ar"/>
              </w:rPr>
              <w:br w:type="textWrapping"/>
            </w:r>
            <w:r>
              <w:rPr>
                <w:rStyle w:val="36"/>
                <w:color w:val="auto"/>
                <w:highlight w:val="none"/>
                <w:lang w:val="en-US" w:eastAsia="zh-CN" w:bidi="ar"/>
              </w:rPr>
              <w:t>支持所见即所得的 WEB 基础的数据 IDE 设计工具，IDE 工具需支持 GIS 控件，图表控件，表格控件，图像控件，文字控件等多种可编辑可绑定数据控制，使用拖拽与选择方式进行数据页面的编辑与预览整合。</w:t>
            </w:r>
            <w:r>
              <w:rPr>
                <w:rStyle w:val="36"/>
                <w:color w:val="auto"/>
                <w:highlight w:val="none"/>
                <w:lang w:val="en-US" w:eastAsia="zh-CN" w:bidi="ar"/>
              </w:rPr>
              <w:br w:type="textWrapping"/>
            </w:r>
            <w:r>
              <w:rPr>
                <w:rStyle w:val="36"/>
                <w:color w:val="auto"/>
                <w:highlight w:val="none"/>
                <w:lang w:val="en-US" w:eastAsia="zh-CN" w:bidi="ar"/>
              </w:rPr>
              <w:t>整个应用基于云服务，基于气象大数据可视化引擎的直连模式、本地模式以及分布式模式，可支撑气象数据分析的各种应用场景，既显著降低了气象数据分析门槛，又提供了更为丰富的可视化效果。</w:t>
            </w:r>
            <w:r>
              <w:rPr>
                <w:rStyle w:val="36"/>
                <w:color w:val="auto"/>
                <w:highlight w:val="none"/>
                <w:lang w:val="en-US" w:eastAsia="zh-CN" w:bidi="ar"/>
              </w:rPr>
              <w:br w:type="textWrapping"/>
            </w:r>
            <w:r>
              <w:rPr>
                <w:rStyle w:val="36"/>
                <w:color w:val="auto"/>
                <w:highlight w:val="none"/>
                <w:lang w:val="en-US" w:eastAsia="zh-CN" w:bidi="ar"/>
              </w:rPr>
              <w:t>1.COB LED显示屏，像素点间距≤0.93mm。</w:t>
            </w:r>
            <w:r>
              <w:rPr>
                <w:rStyle w:val="36"/>
                <w:color w:val="auto"/>
                <w:highlight w:val="none"/>
                <w:lang w:val="en-US" w:eastAsia="zh-CN" w:bidi="ar"/>
              </w:rPr>
              <w:br w:type="textWrapping"/>
            </w:r>
            <w:r>
              <w:rPr>
                <w:rStyle w:val="36"/>
                <w:color w:val="auto"/>
                <w:highlight w:val="none"/>
                <w:lang w:val="en-US" w:eastAsia="zh-CN" w:bidi="ar"/>
              </w:rPr>
              <w:t xml:space="preserve">2.尺寸要求：整屏宽：6000mm，高：1687.5mm。根据现场环境及装修尺寸要求，投标显示屏宽、高净尺寸±误差≤0.05米，整屏面积≥10.12㎡（含备品0.2），分辨率≥6400×1800。 </w:t>
            </w:r>
            <w:r>
              <w:rPr>
                <w:rStyle w:val="36"/>
                <w:color w:val="auto"/>
                <w:highlight w:val="none"/>
                <w:lang w:val="en-US" w:eastAsia="zh-CN" w:bidi="ar"/>
              </w:rPr>
              <w:br w:type="textWrapping"/>
            </w:r>
            <w:r>
              <w:rPr>
                <w:rStyle w:val="36"/>
                <w:color w:val="auto"/>
                <w:highlight w:val="none"/>
                <w:lang w:val="en-US" w:eastAsia="zh-CN" w:bidi="ar"/>
              </w:rPr>
              <w:t>3.封装工艺：采用全倒装芯片 COB 封装(集成三合一)技术，R/G/B晶片均为倒装，所有晶片与PCB基板不使用任何材质的线材连接，无回流焊，无裸露焊脚焊点，无二次灌封，表面无覆膜。</w:t>
            </w:r>
            <w:r>
              <w:rPr>
                <w:rStyle w:val="36"/>
                <w:color w:val="auto"/>
                <w:highlight w:val="none"/>
                <w:lang w:val="en-US" w:eastAsia="zh-CN" w:bidi="ar"/>
              </w:rPr>
              <w:br w:type="textWrapping"/>
            </w:r>
            <w:r>
              <w:rPr>
                <w:rStyle w:val="36"/>
                <w:color w:val="auto"/>
                <w:highlight w:val="none"/>
                <w:lang w:val="en-US" w:eastAsia="zh-CN" w:bidi="ar"/>
              </w:rPr>
              <w:t>4.LED显示屏亮度均匀性校正后≥99.6％，色度均匀性x≤0.0009，y≤0.0009。</w:t>
            </w:r>
            <w:r>
              <w:rPr>
                <w:rStyle w:val="36"/>
                <w:color w:val="auto"/>
                <w:highlight w:val="none"/>
                <w:lang w:val="en-US" w:eastAsia="zh-CN" w:bidi="ar"/>
              </w:rPr>
              <w:br w:type="textWrapping"/>
            </w:r>
            <w:r>
              <w:rPr>
                <w:rStyle w:val="36"/>
                <w:color w:val="auto"/>
                <w:highlight w:val="none"/>
                <w:lang w:val="en-US" w:eastAsia="zh-CN" w:bidi="ar"/>
              </w:rPr>
              <w:t>5.LED显示屏刷新率≥3840Hz，支持通过配套控制软件自定义刷新率设置选项；换帧频率≥60Hz。</w:t>
            </w:r>
            <w:r>
              <w:rPr>
                <w:rStyle w:val="36"/>
                <w:color w:val="auto"/>
                <w:highlight w:val="none"/>
                <w:lang w:val="en-US" w:eastAsia="zh-CN" w:bidi="ar"/>
              </w:rPr>
              <w:br w:type="textWrapping"/>
            </w:r>
            <w:r>
              <w:rPr>
                <w:rStyle w:val="36"/>
                <w:color w:val="auto"/>
                <w:highlight w:val="none"/>
                <w:lang w:val="en-US" w:eastAsia="zh-CN" w:bidi="ar"/>
              </w:rPr>
              <w:t>6.LED显示屏色温1000-24000K可调，调节步长100K，色温值可自定义。在1000-24000K时，100%、75%、50%、25%四档电平白场调节色温误差≤100K。</w:t>
            </w:r>
            <w:r>
              <w:rPr>
                <w:rStyle w:val="36"/>
                <w:color w:val="auto"/>
                <w:highlight w:val="none"/>
                <w:lang w:val="en-US" w:eastAsia="zh-CN" w:bidi="ar"/>
              </w:rPr>
              <w:br w:type="textWrapping"/>
            </w:r>
            <w:r>
              <w:rPr>
                <w:rStyle w:val="36"/>
                <w:color w:val="auto"/>
                <w:highlight w:val="none"/>
                <w:lang w:val="en-US" w:eastAsia="zh-CN" w:bidi="ar"/>
              </w:rPr>
              <w:t>7.LED显示屏静态对比度≥100000:1，动态对比度≥1000000:1。</w:t>
            </w:r>
            <w:r>
              <w:rPr>
                <w:rStyle w:val="36"/>
                <w:color w:val="auto"/>
                <w:highlight w:val="none"/>
                <w:lang w:val="en-US" w:eastAsia="zh-CN" w:bidi="ar"/>
              </w:rPr>
              <w:br w:type="textWrapping"/>
            </w:r>
            <w:r>
              <w:rPr>
                <w:rStyle w:val="36"/>
                <w:color w:val="auto"/>
                <w:highlight w:val="none"/>
                <w:lang w:val="en-US" w:eastAsia="zh-CN" w:bidi="ar"/>
              </w:rPr>
              <w:t>8.为达到节能环保效果，LED显示屏采用共阴原理设计。</w:t>
            </w:r>
            <w:r>
              <w:rPr>
                <w:rStyle w:val="36"/>
                <w:color w:val="auto"/>
                <w:highlight w:val="none"/>
                <w:lang w:val="en-US" w:eastAsia="zh-CN" w:bidi="ar"/>
              </w:rPr>
              <w:br w:type="textWrapping"/>
            </w:r>
            <w:r>
              <w:rPr>
                <w:rStyle w:val="36"/>
                <w:color w:val="auto"/>
                <w:highlight w:val="none"/>
                <w:lang w:val="en-US" w:eastAsia="zh-CN" w:bidi="ar"/>
              </w:rPr>
              <w:t>9.LED显示屏应具有防潮、防尘、防火、防雷、防高温、防辐射、抗UV、防腐蚀、防燃烧、防静电、防碰撞、防摔、防盐雾、防电磁干扰、抗震动、防氧化、耐磨、易清洁、耐冲击、抗雷击等功能，具有过流、过压、欠压、短路、断电、漏电保护，分步上电等保护措施，具有烟雾、温升和故障报警功能，提供电源实时温度监控，超出设定温度自动报警，防止过温失效，具有动态扫描保护功能。</w:t>
            </w:r>
            <w:r>
              <w:rPr>
                <w:rStyle w:val="36"/>
                <w:color w:val="auto"/>
                <w:highlight w:val="none"/>
                <w:lang w:val="en-US" w:eastAsia="zh-CN" w:bidi="ar"/>
              </w:rPr>
              <w:br w:type="textWrapping"/>
            </w:r>
            <w:r>
              <w:rPr>
                <w:rStyle w:val="36"/>
                <w:color w:val="auto"/>
                <w:highlight w:val="none"/>
                <w:lang w:val="en-US" w:eastAsia="zh-CN" w:bidi="ar"/>
              </w:rPr>
              <w:t>10.LED显示屏内置多种自动GAMMA 曲线智能调节技术，可以适时调整屏体色温曲线，解决不同屏幕亮度不均匀带来的白平衡一致性不良问题，满足不同现实场景亮度、色彩一致性要求。</w:t>
            </w:r>
            <w:r>
              <w:rPr>
                <w:rStyle w:val="36"/>
                <w:color w:val="auto"/>
                <w:highlight w:val="none"/>
                <w:lang w:val="en-US" w:eastAsia="zh-CN" w:bidi="ar"/>
              </w:rPr>
              <w:br w:type="textWrapping"/>
            </w:r>
            <w:r>
              <w:rPr>
                <w:rStyle w:val="36"/>
                <w:color w:val="auto"/>
                <w:highlight w:val="none"/>
                <w:lang w:val="en-US" w:eastAsia="zh-CN" w:bidi="ar"/>
              </w:rPr>
              <w:t>11.LED显示屏支持采用双发送卡互为备份方式，任一套发送卡故障不影响单元显示；单元支持采用双接收信号备份，箱体内两套接收信号卡互为备份方式，任一接收信号卡故障不影响单元显示；屏体支持 N+1、N+2 电源冗余备份，在某一电源出现故障后，冗余电源可自动切换，使屏体可以继续正常工作。</w:t>
            </w:r>
            <w:r>
              <w:rPr>
                <w:rStyle w:val="36"/>
                <w:color w:val="auto"/>
                <w:highlight w:val="none"/>
                <w:lang w:val="en-US" w:eastAsia="zh-CN" w:bidi="ar"/>
              </w:rPr>
              <w:br w:type="textWrapping"/>
            </w:r>
            <w:r>
              <w:rPr>
                <w:rStyle w:val="36"/>
                <w:color w:val="auto"/>
                <w:highlight w:val="none"/>
                <w:lang w:val="en-US" w:eastAsia="zh-CN" w:bidi="ar"/>
              </w:rPr>
              <w:t>12.LED显示屏箱体采用压铸铝合金材质或镁合金材质，箱体和模组采用分离式设计，具备磁力触发主动式前维护系统，可实现快速前维护，提高模组还原精度，支持前维护/后维护方式。模组、电源、接收卡、HUB 卡可全部进行正面维护与更换，支持热插拔。电源箱连接方式为AC输入，AC输出方式。</w:t>
            </w:r>
            <w:r>
              <w:rPr>
                <w:rStyle w:val="36"/>
                <w:color w:val="auto"/>
                <w:highlight w:val="none"/>
                <w:lang w:val="en-US" w:eastAsia="zh-CN" w:bidi="ar"/>
              </w:rPr>
              <w:br w:type="textWrapping"/>
            </w:r>
            <w:r>
              <w:rPr>
                <w:rStyle w:val="36"/>
                <w:color w:val="auto"/>
                <w:highlight w:val="none"/>
                <w:lang w:val="en-US" w:eastAsia="zh-CN" w:bidi="ar"/>
              </w:rPr>
              <w:t>13.为达到优异的画质显示效果，COB显示单元必须满足低亮高灰的要求，在不大于700cd/㎡亮度条件下，信号处理深度要求不低于12Bit。</w:t>
            </w:r>
            <w:r>
              <w:rPr>
                <w:rStyle w:val="36"/>
                <w:color w:val="auto"/>
                <w:highlight w:val="none"/>
                <w:lang w:val="en-US" w:eastAsia="zh-CN" w:bidi="ar"/>
              </w:rPr>
              <w:br w:type="textWrapping"/>
            </w:r>
            <w:r>
              <w:rPr>
                <w:rStyle w:val="36"/>
                <w:color w:val="auto"/>
                <w:highlight w:val="none"/>
                <w:lang w:val="en-US" w:eastAsia="zh-CN" w:bidi="ar"/>
              </w:rPr>
              <w:t>14.LED显示屏需具有优秀的色彩显示能力，需通过HDR3.0显示认证技术规范。</w:t>
            </w:r>
            <w:r>
              <w:rPr>
                <w:rStyle w:val="36"/>
                <w:color w:val="auto"/>
                <w:highlight w:val="none"/>
                <w:lang w:val="en-US" w:eastAsia="zh-CN" w:bidi="ar"/>
              </w:rPr>
              <w:br w:type="textWrapping"/>
            </w:r>
            <w:r>
              <w:rPr>
                <w:rStyle w:val="36"/>
                <w:color w:val="auto"/>
                <w:highlight w:val="none"/>
                <w:lang w:val="en-US" w:eastAsia="zh-CN" w:bidi="ar"/>
              </w:rPr>
              <w:t>15.LED的视网膜蓝光危害幅度不大于7.0×10-1W/㎡/sr，达到无危害要求，近紫外危害幅度达到无危害要求。</w:t>
            </w:r>
            <w:r>
              <w:rPr>
                <w:rStyle w:val="36"/>
                <w:color w:val="auto"/>
                <w:highlight w:val="none"/>
                <w:lang w:val="en-US" w:eastAsia="zh-CN" w:bidi="ar"/>
              </w:rPr>
              <w:br w:type="textWrapping"/>
            </w:r>
            <w:r>
              <w:rPr>
                <w:rStyle w:val="36"/>
                <w:color w:val="auto"/>
                <w:highlight w:val="none"/>
                <w:lang w:val="en-US" w:eastAsia="zh-CN" w:bidi="ar"/>
              </w:rPr>
              <w:t>16.LED显示屏需具有更好的色彩还原能力，要求红、绿、蓝色坐标偏差绝对值≤0.1，白色色坐标偏差绝对值≤0.01，各色块色坐标偏差绝对值≤0.3。</w:t>
            </w:r>
            <w:r>
              <w:rPr>
                <w:rStyle w:val="36"/>
                <w:color w:val="auto"/>
                <w:highlight w:val="none"/>
                <w:lang w:val="en-US" w:eastAsia="zh-CN" w:bidi="ar"/>
              </w:rPr>
              <w:br w:type="textWrapping"/>
            </w:r>
            <w:r>
              <w:rPr>
                <w:rStyle w:val="36"/>
                <w:color w:val="auto"/>
                <w:highlight w:val="none"/>
                <w:lang w:val="en-US" w:eastAsia="zh-CN" w:bidi="ar"/>
              </w:rPr>
              <w:t>17.LED显示屏需具有更高的的色彩还原能力，色域重合度需≥81%。</w:t>
            </w:r>
          </w:p>
        </w:tc>
        <w:tc>
          <w:tcPr>
            <w:tcW w:w="743" w:type="dxa"/>
            <w:vMerge w:val="restart"/>
            <w:tcBorders>
              <w:top w:val="nil"/>
              <w:left w:val="single" w:color="000000" w:sz="4" w:space="0"/>
              <w:bottom w:val="single" w:color="000000" w:sz="4" w:space="0"/>
              <w:right w:val="single" w:color="000000" w:sz="4" w:space="0"/>
            </w:tcBorders>
            <w:shd w:val="clear" w:color="auto" w:fill="auto"/>
            <w:noWrap/>
            <w:vAlign w:val="center"/>
          </w:tcPr>
          <w:p w14:paraId="5FC37E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vMerge w:val="restart"/>
            <w:tcBorders>
              <w:top w:val="nil"/>
              <w:left w:val="single" w:color="000000" w:sz="4" w:space="0"/>
              <w:bottom w:val="single" w:color="000000" w:sz="4" w:space="0"/>
              <w:right w:val="single" w:color="000000" w:sz="4" w:space="0"/>
            </w:tcBorders>
            <w:shd w:val="clear" w:color="auto" w:fill="auto"/>
            <w:noWrap/>
            <w:vAlign w:val="center"/>
          </w:tcPr>
          <w:p w14:paraId="11D440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298A750">
        <w:trPr>
          <w:trHeight w:val="312" w:hRule="atLeast"/>
        </w:trPr>
        <w:tc>
          <w:tcPr>
            <w:tcW w:w="501" w:type="dxa"/>
            <w:vMerge w:val="continue"/>
            <w:tcBorders>
              <w:top w:val="nil"/>
              <w:left w:val="single" w:color="000000" w:sz="4" w:space="0"/>
              <w:bottom w:val="single" w:color="000000" w:sz="4" w:space="0"/>
              <w:right w:val="single" w:color="000000" w:sz="4" w:space="0"/>
            </w:tcBorders>
            <w:shd w:val="clear" w:color="auto" w:fill="auto"/>
            <w:vAlign w:val="center"/>
          </w:tcPr>
          <w:p w14:paraId="1B15184E">
            <w:pPr>
              <w:jc w:val="center"/>
              <w:rPr>
                <w:rFonts w:hint="eastAsia" w:ascii="仿宋" w:hAnsi="仿宋" w:eastAsia="仿宋" w:cs="仿宋"/>
                <w:i w:val="0"/>
                <w:iCs w:val="0"/>
                <w:color w:val="auto"/>
                <w:sz w:val="24"/>
                <w:szCs w:val="24"/>
                <w:highlight w:val="none"/>
                <w:u w:val="none"/>
              </w:rPr>
            </w:pPr>
          </w:p>
        </w:tc>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14:paraId="170B809A">
            <w:pPr>
              <w:jc w:val="center"/>
              <w:rPr>
                <w:rFonts w:hint="eastAsia" w:ascii="仿宋" w:hAnsi="仿宋" w:eastAsia="仿宋" w:cs="仿宋"/>
                <w:i w:val="0"/>
                <w:iCs w:val="0"/>
                <w:color w:val="auto"/>
                <w:sz w:val="24"/>
                <w:szCs w:val="24"/>
                <w:highlight w:val="none"/>
                <w:u w:val="none"/>
              </w:rPr>
            </w:pPr>
          </w:p>
        </w:tc>
        <w:tc>
          <w:tcPr>
            <w:tcW w:w="5782" w:type="dxa"/>
            <w:vMerge w:val="continue"/>
            <w:tcBorders>
              <w:top w:val="nil"/>
              <w:left w:val="single" w:color="000000" w:sz="4" w:space="0"/>
              <w:bottom w:val="single" w:color="000000" w:sz="4" w:space="0"/>
              <w:right w:val="single" w:color="000000" w:sz="4" w:space="0"/>
            </w:tcBorders>
            <w:shd w:val="clear" w:color="auto" w:fill="auto"/>
            <w:vAlign w:val="center"/>
          </w:tcPr>
          <w:p w14:paraId="16CAF449">
            <w:pPr>
              <w:jc w:val="both"/>
              <w:rPr>
                <w:rFonts w:hint="eastAsia" w:ascii="仿宋" w:hAnsi="仿宋" w:eastAsia="仿宋" w:cs="仿宋"/>
                <w:i w:val="0"/>
                <w:iCs w:val="0"/>
                <w:color w:val="auto"/>
                <w:sz w:val="24"/>
                <w:szCs w:val="24"/>
                <w:highlight w:val="none"/>
                <w:u w:val="none"/>
              </w:rPr>
            </w:pPr>
          </w:p>
        </w:tc>
        <w:tc>
          <w:tcPr>
            <w:tcW w:w="74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3C98062">
            <w:pPr>
              <w:jc w:val="center"/>
              <w:rPr>
                <w:rFonts w:hint="eastAsia" w:ascii="仿宋" w:hAnsi="仿宋" w:eastAsia="仿宋" w:cs="仿宋"/>
                <w:i w:val="0"/>
                <w:iCs w:val="0"/>
                <w:color w:val="auto"/>
                <w:sz w:val="24"/>
                <w:szCs w:val="24"/>
                <w:highlight w:val="none"/>
                <w:u w:val="none"/>
              </w:rPr>
            </w:pPr>
          </w:p>
        </w:tc>
        <w:tc>
          <w:tcPr>
            <w:tcW w:w="71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B2B315B">
            <w:pPr>
              <w:jc w:val="center"/>
              <w:rPr>
                <w:rFonts w:hint="eastAsia" w:ascii="仿宋" w:hAnsi="仿宋" w:eastAsia="仿宋" w:cs="仿宋"/>
                <w:i w:val="0"/>
                <w:iCs w:val="0"/>
                <w:color w:val="auto"/>
                <w:sz w:val="24"/>
                <w:szCs w:val="24"/>
                <w:highlight w:val="none"/>
                <w:u w:val="none"/>
              </w:rPr>
            </w:pPr>
          </w:p>
        </w:tc>
      </w:tr>
      <w:tr w14:paraId="2CE35E55">
        <w:trPr>
          <w:trHeight w:val="90" w:hRule="atLeast"/>
        </w:trPr>
        <w:tc>
          <w:tcPr>
            <w:tcW w:w="501" w:type="dxa"/>
            <w:vMerge w:val="restart"/>
            <w:tcBorders>
              <w:top w:val="nil"/>
              <w:left w:val="single" w:color="000000" w:sz="4" w:space="0"/>
              <w:bottom w:val="single" w:color="000000" w:sz="4" w:space="0"/>
              <w:right w:val="single" w:color="000000" w:sz="4" w:space="0"/>
            </w:tcBorders>
            <w:shd w:val="clear" w:color="auto" w:fill="auto"/>
            <w:vAlign w:val="top"/>
          </w:tcPr>
          <w:p w14:paraId="76A5495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Style w:val="36"/>
                <w:color w:val="auto"/>
                <w:highlight w:val="none"/>
                <w:lang w:val="en-US" w:eastAsia="zh-CN" w:bidi="ar"/>
              </w:rPr>
              <w:t>3.2.2</w:t>
            </w:r>
          </w:p>
        </w:tc>
        <w:tc>
          <w:tcPr>
            <w:tcW w:w="1290" w:type="dxa"/>
            <w:vMerge w:val="restart"/>
            <w:tcBorders>
              <w:top w:val="nil"/>
              <w:left w:val="single" w:color="000000" w:sz="4" w:space="0"/>
              <w:bottom w:val="single" w:color="000000" w:sz="4" w:space="0"/>
              <w:right w:val="single" w:color="000000" w:sz="4" w:space="0"/>
            </w:tcBorders>
            <w:shd w:val="clear" w:color="auto" w:fill="auto"/>
            <w:vAlign w:val="top"/>
          </w:tcPr>
          <w:p w14:paraId="267A730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Style w:val="36"/>
                <w:color w:val="auto"/>
                <w:highlight w:val="none"/>
                <w:lang w:val="en-US" w:eastAsia="zh-CN" w:bidi="ar"/>
              </w:rPr>
              <w:t>显示系统配套</w:t>
            </w:r>
          </w:p>
        </w:tc>
        <w:tc>
          <w:tcPr>
            <w:tcW w:w="5782" w:type="dxa"/>
            <w:tcBorders>
              <w:top w:val="nil"/>
              <w:left w:val="nil"/>
              <w:bottom w:val="single" w:color="000000" w:sz="4" w:space="0"/>
              <w:right w:val="single" w:color="000000" w:sz="4" w:space="0"/>
            </w:tcBorders>
            <w:shd w:val="clear" w:color="auto" w:fill="auto"/>
            <w:noWrap/>
            <w:vAlign w:val="center"/>
          </w:tcPr>
          <w:p w14:paraId="2BB4BAC2">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（1）控制器</w:t>
            </w:r>
            <w:r>
              <w:rPr>
                <w:rStyle w:val="36"/>
                <w:color w:val="auto"/>
                <w:highlight w:val="none"/>
                <w:lang w:val="en-US" w:eastAsia="zh-CN" w:bidi="ar"/>
              </w:rPr>
              <w:br w:type="textWrapping"/>
            </w:r>
            <w:r>
              <w:rPr>
                <w:rStyle w:val="36"/>
                <w:color w:val="auto"/>
                <w:highlight w:val="none"/>
                <w:lang w:val="en-US" w:eastAsia="zh-CN" w:bidi="ar"/>
              </w:rPr>
              <w:t>输入分辨率 ：1920×1200@60Hz</w:t>
            </w:r>
            <w:r>
              <w:rPr>
                <w:rStyle w:val="36"/>
                <w:color w:val="auto"/>
                <w:highlight w:val="none"/>
                <w:lang w:val="en-US" w:eastAsia="zh-CN" w:bidi="ar"/>
              </w:rPr>
              <w:br w:type="textWrapping"/>
            </w:r>
            <w:r>
              <w:rPr>
                <w:rStyle w:val="36"/>
                <w:color w:val="auto"/>
                <w:highlight w:val="none"/>
                <w:lang w:val="en-US" w:eastAsia="zh-CN" w:bidi="ar"/>
              </w:rPr>
              <w:t>带载能力 ：≥230万像素</w:t>
            </w:r>
            <w:r>
              <w:rPr>
                <w:rStyle w:val="36"/>
                <w:color w:val="auto"/>
                <w:highlight w:val="none"/>
                <w:lang w:val="en-US" w:eastAsia="zh-CN" w:bidi="ar"/>
              </w:rPr>
              <w:br w:type="textWrapping"/>
            </w:r>
            <w:r>
              <w:rPr>
                <w:rStyle w:val="36"/>
                <w:color w:val="auto"/>
                <w:highlight w:val="none"/>
                <w:lang w:val="en-US" w:eastAsia="zh-CN" w:bidi="ar"/>
              </w:rPr>
              <w:t>供电电压 ：AC-100-240V-50/60Hz</w:t>
            </w:r>
            <w:r>
              <w:rPr>
                <w:rStyle w:val="36"/>
                <w:color w:val="auto"/>
                <w:highlight w:val="none"/>
                <w:lang w:val="en-US" w:eastAsia="zh-CN" w:bidi="ar"/>
              </w:rPr>
              <w:br w:type="textWrapping"/>
            </w:r>
            <w:r>
              <w:rPr>
                <w:rStyle w:val="36"/>
                <w:color w:val="auto"/>
                <w:highlight w:val="none"/>
                <w:lang w:val="en-US" w:eastAsia="zh-CN" w:bidi="ar"/>
              </w:rPr>
              <w:t>控制方式 ：USB接口控制</w:t>
            </w:r>
            <w:r>
              <w:rPr>
                <w:rStyle w:val="36"/>
                <w:color w:val="auto"/>
                <w:highlight w:val="none"/>
                <w:lang w:val="en-US" w:eastAsia="zh-CN" w:bidi="ar"/>
              </w:rPr>
              <w:br w:type="textWrapping"/>
            </w:r>
            <w:r>
              <w:rPr>
                <w:rStyle w:val="36"/>
                <w:color w:val="auto"/>
                <w:highlight w:val="none"/>
                <w:lang w:val="en-US" w:eastAsia="zh-CN" w:bidi="ar"/>
              </w:rPr>
              <w:t>视频接口 ：HDMI / DVI</w:t>
            </w:r>
            <w:r>
              <w:rPr>
                <w:rStyle w:val="36"/>
                <w:color w:val="auto"/>
                <w:highlight w:val="none"/>
                <w:lang w:val="en-US" w:eastAsia="zh-CN" w:bidi="ar"/>
              </w:rPr>
              <w:br w:type="textWrapping"/>
            </w:r>
            <w:r>
              <w:rPr>
                <w:rStyle w:val="36"/>
                <w:color w:val="auto"/>
                <w:highlight w:val="none"/>
                <w:lang w:val="en-US" w:eastAsia="zh-CN" w:bidi="ar"/>
              </w:rPr>
              <w:t>音频接口 ：HDMI/一路3.5mm接口音频输入</w:t>
            </w:r>
            <w:r>
              <w:rPr>
                <w:rStyle w:val="36"/>
                <w:color w:val="auto"/>
                <w:highlight w:val="none"/>
                <w:lang w:val="en-US" w:eastAsia="zh-CN" w:bidi="ar"/>
              </w:rPr>
              <w:br w:type="textWrapping"/>
            </w:r>
            <w:r>
              <w:rPr>
                <w:rStyle w:val="36"/>
                <w:color w:val="auto"/>
                <w:highlight w:val="none"/>
                <w:lang w:val="en-US" w:eastAsia="zh-CN" w:bidi="ar"/>
              </w:rPr>
              <w:t>视频格式 ：RGB，YCrCb4:2:2，YCrCb4:4:4</w:t>
            </w:r>
            <w:r>
              <w:rPr>
                <w:rStyle w:val="36"/>
                <w:color w:val="auto"/>
                <w:highlight w:val="none"/>
                <w:lang w:val="en-US" w:eastAsia="zh-CN" w:bidi="ar"/>
              </w:rPr>
              <w:br w:type="textWrapping"/>
            </w:r>
            <w:r>
              <w:rPr>
                <w:rStyle w:val="36"/>
                <w:color w:val="auto"/>
                <w:highlight w:val="none"/>
                <w:lang w:val="en-US" w:eastAsia="zh-CN" w:bidi="ar"/>
              </w:rPr>
              <w:t>输出接口 ：四网口</w:t>
            </w:r>
          </w:p>
        </w:tc>
        <w:tc>
          <w:tcPr>
            <w:tcW w:w="743" w:type="dxa"/>
            <w:tcBorders>
              <w:top w:val="nil"/>
              <w:left w:val="nil"/>
              <w:bottom w:val="single" w:color="000000" w:sz="4" w:space="0"/>
              <w:right w:val="single" w:color="000000" w:sz="4" w:space="0"/>
            </w:tcBorders>
            <w:shd w:val="clear" w:color="auto" w:fill="auto"/>
            <w:noWrap/>
            <w:vAlign w:val="center"/>
          </w:tcPr>
          <w:p w14:paraId="2E01F9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340012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4D802E24">
        <w:trPr>
          <w:trHeight w:val="9419" w:hRule="atLeast"/>
        </w:trPr>
        <w:tc>
          <w:tcPr>
            <w:tcW w:w="501" w:type="dxa"/>
            <w:vMerge w:val="continue"/>
            <w:tcBorders>
              <w:top w:val="nil"/>
              <w:left w:val="single" w:color="000000" w:sz="4" w:space="0"/>
              <w:bottom w:val="single" w:color="000000" w:sz="4" w:space="0"/>
              <w:right w:val="single" w:color="000000" w:sz="4" w:space="0"/>
            </w:tcBorders>
            <w:shd w:val="clear" w:color="auto" w:fill="auto"/>
            <w:vAlign w:val="top"/>
          </w:tcPr>
          <w:p w14:paraId="594A5440">
            <w:pPr>
              <w:jc w:val="center"/>
              <w:rPr>
                <w:rFonts w:hint="eastAsia" w:ascii="仿宋" w:hAnsi="仿宋" w:eastAsia="仿宋" w:cs="仿宋"/>
                <w:i w:val="0"/>
                <w:iCs w:val="0"/>
                <w:color w:val="auto"/>
                <w:sz w:val="24"/>
                <w:szCs w:val="24"/>
                <w:highlight w:val="none"/>
                <w:u w:val="none"/>
              </w:rPr>
            </w:pPr>
          </w:p>
        </w:tc>
        <w:tc>
          <w:tcPr>
            <w:tcW w:w="1290" w:type="dxa"/>
            <w:vMerge w:val="continue"/>
            <w:tcBorders>
              <w:top w:val="nil"/>
              <w:left w:val="single" w:color="000000" w:sz="4" w:space="0"/>
              <w:bottom w:val="single" w:color="000000" w:sz="4" w:space="0"/>
              <w:right w:val="single" w:color="000000" w:sz="4" w:space="0"/>
            </w:tcBorders>
            <w:shd w:val="clear" w:color="auto" w:fill="auto"/>
            <w:vAlign w:val="top"/>
          </w:tcPr>
          <w:p w14:paraId="5F030505">
            <w:pPr>
              <w:jc w:val="center"/>
              <w:rPr>
                <w:rFonts w:hint="eastAsia" w:ascii="仿宋" w:hAnsi="仿宋" w:eastAsia="仿宋" w:cs="仿宋"/>
                <w:i w:val="0"/>
                <w:iCs w:val="0"/>
                <w:color w:val="auto"/>
                <w:sz w:val="24"/>
                <w:szCs w:val="24"/>
                <w:highlight w:val="none"/>
                <w:u w:val="none"/>
              </w:rPr>
            </w:pPr>
          </w:p>
        </w:tc>
        <w:tc>
          <w:tcPr>
            <w:tcW w:w="5782" w:type="dxa"/>
            <w:tcBorders>
              <w:top w:val="nil"/>
              <w:left w:val="nil"/>
              <w:bottom w:val="single" w:color="000000" w:sz="4" w:space="0"/>
              <w:right w:val="single" w:color="000000" w:sz="4" w:space="0"/>
            </w:tcBorders>
            <w:shd w:val="clear" w:color="auto" w:fill="auto"/>
            <w:vAlign w:val="center"/>
          </w:tcPr>
          <w:p w14:paraId="4A6C346E">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（2）大屏幕拼接系统软件：</w:t>
            </w:r>
            <w:r>
              <w:rPr>
                <w:rStyle w:val="36"/>
                <w:color w:val="auto"/>
                <w:highlight w:val="none"/>
                <w:lang w:val="en-US" w:eastAsia="zh-CN" w:bidi="ar"/>
              </w:rPr>
              <w:br w:type="textWrapping"/>
            </w:r>
            <w:r>
              <w:rPr>
                <w:rStyle w:val="36"/>
                <w:color w:val="auto"/>
                <w:highlight w:val="none"/>
                <w:lang w:val="en-US" w:eastAsia="zh-CN" w:bidi="ar"/>
              </w:rPr>
              <w:t>1.大屏控制软件提供中文操作、控制和维护界面。</w:t>
            </w:r>
            <w:r>
              <w:rPr>
                <w:rStyle w:val="36"/>
                <w:color w:val="auto"/>
                <w:highlight w:val="none"/>
                <w:lang w:val="en-US" w:eastAsia="zh-CN" w:bidi="ar"/>
              </w:rPr>
              <w:br w:type="textWrapping"/>
            </w:r>
            <w:r>
              <w:rPr>
                <w:rStyle w:val="36"/>
                <w:color w:val="auto"/>
                <w:highlight w:val="none"/>
                <w:lang w:val="en-US" w:eastAsia="zh-CN" w:bidi="ar"/>
              </w:rPr>
              <w:t>2.大屏控制软件支持选配冗余热备份信号的切换控制。</w:t>
            </w:r>
            <w:r>
              <w:rPr>
                <w:rStyle w:val="36"/>
                <w:color w:val="auto"/>
                <w:highlight w:val="none"/>
                <w:lang w:val="en-US" w:eastAsia="zh-CN" w:bidi="ar"/>
              </w:rPr>
              <w:br w:type="textWrapping"/>
            </w:r>
            <w:r>
              <w:rPr>
                <w:rStyle w:val="36"/>
                <w:color w:val="auto"/>
                <w:highlight w:val="none"/>
                <w:lang w:val="en-US" w:eastAsia="zh-CN" w:bidi="ar"/>
              </w:rPr>
              <w:t>3.大屏控制软件支持选配PPT嵌入控制功能，可以完成PPT的在线实时翻页，并且必须保留PPT所有的翻页特效。</w:t>
            </w:r>
            <w:r>
              <w:rPr>
                <w:rStyle w:val="36"/>
                <w:color w:val="auto"/>
                <w:highlight w:val="none"/>
                <w:lang w:val="en-US" w:eastAsia="zh-CN" w:bidi="ar"/>
              </w:rPr>
              <w:br w:type="textWrapping"/>
            </w:r>
            <w:r>
              <w:rPr>
                <w:rStyle w:val="36"/>
                <w:color w:val="auto"/>
                <w:highlight w:val="none"/>
                <w:lang w:val="en-US" w:eastAsia="zh-CN" w:bidi="ar"/>
              </w:rPr>
              <w:t>4.为保证数据信息安全，大屏控制软件安全漏洞扫描应未发现风险等级为中级以上(含中级)的安全风险问题，符合安全需求的定义和质量标准。</w:t>
            </w:r>
            <w:r>
              <w:rPr>
                <w:rStyle w:val="36"/>
                <w:color w:val="auto"/>
                <w:highlight w:val="none"/>
                <w:lang w:val="en-US" w:eastAsia="zh-CN" w:bidi="ar"/>
              </w:rPr>
              <w:br w:type="textWrapping"/>
            </w:r>
            <w:r>
              <w:rPr>
                <w:rStyle w:val="36"/>
                <w:color w:val="auto"/>
                <w:highlight w:val="none"/>
                <w:lang w:val="en-US" w:eastAsia="zh-CN" w:bidi="ar"/>
              </w:rPr>
              <w:t>5.大屏控制软件可运行于Windows、中标麒麟、iOS、Android、Linux和Unix平台上。</w:t>
            </w:r>
            <w:r>
              <w:rPr>
                <w:rStyle w:val="36"/>
                <w:color w:val="auto"/>
                <w:highlight w:val="none"/>
                <w:lang w:val="en-US" w:eastAsia="zh-CN" w:bidi="ar"/>
              </w:rPr>
              <w:br w:type="textWrapping"/>
            </w:r>
            <w:r>
              <w:rPr>
                <w:rStyle w:val="36"/>
                <w:color w:val="auto"/>
                <w:highlight w:val="none"/>
                <w:lang w:val="en-US" w:eastAsia="zh-CN" w:bidi="ar"/>
              </w:rPr>
              <w:t>（3）配电系统：</w:t>
            </w:r>
            <w:r>
              <w:rPr>
                <w:rStyle w:val="36"/>
                <w:color w:val="auto"/>
                <w:highlight w:val="none"/>
                <w:lang w:val="en-US" w:eastAsia="zh-CN" w:bidi="ar"/>
              </w:rPr>
              <w:br w:type="textWrapping"/>
            </w:r>
            <w:r>
              <w:rPr>
                <w:rStyle w:val="36"/>
                <w:color w:val="auto"/>
                <w:highlight w:val="none"/>
                <w:lang w:val="en-US" w:eastAsia="zh-CN" w:bidi="ar"/>
              </w:rPr>
              <w:t>1.≥20kW配电系统，配电柜中需带多功能卡，具备远程、分布上电功能。</w:t>
            </w:r>
            <w:r>
              <w:rPr>
                <w:rStyle w:val="36"/>
                <w:color w:val="auto"/>
                <w:highlight w:val="none"/>
                <w:lang w:val="en-US" w:eastAsia="zh-CN" w:bidi="ar"/>
              </w:rPr>
              <w:br w:type="textWrapping"/>
            </w:r>
            <w:r>
              <w:rPr>
                <w:rStyle w:val="36"/>
                <w:color w:val="auto"/>
                <w:highlight w:val="none"/>
                <w:lang w:val="en-US" w:eastAsia="zh-CN" w:bidi="ar"/>
              </w:rPr>
              <w:t>2.配电系统需具备智能监测及防雷、远程监控功能。</w:t>
            </w:r>
            <w:r>
              <w:rPr>
                <w:rStyle w:val="36"/>
                <w:color w:val="auto"/>
                <w:highlight w:val="none"/>
                <w:lang w:val="en-US" w:eastAsia="zh-CN" w:bidi="ar"/>
              </w:rPr>
              <w:br w:type="textWrapping"/>
            </w:r>
            <w:r>
              <w:rPr>
                <w:rStyle w:val="36"/>
                <w:color w:val="auto"/>
                <w:highlight w:val="none"/>
                <w:lang w:val="en-US" w:eastAsia="zh-CN" w:bidi="ar"/>
              </w:rPr>
              <w:t>3.配电系统需具有过压、过流、欠压、短路、断路以及漏电保护措施。</w:t>
            </w:r>
            <w:r>
              <w:rPr>
                <w:rStyle w:val="36"/>
                <w:color w:val="auto"/>
                <w:highlight w:val="none"/>
                <w:lang w:val="en-US" w:eastAsia="zh-CN" w:bidi="ar"/>
              </w:rPr>
              <w:br w:type="textWrapping"/>
            </w:r>
            <w:r>
              <w:rPr>
                <w:rStyle w:val="36"/>
                <w:color w:val="auto"/>
                <w:highlight w:val="none"/>
                <w:lang w:val="en-US" w:eastAsia="zh-CN" w:bidi="ar"/>
              </w:rPr>
              <w:t>4.配电系统控制方式：手动+时控+远程+中控四位一体。</w:t>
            </w:r>
            <w:r>
              <w:rPr>
                <w:rStyle w:val="36"/>
                <w:color w:val="auto"/>
                <w:highlight w:val="none"/>
                <w:lang w:val="en-US" w:eastAsia="zh-CN" w:bidi="ar"/>
              </w:rPr>
              <w:br w:type="textWrapping"/>
            </w:r>
            <w:r>
              <w:rPr>
                <w:rStyle w:val="36"/>
                <w:color w:val="auto"/>
                <w:highlight w:val="none"/>
                <w:lang w:val="en-US" w:eastAsia="zh-CN" w:bidi="ar"/>
              </w:rPr>
              <w:t>5.配电系统支持数据、状态、报警等实时电脑界面显示。</w:t>
            </w:r>
            <w:r>
              <w:rPr>
                <w:rStyle w:val="36"/>
                <w:color w:val="auto"/>
                <w:highlight w:val="none"/>
                <w:lang w:val="en-US" w:eastAsia="zh-CN" w:bidi="ar"/>
              </w:rPr>
              <w:br w:type="textWrapping"/>
            </w:r>
            <w:r>
              <w:rPr>
                <w:rStyle w:val="36"/>
                <w:color w:val="auto"/>
                <w:highlight w:val="none"/>
                <w:lang w:val="en-US" w:eastAsia="zh-CN" w:bidi="ar"/>
              </w:rPr>
              <w:t>（4）其他：</w:t>
            </w:r>
            <w:r>
              <w:rPr>
                <w:rStyle w:val="36"/>
                <w:color w:val="auto"/>
                <w:highlight w:val="none"/>
                <w:lang w:val="en-US" w:eastAsia="zh-CN" w:bidi="ar"/>
              </w:rPr>
              <w:br w:type="textWrapping"/>
            </w:r>
            <w:r>
              <w:rPr>
                <w:rStyle w:val="36"/>
                <w:color w:val="auto"/>
                <w:highlight w:val="none"/>
                <w:lang w:val="en-US" w:eastAsia="zh-CN" w:bidi="ar"/>
              </w:rPr>
              <w:t>1.支架采用铝合金型材或钢材结构定制，表面进行专业酸洗、防锈防磷处理，保证喷涂工艺的均匀性；高强度的ICI粉末，静电喷塑，保证涂层表面平滑、喷涂均匀、色调一致，全模块式拼装结构设计，完全满足运输和设备扩展需求，具备良好的通用性及互换性。</w:t>
            </w:r>
            <w:r>
              <w:rPr>
                <w:rStyle w:val="36"/>
                <w:color w:val="auto"/>
                <w:highlight w:val="none"/>
                <w:lang w:val="en-US" w:eastAsia="zh-CN" w:bidi="ar"/>
              </w:rPr>
              <w:br w:type="textWrapping"/>
            </w:r>
            <w:r>
              <w:rPr>
                <w:rStyle w:val="36"/>
                <w:color w:val="auto"/>
                <w:highlight w:val="none"/>
                <w:lang w:val="en-US" w:eastAsia="zh-CN" w:bidi="ar"/>
              </w:rPr>
              <w:t>2.六类网线，配电柜下线电缆，线材接头，转换头等线缆及辅材。</w:t>
            </w:r>
          </w:p>
        </w:tc>
        <w:tc>
          <w:tcPr>
            <w:tcW w:w="743" w:type="dxa"/>
            <w:tcBorders>
              <w:top w:val="nil"/>
              <w:left w:val="nil"/>
              <w:bottom w:val="single" w:color="000000" w:sz="4" w:space="0"/>
              <w:right w:val="single" w:color="000000" w:sz="4" w:space="0"/>
            </w:tcBorders>
            <w:shd w:val="clear" w:color="auto" w:fill="auto"/>
            <w:noWrap/>
            <w:vAlign w:val="center"/>
          </w:tcPr>
          <w:p w14:paraId="213230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619D66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4899C52">
        <w:trPr>
          <w:trHeight w:val="32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1FC4DA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3.2.3</w:t>
            </w:r>
          </w:p>
        </w:tc>
        <w:tc>
          <w:tcPr>
            <w:tcW w:w="1290" w:type="dxa"/>
            <w:tcBorders>
              <w:top w:val="nil"/>
              <w:left w:val="nil"/>
              <w:bottom w:val="single" w:color="000000" w:sz="4" w:space="0"/>
              <w:right w:val="single" w:color="000000" w:sz="4" w:space="0"/>
            </w:tcBorders>
            <w:shd w:val="clear" w:color="auto" w:fill="auto"/>
            <w:vAlign w:val="center"/>
          </w:tcPr>
          <w:p w14:paraId="29DB0D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多屏拼接处理器</w:t>
            </w:r>
          </w:p>
        </w:tc>
        <w:tc>
          <w:tcPr>
            <w:tcW w:w="5782" w:type="dxa"/>
            <w:tcBorders>
              <w:top w:val="nil"/>
              <w:left w:val="nil"/>
              <w:bottom w:val="single" w:color="000000" w:sz="4" w:space="0"/>
              <w:right w:val="single" w:color="000000" w:sz="4" w:space="0"/>
            </w:tcBorders>
            <w:shd w:val="clear" w:color="auto" w:fill="auto"/>
            <w:vAlign w:val="center"/>
          </w:tcPr>
          <w:p w14:paraId="05586C1A">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(1)采用纯硬件结构，无系统，无CPU设计。</w:t>
            </w:r>
            <w:r>
              <w:rPr>
                <w:rStyle w:val="36"/>
                <w:color w:val="auto"/>
                <w:highlight w:val="none"/>
                <w:lang w:val="en-US" w:eastAsia="zh-CN" w:bidi="ar"/>
              </w:rPr>
              <w:br w:type="textWrapping"/>
            </w:r>
            <w:r>
              <w:rPr>
                <w:rStyle w:val="36"/>
                <w:color w:val="auto"/>
                <w:highlight w:val="none"/>
                <w:lang w:val="en-US" w:eastAsia="zh-CN" w:bidi="ar"/>
              </w:rPr>
              <w:t>(2)为了呈现良好的显示效果，图像信号必须无压缩、无失真实时传输，采用全交叉调度架构高速数据传输技术，总线带宽≥3000G，单通道带宽≥10G。</w:t>
            </w:r>
            <w:r>
              <w:rPr>
                <w:rStyle w:val="36"/>
                <w:color w:val="auto"/>
                <w:highlight w:val="none"/>
                <w:lang w:val="en-US" w:eastAsia="zh-CN" w:bidi="ar"/>
              </w:rPr>
              <w:br w:type="textWrapping"/>
            </w:r>
            <w:r>
              <w:rPr>
                <w:rStyle w:val="36"/>
                <w:color w:val="auto"/>
                <w:highlight w:val="none"/>
                <w:lang w:val="en-US" w:eastAsia="zh-CN" w:bidi="ar"/>
              </w:rPr>
              <w:t>(3)支持统一逻辑拼接墙高分辨率信号显示，屏幕刷新速度不大于2S，单窗口开窗速度不大于8ms，支持高清信号的输出显示，显示帧率不低于60帧/秒。</w:t>
            </w:r>
            <w:r>
              <w:rPr>
                <w:rStyle w:val="36"/>
                <w:color w:val="auto"/>
                <w:highlight w:val="none"/>
                <w:lang w:val="en-US" w:eastAsia="zh-CN" w:bidi="ar"/>
              </w:rPr>
              <w:br w:type="textWrapping"/>
            </w:r>
            <w:r>
              <w:rPr>
                <w:rStyle w:val="36"/>
                <w:color w:val="auto"/>
                <w:highlight w:val="none"/>
                <w:lang w:val="en-US" w:eastAsia="zh-CN" w:bidi="ar"/>
              </w:rPr>
              <w:t>(4)支持图像无缝实时切换功能（图像切换间隔无黑场出现），无缝切换时间＜20ms。</w:t>
            </w:r>
            <w:r>
              <w:rPr>
                <w:rStyle w:val="36"/>
                <w:color w:val="auto"/>
                <w:highlight w:val="none"/>
                <w:lang w:val="en-US" w:eastAsia="zh-CN" w:bidi="ar"/>
              </w:rPr>
              <w:br w:type="textWrapping"/>
            </w:r>
            <w:r>
              <w:rPr>
                <w:rStyle w:val="36"/>
                <w:color w:val="auto"/>
                <w:highlight w:val="none"/>
                <w:lang w:val="en-US" w:eastAsia="zh-CN" w:bidi="ar"/>
              </w:rPr>
              <w:t>(5)支持CVBS、RGB、DVI、VGA、HDMI、SDI、YpbPr、Dual-link DVI、RJ45、Display Port、光纤、HDBaseT信号输入，支持的最大支持分辨率为3840*2400,32位。　</w:t>
            </w:r>
            <w:r>
              <w:rPr>
                <w:rStyle w:val="36"/>
                <w:color w:val="auto"/>
                <w:highlight w:val="none"/>
                <w:lang w:val="en-US" w:eastAsia="zh-CN" w:bidi="ar"/>
              </w:rPr>
              <w:br w:type="textWrapping"/>
            </w:r>
            <w:r>
              <w:rPr>
                <w:rStyle w:val="36"/>
                <w:color w:val="auto"/>
                <w:highlight w:val="none"/>
                <w:lang w:val="en-US" w:eastAsia="zh-CN" w:bidi="ar"/>
              </w:rPr>
              <w:t>(6)支持DVI、HDMI、DP、RJ45、SDI、HDBaseT、YpbPr、VGA、CVBS和LC光信号输出，每个显示通道显存达到256M，可支持分辨率640×480－3840×2400，色彩32位。</w:t>
            </w:r>
            <w:r>
              <w:rPr>
                <w:rStyle w:val="36"/>
                <w:color w:val="auto"/>
                <w:highlight w:val="none"/>
                <w:lang w:val="en-US" w:eastAsia="zh-CN" w:bidi="ar"/>
              </w:rPr>
              <w:br w:type="textWrapping"/>
            </w:r>
            <w:r>
              <w:rPr>
                <w:rStyle w:val="36"/>
                <w:color w:val="auto"/>
                <w:highlight w:val="none"/>
                <w:lang w:val="en-US" w:eastAsia="zh-CN" w:bidi="ar"/>
              </w:rPr>
              <w:t>(7)本期配置端口：≥12路HDMI输入接口，≥12路HDMI输出。为方便后期扩容，处理器须具备最大接入256路信号源，最大支持256路输出，并支持任意选择其中256路信号进行同屏展示。</w:t>
            </w:r>
            <w:r>
              <w:rPr>
                <w:rStyle w:val="36"/>
                <w:color w:val="auto"/>
                <w:highlight w:val="none"/>
                <w:lang w:val="en-US" w:eastAsia="zh-CN" w:bidi="ar"/>
              </w:rPr>
              <w:br w:type="textWrapping"/>
            </w:r>
            <w:r>
              <w:rPr>
                <w:rStyle w:val="36"/>
                <w:color w:val="auto"/>
                <w:highlight w:val="none"/>
                <w:lang w:val="en-US" w:eastAsia="zh-CN" w:bidi="ar"/>
              </w:rPr>
              <w:t>（8）处理器设备采用模块化设计，同时支持控制卡、输入板卡、输出板卡、电源、风扇模块热插拔，热插拔恢复时间均＜1s。</w:t>
            </w:r>
            <w:r>
              <w:rPr>
                <w:rStyle w:val="36"/>
                <w:color w:val="auto"/>
                <w:highlight w:val="none"/>
                <w:lang w:val="en-US" w:eastAsia="zh-CN" w:bidi="ar"/>
              </w:rPr>
              <w:br w:type="textWrapping"/>
            </w:r>
            <w:r>
              <w:rPr>
                <w:rStyle w:val="36"/>
                <w:color w:val="auto"/>
                <w:highlight w:val="none"/>
                <w:lang w:val="en-US" w:eastAsia="zh-CN" w:bidi="ar"/>
              </w:rPr>
              <w:t>（9）处理器操作系统采用精细化分级管理机制，支持多用户按照不同的权限进行登陆、支持所有信号开窗前预览实时显示内容、支持将输入信号进行个性化命名、支持对输入信号进行裁切，选择信号中需要的区域上屏显示、支持在控制管理软件界面查看所有信号的实现显示内容、支持多用户多权限、多显示终端管理。</w:t>
            </w:r>
            <w:r>
              <w:rPr>
                <w:rStyle w:val="36"/>
                <w:color w:val="auto"/>
                <w:highlight w:val="none"/>
                <w:lang w:val="en-US" w:eastAsia="zh-CN" w:bidi="ar"/>
              </w:rPr>
              <w:br w:type="textWrapping"/>
            </w:r>
            <w:r>
              <w:rPr>
                <w:rStyle w:val="36"/>
                <w:color w:val="auto"/>
                <w:highlight w:val="none"/>
                <w:lang w:val="en-US" w:eastAsia="zh-CN" w:bidi="ar"/>
              </w:rPr>
              <w:t>（10）单个处理器支持设置多组不同拼接规模和不同分辨率的显示墙；支持通过一套管理软件管理多组显示墙。支持设置不少于516组显示墙个数。</w:t>
            </w:r>
          </w:p>
        </w:tc>
        <w:tc>
          <w:tcPr>
            <w:tcW w:w="743" w:type="dxa"/>
            <w:tcBorders>
              <w:top w:val="nil"/>
              <w:left w:val="nil"/>
              <w:bottom w:val="single" w:color="000000" w:sz="4" w:space="0"/>
              <w:right w:val="single" w:color="000000" w:sz="4" w:space="0"/>
            </w:tcBorders>
            <w:shd w:val="clear" w:color="auto" w:fill="auto"/>
            <w:noWrap/>
            <w:vAlign w:val="center"/>
          </w:tcPr>
          <w:p w14:paraId="4BC59C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1BB099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4041589">
        <w:trPr>
          <w:trHeight w:val="3068" w:hRule="atLeast"/>
        </w:trPr>
        <w:tc>
          <w:tcPr>
            <w:tcW w:w="501" w:type="dxa"/>
            <w:vMerge w:val="restart"/>
            <w:tcBorders>
              <w:top w:val="nil"/>
              <w:left w:val="single" w:color="000000" w:sz="4" w:space="0"/>
              <w:bottom w:val="single" w:color="000000" w:sz="4" w:space="0"/>
              <w:right w:val="single" w:color="000000" w:sz="4" w:space="0"/>
            </w:tcBorders>
            <w:shd w:val="clear" w:color="auto" w:fill="auto"/>
            <w:vAlign w:val="center"/>
          </w:tcPr>
          <w:p w14:paraId="411216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Style w:val="36"/>
                <w:color w:val="auto"/>
                <w:highlight w:val="none"/>
                <w:lang w:val="en-US" w:eastAsia="zh-CN" w:bidi="ar"/>
              </w:rPr>
              <w:t>3.2.4</w:t>
            </w:r>
          </w:p>
        </w:tc>
        <w:tc>
          <w:tcPr>
            <w:tcW w:w="1290" w:type="dxa"/>
            <w:vMerge w:val="restart"/>
            <w:tcBorders>
              <w:top w:val="nil"/>
              <w:left w:val="single" w:color="000000" w:sz="4" w:space="0"/>
              <w:bottom w:val="single" w:color="000000" w:sz="4" w:space="0"/>
              <w:right w:val="single" w:color="000000" w:sz="4" w:space="0"/>
            </w:tcBorders>
            <w:shd w:val="clear" w:color="auto" w:fill="auto"/>
            <w:vAlign w:val="center"/>
          </w:tcPr>
          <w:p w14:paraId="4EF8C2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Style w:val="36"/>
                <w:color w:val="auto"/>
                <w:highlight w:val="none"/>
                <w:lang w:val="en-US" w:eastAsia="zh-CN" w:bidi="ar"/>
              </w:rPr>
              <w:t>室内全彩显示屏（条形屏）</w:t>
            </w:r>
          </w:p>
        </w:tc>
        <w:tc>
          <w:tcPr>
            <w:tcW w:w="5782" w:type="dxa"/>
            <w:tcBorders>
              <w:top w:val="nil"/>
              <w:left w:val="nil"/>
              <w:bottom w:val="single" w:color="000000" w:sz="4" w:space="0"/>
              <w:right w:val="single" w:color="000000" w:sz="4" w:space="0"/>
            </w:tcBorders>
            <w:shd w:val="clear" w:color="auto" w:fill="auto"/>
            <w:vAlign w:val="center"/>
          </w:tcPr>
          <w:p w14:paraId="7CC90692">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(1)LED显示屏：</w:t>
            </w:r>
            <w:r>
              <w:rPr>
                <w:rStyle w:val="36"/>
                <w:color w:val="auto"/>
                <w:highlight w:val="none"/>
                <w:lang w:val="en-US" w:eastAsia="zh-CN" w:bidi="ar"/>
              </w:rPr>
              <w:br w:type="textWrapping"/>
            </w:r>
            <w:r>
              <w:rPr>
                <w:rStyle w:val="36"/>
                <w:color w:val="auto"/>
                <w:highlight w:val="none"/>
                <w:lang w:val="en-US" w:eastAsia="zh-CN" w:bidi="ar"/>
              </w:rPr>
              <w:t>1.像素点间距≤2.5mm，尺寸要求：整屏宽：6080mm，高：480mm。根据现场环境及装修尺寸要求，投标显示屏宽、高净尺寸±误差≤0.05米，整屏面积≥3.1㎡（含备品0.2）。</w:t>
            </w:r>
            <w:r>
              <w:rPr>
                <w:rStyle w:val="36"/>
                <w:color w:val="auto"/>
                <w:highlight w:val="none"/>
                <w:lang w:val="en-US" w:eastAsia="zh-CN" w:bidi="ar"/>
              </w:rPr>
              <w:br w:type="textWrapping"/>
            </w:r>
            <w:r>
              <w:rPr>
                <w:rStyle w:val="36"/>
                <w:color w:val="auto"/>
                <w:highlight w:val="none"/>
                <w:lang w:val="en-US" w:eastAsia="zh-CN" w:bidi="ar"/>
              </w:rPr>
              <w:t>2.采用表贴SMD三合一LED灯，像素由1R1G1B组成；LED主动式发光；一体化驱动设计，共阴恒流驱动，动态扫描保护功能，同步控制，点点对应，应具有非线性校正显示控制和自带驱动控制方面的先进技术。</w:t>
            </w:r>
            <w:r>
              <w:rPr>
                <w:rStyle w:val="36"/>
                <w:color w:val="auto"/>
                <w:highlight w:val="none"/>
                <w:lang w:val="en-US" w:eastAsia="zh-CN" w:bidi="ar"/>
              </w:rPr>
              <w:br w:type="textWrapping"/>
            </w:r>
            <w:r>
              <w:rPr>
                <w:rStyle w:val="36"/>
                <w:color w:val="auto"/>
                <w:highlight w:val="none"/>
                <w:lang w:val="en-US" w:eastAsia="zh-CN" w:bidi="ar"/>
              </w:rPr>
              <w:t>3.PCB采用FR-4材质，灯驱合一，电路及表面处理采用4层盲孔设计及沉金工艺设计，OSP工艺，符合CQC13-471301-2018标准，同时具有独特的消隐、节能处理、EMC处理、智能模组存储处理功能电路。</w:t>
            </w:r>
            <w:r>
              <w:rPr>
                <w:rStyle w:val="36"/>
                <w:color w:val="auto"/>
                <w:highlight w:val="none"/>
                <w:lang w:val="en-US" w:eastAsia="zh-CN" w:bidi="ar"/>
              </w:rPr>
              <w:br w:type="textWrapping"/>
            </w:r>
            <w:r>
              <w:rPr>
                <w:rStyle w:val="36"/>
                <w:color w:val="auto"/>
                <w:highlight w:val="none"/>
                <w:lang w:val="en-US" w:eastAsia="zh-CN" w:bidi="ar"/>
              </w:rPr>
              <w:t>4.刷新率≥3840Hz，支持通过配套控制软件调节刷新率设置选项；换帧频率支持30Hz/50Hz/60Hz/120Hz/240Hz。</w:t>
            </w:r>
            <w:r>
              <w:rPr>
                <w:rStyle w:val="36"/>
                <w:color w:val="auto"/>
                <w:highlight w:val="none"/>
                <w:lang w:val="en-US" w:eastAsia="zh-CN" w:bidi="ar"/>
              </w:rPr>
              <w:br w:type="textWrapping"/>
            </w:r>
            <w:r>
              <w:rPr>
                <w:rStyle w:val="36"/>
                <w:color w:val="auto"/>
                <w:highlight w:val="none"/>
                <w:lang w:val="en-US" w:eastAsia="zh-CN" w:bidi="ar"/>
              </w:rPr>
              <w:t>5.亮度0-1500cd/㎡无级调节（白平衡亮度0-1000cd/㎡可调），支持根据环境的照度变化自动调整亮度的功能；支持通过配套软件自动/手动0-100%无级调节/程控调节；支持0-255灰度逐级及无级手动/自动/程控平滑调节。</w:t>
            </w:r>
            <w:r>
              <w:rPr>
                <w:rStyle w:val="36"/>
                <w:color w:val="auto"/>
                <w:highlight w:val="none"/>
                <w:lang w:val="en-US" w:eastAsia="zh-CN" w:bidi="ar"/>
              </w:rPr>
              <w:br w:type="textWrapping"/>
            </w:r>
            <w:r>
              <w:rPr>
                <w:rStyle w:val="36"/>
                <w:color w:val="auto"/>
                <w:highlight w:val="none"/>
                <w:lang w:val="en-US" w:eastAsia="zh-CN" w:bidi="ar"/>
              </w:rPr>
              <w:t>6.支持LED单点失控点检测，失控点数据回传功能；支持电源电压检测，当电源电压高于限制电压时启动报警装置，具有电源温度控制系统，提供电源实时温度监控，超出设定温度自动报警，防止过温失效；支持屏体多点测温：支持单个屏幕温度检测，针对大屏启动多点测温系统，均衡散热，防止局部温度过高造成色彩漂移、混乱、分离，并提高显示屏寿命；支持温度监控：实时检测显示屏温度值，具有高温故障自动告警功能，发生故障立即发消息到指定邮箱，及时处理；支持一键自检，支持灰度、网格线测试，并通过软件输出自检结果报告，精确定位×行×列箱体或模组需要排查故障。</w:t>
            </w:r>
            <w:r>
              <w:rPr>
                <w:rStyle w:val="36"/>
                <w:color w:val="auto"/>
                <w:highlight w:val="none"/>
                <w:lang w:val="en-US" w:eastAsia="zh-CN" w:bidi="ar"/>
              </w:rPr>
              <w:br w:type="textWrapping"/>
            </w:r>
            <w:r>
              <w:rPr>
                <w:rStyle w:val="36"/>
                <w:color w:val="auto"/>
                <w:highlight w:val="none"/>
                <w:lang w:val="en-US" w:eastAsia="zh-CN" w:bidi="ar"/>
              </w:rPr>
              <w:t>7.色温100K-20000K连续可调，可设冷色、暖色标准等多档白场调节，色温为6500K时，100%、75%、50%、25%四档电平白场调节色温误差≤120K；色域≥125%NTSC，YIQ及覆盖率≥180%YUV，色温白平衡为6500K±5%，色域3次故障修好时间检测，故障处理后工作正常，产品无任何异常、报错，平均修复时间≤1分钟。</w:t>
            </w:r>
            <w:r>
              <w:rPr>
                <w:rStyle w:val="36"/>
                <w:color w:val="auto"/>
                <w:highlight w:val="none"/>
                <w:lang w:val="en-US" w:eastAsia="zh-CN" w:bidi="ar"/>
              </w:rPr>
              <w:br w:type="textWrapping"/>
            </w:r>
            <w:r>
              <w:rPr>
                <w:rStyle w:val="36"/>
                <w:color w:val="auto"/>
                <w:highlight w:val="none"/>
                <w:lang w:val="en-US" w:eastAsia="zh-CN" w:bidi="ar"/>
              </w:rPr>
              <w:t>8.支持对图像清晰度、饱和度、色度调节、对比度、亮度进行综合式一键视觉修正，具备降噪、增强、运动补偿、色坐标色彩变换处理、钝化处理功能，支持HDR高动态范围图像技术显示；模组驱动芯片具有实现消除消减鬼影(行消影)、毛毛虫(列消影)、伪像、拖尾、偏暗、隐亮、亮线、暗线、低灰偏色、低灰不均、低灰条纹、摩尔纹、“十”字架和列常亮等阻碍观看现象的功能，无闪屏无拖影。</w:t>
            </w:r>
          </w:p>
        </w:tc>
        <w:tc>
          <w:tcPr>
            <w:tcW w:w="743" w:type="dxa"/>
            <w:vMerge w:val="restart"/>
            <w:tcBorders>
              <w:top w:val="nil"/>
              <w:left w:val="single" w:color="000000" w:sz="4" w:space="0"/>
              <w:bottom w:val="single" w:color="000000" w:sz="4" w:space="0"/>
              <w:right w:val="single" w:color="000000" w:sz="4" w:space="0"/>
            </w:tcBorders>
            <w:shd w:val="clear" w:color="auto" w:fill="auto"/>
            <w:vAlign w:val="center"/>
          </w:tcPr>
          <w:p w14:paraId="00C29C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Style w:val="36"/>
                <w:color w:val="auto"/>
                <w:highlight w:val="none"/>
                <w:lang w:val="en-US" w:eastAsia="zh-CN" w:bidi="ar"/>
              </w:rPr>
              <w:t>套</w:t>
            </w:r>
          </w:p>
        </w:tc>
        <w:tc>
          <w:tcPr>
            <w:tcW w:w="715" w:type="dxa"/>
            <w:vMerge w:val="restart"/>
            <w:tcBorders>
              <w:top w:val="nil"/>
              <w:left w:val="single" w:color="000000" w:sz="4" w:space="0"/>
              <w:bottom w:val="single" w:color="000000" w:sz="4" w:space="0"/>
              <w:right w:val="single" w:color="000000" w:sz="4" w:space="0"/>
            </w:tcBorders>
            <w:shd w:val="clear" w:color="auto" w:fill="auto"/>
            <w:vAlign w:val="center"/>
          </w:tcPr>
          <w:p w14:paraId="5FBB68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Style w:val="36"/>
                <w:color w:val="auto"/>
                <w:highlight w:val="none"/>
                <w:lang w:val="en-US" w:eastAsia="zh-CN" w:bidi="ar"/>
              </w:rPr>
              <w:t>1</w:t>
            </w:r>
          </w:p>
        </w:tc>
      </w:tr>
      <w:tr w14:paraId="7AA96872">
        <w:trPr>
          <w:trHeight w:val="8190" w:hRule="atLeast"/>
        </w:trPr>
        <w:tc>
          <w:tcPr>
            <w:tcW w:w="501" w:type="dxa"/>
            <w:vMerge w:val="continue"/>
            <w:tcBorders>
              <w:top w:val="nil"/>
              <w:left w:val="single" w:color="000000" w:sz="4" w:space="0"/>
              <w:bottom w:val="single" w:color="000000" w:sz="4" w:space="0"/>
              <w:right w:val="single" w:color="000000" w:sz="4" w:space="0"/>
            </w:tcBorders>
            <w:shd w:val="clear" w:color="auto" w:fill="auto"/>
            <w:vAlign w:val="center"/>
          </w:tcPr>
          <w:p w14:paraId="2203DC16">
            <w:pPr>
              <w:jc w:val="center"/>
              <w:rPr>
                <w:rFonts w:hint="eastAsia" w:ascii="仿宋" w:hAnsi="仿宋" w:eastAsia="仿宋" w:cs="仿宋"/>
                <w:i w:val="0"/>
                <w:iCs w:val="0"/>
                <w:color w:val="auto"/>
                <w:sz w:val="24"/>
                <w:szCs w:val="24"/>
                <w:highlight w:val="none"/>
                <w:u w:val="none"/>
              </w:rPr>
            </w:pPr>
          </w:p>
        </w:tc>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14:paraId="57B9B69B">
            <w:pPr>
              <w:jc w:val="center"/>
              <w:rPr>
                <w:rFonts w:hint="eastAsia" w:ascii="仿宋" w:hAnsi="仿宋" w:eastAsia="仿宋" w:cs="仿宋"/>
                <w:i w:val="0"/>
                <w:iCs w:val="0"/>
                <w:color w:val="auto"/>
                <w:sz w:val="24"/>
                <w:szCs w:val="24"/>
                <w:highlight w:val="none"/>
                <w:u w:val="none"/>
              </w:rPr>
            </w:pPr>
          </w:p>
        </w:tc>
        <w:tc>
          <w:tcPr>
            <w:tcW w:w="5782" w:type="dxa"/>
            <w:tcBorders>
              <w:top w:val="nil"/>
              <w:left w:val="nil"/>
              <w:bottom w:val="single" w:color="000000" w:sz="4" w:space="0"/>
              <w:right w:val="single" w:color="000000" w:sz="4" w:space="0"/>
            </w:tcBorders>
            <w:shd w:val="clear" w:color="auto" w:fill="auto"/>
            <w:vAlign w:val="center"/>
          </w:tcPr>
          <w:p w14:paraId="2B732CD7">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采用网线传导加扰技术；使用时无需配置，接上电源后即可实现各端口的网线传导加扰，防止传输信息的失泄密及防止劫持相关设备。干扰信号带宽：10MHZ-1.5MHZ。相关干扰信号幅度(Vp-p)＞2.5V。无线防护输出功率40mW。电源隔离度10KHz-30MHz，≥40dB。</w:t>
            </w:r>
            <w:r>
              <w:rPr>
                <w:rStyle w:val="36"/>
                <w:color w:val="auto"/>
                <w:highlight w:val="none"/>
                <w:lang w:val="en-US" w:eastAsia="zh-CN" w:bidi="ar"/>
              </w:rPr>
              <w:br w:type="textWrapping"/>
            </w:r>
            <w:r>
              <w:rPr>
                <w:rStyle w:val="36"/>
                <w:color w:val="auto"/>
                <w:highlight w:val="none"/>
                <w:lang w:val="en-US" w:eastAsia="zh-CN" w:bidi="ar"/>
              </w:rPr>
              <w:t>（2）拼接处理器：</w:t>
            </w:r>
            <w:r>
              <w:rPr>
                <w:rStyle w:val="36"/>
                <w:color w:val="auto"/>
                <w:highlight w:val="none"/>
                <w:lang w:val="en-US" w:eastAsia="zh-CN" w:bidi="ar"/>
              </w:rPr>
              <w:br w:type="textWrapping"/>
            </w:r>
            <w:r>
              <w:rPr>
                <w:rStyle w:val="36"/>
                <w:color w:val="auto"/>
                <w:highlight w:val="none"/>
                <w:lang w:val="en-US" w:eastAsia="zh-CN" w:bidi="ar"/>
              </w:rPr>
              <w:t>1.全硬件构架,独立总线传输技术，系统资源占用少，稳定可靠；单一逻辑屏，高分辨率。至少支持2网口，130 万点，同异步播放控制，HDMI 输入输出，最宽 4096，最高 4096，</w:t>
            </w:r>
            <w:r>
              <w:rPr>
                <w:rStyle w:val="36"/>
                <w:color w:val="auto"/>
                <w:highlight w:val="none"/>
                <w:lang w:val="en-US" w:eastAsia="zh-CN" w:bidi="ar"/>
              </w:rPr>
              <w:br w:type="textWrapping"/>
            </w:r>
            <w:r>
              <w:rPr>
                <w:rStyle w:val="36"/>
                <w:color w:val="auto"/>
                <w:highlight w:val="none"/>
                <w:lang w:val="en-US" w:eastAsia="zh-CN" w:bidi="ar"/>
              </w:rPr>
              <w:t>2. 4K 视频解码，16G 内存，U盘播放，联网播放。</w:t>
            </w:r>
            <w:r>
              <w:rPr>
                <w:rStyle w:val="36"/>
                <w:color w:val="auto"/>
                <w:highlight w:val="none"/>
                <w:lang w:val="en-US" w:eastAsia="zh-CN" w:bidi="ar"/>
              </w:rPr>
              <w:br w:type="textWrapping"/>
            </w:r>
            <w:r>
              <w:rPr>
                <w:rStyle w:val="36"/>
                <w:color w:val="auto"/>
                <w:highlight w:val="none"/>
                <w:lang w:val="en-US" w:eastAsia="zh-CN" w:bidi="ar"/>
              </w:rPr>
              <w:t>3.支持较强IP信号显示能力，可支持全部输入均为1080P时的同屏显示。</w:t>
            </w:r>
            <w:r>
              <w:rPr>
                <w:rStyle w:val="36"/>
                <w:color w:val="auto"/>
                <w:highlight w:val="none"/>
                <w:lang w:val="en-US" w:eastAsia="zh-CN" w:bidi="ar"/>
              </w:rPr>
              <w:br w:type="textWrapping"/>
            </w:r>
            <w:r>
              <w:rPr>
                <w:rStyle w:val="36"/>
                <w:color w:val="auto"/>
                <w:highlight w:val="none"/>
                <w:lang w:val="en-US" w:eastAsia="zh-CN" w:bidi="ar"/>
              </w:rPr>
              <w:t>4.处理器具备较好的抗电强度，电源输入端与GND之间:加电1500Vac测试1min,无飞弧、无击穿；电源输入端与可触及的部件之间:加电3000Vac，测试1min,无飞弧、无击穿。</w:t>
            </w:r>
            <w:r>
              <w:rPr>
                <w:rStyle w:val="36"/>
                <w:color w:val="auto"/>
                <w:highlight w:val="none"/>
                <w:lang w:val="en-US" w:eastAsia="zh-CN" w:bidi="ar"/>
              </w:rPr>
              <w:br w:type="textWrapping"/>
            </w:r>
            <w:r>
              <w:rPr>
                <w:rStyle w:val="36"/>
                <w:color w:val="auto"/>
                <w:highlight w:val="none"/>
                <w:lang w:val="en-US" w:eastAsia="zh-CN" w:bidi="ar"/>
              </w:rPr>
              <w:t>5.处理器具有业务自动恢复功能，所有板卡支持热插拔，维护结束后无须人工干预，自动恢复信号状态，恢复时间不大于30s。</w:t>
            </w:r>
            <w:r>
              <w:rPr>
                <w:rStyle w:val="36"/>
                <w:color w:val="auto"/>
                <w:highlight w:val="none"/>
                <w:lang w:val="en-US" w:eastAsia="zh-CN" w:bidi="ar"/>
              </w:rPr>
              <w:br w:type="textWrapping"/>
            </w:r>
            <w:r>
              <w:rPr>
                <w:rStyle w:val="36"/>
                <w:color w:val="auto"/>
                <w:highlight w:val="none"/>
                <w:lang w:val="en-US" w:eastAsia="zh-CN" w:bidi="ar"/>
              </w:rPr>
              <w:t>6.处理器支持最高240Hz处理速度，画面流畅、不丢帧、无残影，画面不撕裂。图像信号无压缩、无失真实时传输，具备整墙同步功能，保证了各个显示单元间的信号窗口的显示同步。</w:t>
            </w:r>
            <w:r>
              <w:rPr>
                <w:rStyle w:val="36"/>
                <w:color w:val="auto"/>
                <w:highlight w:val="none"/>
                <w:lang w:val="en-US" w:eastAsia="zh-CN" w:bidi="ar"/>
              </w:rPr>
              <w:br w:type="textWrapping"/>
            </w:r>
            <w:r>
              <w:rPr>
                <w:rStyle w:val="36"/>
                <w:color w:val="auto"/>
                <w:highlight w:val="none"/>
                <w:lang w:val="en-US" w:eastAsia="zh-CN" w:bidi="ar"/>
              </w:rPr>
              <w:t>7.处理器支持场景保存、个性化命名、修改和一键快速调用，场景调用响应时间≤12ms；支持场景轮巡并可以设置轮巡间隔时间。</w:t>
            </w:r>
          </w:p>
        </w:tc>
        <w:tc>
          <w:tcPr>
            <w:tcW w:w="743" w:type="dxa"/>
            <w:vMerge w:val="continue"/>
            <w:tcBorders>
              <w:top w:val="nil"/>
              <w:left w:val="single" w:color="000000" w:sz="4" w:space="0"/>
              <w:bottom w:val="single" w:color="000000" w:sz="4" w:space="0"/>
              <w:right w:val="single" w:color="000000" w:sz="4" w:space="0"/>
            </w:tcBorders>
            <w:shd w:val="clear" w:color="auto" w:fill="auto"/>
            <w:vAlign w:val="center"/>
          </w:tcPr>
          <w:p w14:paraId="0E3F3C0E">
            <w:pPr>
              <w:jc w:val="center"/>
              <w:rPr>
                <w:rFonts w:hint="eastAsia" w:ascii="仿宋" w:hAnsi="仿宋" w:eastAsia="仿宋" w:cs="仿宋"/>
                <w:i w:val="0"/>
                <w:iCs w:val="0"/>
                <w:color w:val="auto"/>
                <w:sz w:val="24"/>
                <w:szCs w:val="24"/>
                <w:highlight w:val="none"/>
                <w:u w:val="none"/>
              </w:rPr>
            </w:pPr>
          </w:p>
        </w:tc>
        <w:tc>
          <w:tcPr>
            <w:tcW w:w="715" w:type="dxa"/>
            <w:vMerge w:val="continue"/>
            <w:tcBorders>
              <w:top w:val="nil"/>
              <w:left w:val="single" w:color="000000" w:sz="4" w:space="0"/>
              <w:bottom w:val="single" w:color="000000" w:sz="4" w:space="0"/>
              <w:right w:val="single" w:color="000000" w:sz="4" w:space="0"/>
            </w:tcBorders>
            <w:shd w:val="clear" w:color="auto" w:fill="auto"/>
            <w:vAlign w:val="center"/>
          </w:tcPr>
          <w:p w14:paraId="301F7CC8">
            <w:pPr>
              <w:jc w:val="center"/>
              <w:rPr>
                <w:rFonts w:hint="eastAsia" w:ascii="仿宋" w:hAnsi="仿宋" w:eastAsia="仿宋" w:cs="仿宋"/>
                <w:i w:val="0"/>
                <w:iCs w:val="0"/>
                <w:color w:val="auto"/>
                <w:sz w:val="24"/>
                <w:szCs w:val="24"/>
                <w:highlight w:val="none"/>
                <w:u w:val="none"/>
              </w:rPr>
            </w:pPr>
          </w:p>
        </w:tc>
      </w:tr>
      <w:tr w14:paraId="2A7A597F">
        <w:trPr>
          <w:trHeight w:val="8190" w:hRule="atLeast"/>
        </w:trPr>
        <w:tc>
          <w:tcPr>
            <w:tcW w:w="501" w:type="dxa"/>
            <w:vMerge w:val="continue"/>
            <w:tcBorders>
              <w:top w:val="nil"/>
              <w:left w:val="single" w:color="000000" w:sz="4" w:space="0"/>
              <w:bottom w:val="single" w:color="000000" w:sz="4" w:space="0"/>
              <w:right w:val="single" w:color="000000" w:sz="4" w:space="0"/>
            </w:tcBorders>
            <w:shd w:val="clear" w:color="auto" w:fill="auto"/>
            <w:vAlign w:val="center"/>
          </w:tcPr>
          <w:p w14:paraId="49ADEA31">
            <w:pPr>
              <w:jc w:val="center"/>
              <w:rPr>
                <w:rFonts w:hint="eastAsia" w:ascii="仿宋" w:hAnsi="仿宋" w:eastAsia="仿宋" w:cs="仿宋"/>
                <w:i w:val="0"/>
                <w:iCs w:val="0"/>
                <w:color w:val="auto"/>
                <w:sz w:val="24"/>
                <w:szCs w:val="24"/>
                <w:highlight w:val="none"/>
                <w:u w:val="none"/>
              </w:rPr>
            </w:pPr>
          </w:p>
        </w:tc>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14:paraId="6DE67A32">
            <w:pPr>
              <w:jc w:val="center"/>
              <w:rPr>
                <w:rFonts w:hint="eastAsia" w:ascii="仿宋" w:hAnsi="仿宋" w:eastAsia="仿宋" w:cs="仿宋"/>
                <w:i w:val="0"/>
                <w:iCs w:val="0"/>
                <w:color w:val="auto"/>
                <w:sz w:val="24"/>
                <w:szCs w:val="24"/>
                <w:highlight w:val="none"/>
                <w:u w:val="none"/>
              </w:rPr>
            </w:pPr>
          </w:p>
        </w:tc>
        <w:tc>
          <w:tcPr>
            <w:tcW w:w="5782" w:type="dxa"/>
            <w:tcBorders>
              <w:top w:val="nil"/>
              <w:left w:val="nil"/>
              <w:bottom w:val="single" w:color="000000" w:sz="4" w:space="0"/>
              <w:right w:val="single" w:color="000000" w:sz="4" w:space="0"/>
            </w:tcBorders>
            <w:shd w:val="clear" w:color="auto" w:fill="auto"/>
            <w:vAlign w:val="center"/>
          </w:tcPr>
          <w:p w14:paraId="09605817">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（3）发送卡：</w:t>
            </w:r>
            <w:r>
              <w:rPr>
                <w:rStyle w:val="36"/>
                <w:color w:val="auto"/>
                <w:highlight w:val="none"/>
                <w:lang w:val="en-US" w:eastAsia="zh-CN" w:bidi="ar"/>
              </w:rPr>
              <w:br w:type="textWrapping"/>
            </w:r>
            <w:r>
              <w:rPr>
                <w:rStyle w:val="36"/>
                <w:color w:val="auto"/>
                <w:highlight w:val="none"/>
                <w:lang w:val="en-US" w:eastAsia="zh-CN" w:bidi="ar"/>
              </w:rPr>
              <w:t>1.支持2路DVI，2路HDMI高清视频信号和1路1/8" TRS 音频输入，4路网口输出；</w:t>
            </w:r>
            <w:r>
              <w:rPr>
                <w:rStyle w:val="36"/>
                <w:color w:val="auto"/>
                <w:highlight w:val="none"/>
                <w:lang w:val="en-US" w:eastAsia="zh-CN" w:bidi="ar"/>
              </w:rPr>
              <w:br w:type="textWrapping"/>
            </w:r>
            <w:r>
              <w:rPr>
                <w:rStyle w:val="36"/>
                <w:color w:val="auto"/>
                <w:highlight w:val="none"/>
                <w:lang w:val="en-US" w:eastAsia="zh-CN" w:bidi="ar"/>
              </w:rPr>
              <w:t>2.支持最大260万自定义输出分辨率，最宽4096，最高4096；</w:t>
            </w:r>
            <w:r>
              <w:rPr>
                <w:rStyle w:val="36"/>
                <w:color w:val="auto"/>
                <w:highlight w:val="none"/>
                <w:lang w:val="en-US" w:eastAsia="zh-CN" w:bidi="ar"/>
              </w:rPr>
              <w:br w:type="textWrapping"/>
            </w:r>
            <w:r>
              <w:rPr>
                <w:rStyle w:val="36"/>
                <w:color w:val="auto"/>
                <w:highlight w:val="none"/>
                <w:lang w:val="en-US" w:eastAsia="zh-CN" w:bidi="ar"/>
              </w:rPr>
              <w:t>3.支持控制面板独立操作，旋钮与数字键的设计令设备使用更加简便；</w:t>
            </w:r>
            <w:r>
              <w:rPr>
                <w:rStyle w:val="36"/>
                <w:color w:val="auto"/>
                <w:highlight w:val="none"/>
                <w:lang w:val="en-US" w:eastAsia="zh-CN" w:bidi="ar"/>
              </w:rPr>
              <w:br w:type="textWrapping"/>
            </w:r>
            <w:r>
              <w:rPr>
                <w:rStyle w:val="36"/>
                <w:color w:val="auto"/>
                <w:highlight w:val="none"/>
                <w:lang w:val="en-US" w:eastAsia="zh-CN" w:bidi="ar"/>
              </w:rPr>
              <w:t>4.支持上位机软件控制，实现可视化快捷操作；</w:t>
            </w:r>
            <w:r>
              <w:rPr>
                <w:rStyle w:val="36"/>
                <w:color w:val="auto"/>
                <w:highlight w:val="none"/>
                <w:lang w:val="en-US" w:eastAsia="zh-CN" w:bidi="ar"/>
              </w:rPr>
              <w:br w:type="textWrapping"/>
            </w:r>
            <w:r>
              <w:rPr>
                <w:rStyle w:val="36"/>
                <w:color w:val="auto"/>
                <w:highlight w:val="none"/>
                <w:lang w:val="en-US" w:eastAsia="zh-CN" w:bidi="ar"/>
              </w:rPr>
              <w:t>5.支持K-HDR，使得普通SDR素材呈现HDR显示效果，解决HDR素材少的痛点；</w:t>
            </w:r>
            <w:r>
              <w:rPr>
                <w:rStyle w:val="36"/>
                <w:color w:val="auto"/>
                <w:highlight w:val="none"/>
                <w:lang w:val="en-US" w:eastAsia="zh-CN" w:bidi="ar"/>
              </w:rPr>
              <w:br w:type="textWrapping"/>
            </w:r>
            <w:r>
              <w:rPr>
                <w:rStyle w:val="36"/>
                <w:color w:val="auto"/>
                <w:highlight w:val="none"/>
                <w:lang w:val="en-US" w:eastAsia="zh-CN" w:bidi="ar"/>
              </w:rPr>
              <w:t>6.支持亮度、对比度，增强图像显示效果；</w:t>
            </w:r>
            <w:r>
              <w:rPr>
                <w:rStyle w:val="36"/>
                <w:color w:val="auto"/>
                <w:highlight w:val="none"/>
                <w:lang w:val="en-US" w:eastAsia="zh-CN" w:bidi="ar"/>
              </w:rPr>
              <w:br w:type="textWrapping"/>
            </w:r>
            <w:r>
              <w:rPr>
                <w:rStyle w:val="36"/>
                <w:color w:val="auto"/>
                <w:highlight w:val="none"/>
                <w:lang w:val="en-US" w:eastAsia="zh-CN" w:bidi="ar"/>
              </w:rPr>
              <w:t>7.支持画面大小任意缩放；</w:t>
            </w:r>
            <w:r>
              <w:rPr>
                <w:rStyle w:val="36"/>
                <w:color w:val="auto"/>
                <w:highlight w:val="none"/>
                <w:lang w:val="en-US" w:eastAsia="zh-CN" w:bidi="ar"/>
              </w:rPr>
              <w:br w:type="textWrapping"/>
            </w:r>
            <w:r>
              <w:rPr>
                <w:rStyle w:val="36"/>
                <w:color w:val="auto"/>
                <w:highlight w:val="none"/>
                <w:lang w:val="en-US" w:eastAsia="zh-CN" w:bidi="ar"/>
              </w:rPr>
              <w:t>8.支持运动补偿，画面不出现拖尾；</w:t>
            </w:r>
            <w:r>
              <w:rPr>
                <w:rStyle w:val="36"/>
                <w:color w:val="auto"/>
                <w:highlight w:val="none"/>
                <w:lang w:val="en-US" w:eastAsia="zh-CN" w:bidi="ar"/>
              </w:rPr>
              <w:br w:type="textWrapping"/>
            </w:r>
            <w:r>
              <w:rPr>
                <w:rStyle w:val="36"/>
                <w:color w:val="auto"/>
                <w:highlight w:val="none"/>
                <w:lang w:val="en-US" w:eastAsia="zh-CN" w:bidi="ar"/>
              </w:rPr>
              <w:t>9.支持降噪处理，降低噪音污点；</w:t>
            </w:r>
            <w:r>
              <w:rPr>
                <w:rStyle w:val="36"/>
                <w:color w:val="auto"/>
                <w:highlight w:val="none"/>
                <w:lang w:val="en-US" w:eastAsia="zh-CN" w:bidi="ar"/>
              </w:rPr>
              <w:br w:type="textWrapping"/>
            </w:r>
            <w:r>
              <w:rPr>
                <w:rStyle w:val="36"/>
                <w:color w:val="auto"/>
                <w:highlight w:val="none"/>
                <w:lang w:val="en-US" w:eastAsia="zh-CN" w:bidi="ar"/>
              </w:rPr>
              <w:t>10.支持重发配置及回读配置功能，无上位机可实现维护；</w:t>
            </w:r>
            <w:r>
              <w:rPr>
                <w:rStyle w:val="36"/>
                <w:color w:val="auto"/>
                <w:highlight w:val="none"/>
                <w:lang w:val="en-US" w:eastAsia="zh-CN" w:bidi="ar"/>
              </w:rPr>
              <w:br w:type="textWrapping"/>
            </w:r>
            <w:r>
              <w:rPr>
                <w:rStyle w:val="36"/>
                <w:color w:val="auto"/>
                <w:highlight w:val="none"/>
                <w:lang w:val="en-US" w:eastAsia="zh-CN" w:bidi="ar"/>
              </w:rPr>
              <w:t>11.支持键盘锁功能，防止施工调试后现场人员的误操作；</w:t>
            </w:r>
            <w:r>
              <w:rPr>
                <w:rStyle w:val="36"/>
                <w:color w:val="auto"/>
                <w:highlight w:val="none"/>
                <w:lang w:val="en-US" w:eastAsia="zh-CN" w:bidi="ar"/>
              </w:rPr>
              <w:br w:type="textWrapping"/>
            </w:r>
            <w:r>
              <w:rPr>
                <w:rStyle w:val="36"/>
                <w:color w:val="auto"/>
                <w:highlight w:val="none"/>
                <w:lang w:val="en-US" w:eastAsia="zh-CN" w:bidi="ar"/>
              </w:rPr>
              <w:t>12.支持五种场景模式的保存与调用；</w:t>
            </w:r>
            <w:r>
              <w:rPr>
                <w:rStyle w:val="36"/>
                <w:color w:val="auto"/>
                <w:highlight w:val="none"/>
                <w:lang w:val="en-US" w:eastAsia="zh-CN" w:bidi="ar"/>
              </w:rPr>
              <w:br w:type="textWrapping"/>
            </w:r>
            <w:r>
              <w:rPr>
                <w:rStyle w:val="36"/>
                <w:color w:val="auto"/>
                <w:highlight w:val="none"/>
                <w:lang w:val="en-US" w:eastAsia="zh-CN" w:bidi="ar"/>
              </w:rPr>
              <w:t>（4）线缆及辅材</w:t>
            </w:r>
            <w:r>
              <w:rPr>
                <w:rStyle w:val="36"/>
                <w:color w:val="auto"/>
                <w:highlight w:val="none"/>
                <w:lang w:val="en-US" w:eastAsia="zh-CN" w:bidi="ar"/>
              </w:rPr>
              <w:br w:type="textWrapping"/>
            </w:r>
            <w:r>
              <w:rPr>
                <w:rStyle w:val="36"/>
                <w:color w:val="auto"/>
                <w:highlight w:val="none"/>
                <w:lang w:val="en-US" w:eastAsia="zh-CN" w:bidi="ar"/>
              </w:rPr>
              <w:t>六类网线，配电柜下线电缆，线材接头，转换头等。含条屏所需线材。（不含主电缆）</w:t>
            </w:r>
            <w:r>
              <w:rPr>
                <w:rStyle w:val="36"/>
                <w:color w:val="auto"/>
                <w:highlight w:val="none"/>
                <w:lang w:val="en-US" w:eastAsia="zh-CN" w:bidi="ar"/>
              </w:rPr>
              <w:br w:type="textWrapping"/>
            </w:r>
            <w:r>
              <w:rPr>
                <w:rStyle w:val="36"/>
                <w:color w:val="auto"/>
                <w:highlight w:val="none"/>
                <w:lang w:val="en-US" w:eastAsia="zh-CN" w:bidi="ar"/>
              </w:rPr>
              <w:t>（5）支架</w:t>
            </w:r>
            <w:r>
              <w:rPr>
                <w:rStyle w:val="36"/>
                <w:color w:val="auto"/>
                <w:highlight w:val="none"/>
                <w:lang w:val="en-US" w:eastAsia="zh-CN" w:bidi="ar"/>
              </w:rPr>
              <w:br w:type="textWrapping"/>
            </w:r>
            <w:r>
              <w:rPr>
                <w:rStyle w:val="36"/>
                <w:color w:val="auto"/>
                <w:highlight w:val="none"/>
                <w:lang w:val="en-US" w:eastAsia="zh-CN" w:bidi="ar"/>
              </w:rPr>
              <w:t>1.采用铝合金型材或钢材结构定制。</w:t>
            </w:r>
            <w:r>
              <w:rPr>
                <w:rStyle w:val="36"/>
                <w:color w:val="auto"/>
                <w:highlight w:val="none"/>
                <w:lang w:val="en-US" w:eastAsia="zh-CN" w:bidi="ar"/>
              </w:rPr>
              <w:br w:type="textWrapping"/>
            </w:r>
            <w:r>
              <w:rPr>
                <w:rStyle w:val="36"/>
                <w:color w:val="auto"/>
                <w:highlight w:val="none"/>
                <w:lang w:val="en-US" w:eastAsia="zh-CN" w:bidi="ar"/>
              </w:rPr>
              <w:t>2.表面进行专业酸洗、防锈防磷处理，保证喷涂工艺的均匀性。</w:t>
            </w:r>
            <w:r>
              <w:rPr>
                <w:rStyle w:val="36"/>
                <w:color w:val="auto"/>
                <w:highlight w:val="none"/>
                <w:lang w:val="en-US" w:eastAsia="zh-CN" w:bidi="ar"/>
              </w:rPr>
              <w:br w:type="textWrapping"/>
            </w:r>
            <w:r>
              <w:rPr>
                <w:rStyle w:val="36"/>
                <w:color w:val="auto"/>
                <w:highlight w:val="none"/>
                <w:lang w:val="en-US" w:eastAsia="zh-CN" w:bidi="ar"/>
              </w:rPr>
              <w:t>3.采用高强度的ICI粉末，静电喷塑，保证涂层表面平滑、喷涂均匀、色调一致。</w:t>
            </w:r>
            <w:r>
              <w:rPr>
                <w:rStyle w:val="36"/>
                <w:color w:val="auto"/>
                <w:highlight w:val="none"/>
                <w:lang w:val="en-US" w:eastAsia="zh-CN" w:bidi="ar"/>
              </w:rPr>
              <w:br w:type="textWrapping"/>
            </w:r>
            <w:r>
              <w:rPr>
                <w:rStyle w:val="36"/>
                <w:color w:val="auto"/>
                <w:highlight w:val="none"/>
                <w:lang w:val="en-US" w:eastAsia="zh-CN" w:bidi="ar"/>
              </w:rPr>
              <w:t>4.采用全模块式拼装结构设计，完全满足运输和设备扩展需求，具备良好的通用性及互换性。</w:t>
            </w:r>
          </w:p>
        </w:tc>
        <w:tc>
          <w:tcPr>
            <w:tcW w:w="743" w:type="dxa"/>
            <w:vMerge w:val="continue"/>
            <w:tcBorders>
              <w:top w:val="nil"/>
              <w:left w:val="single" w:color="000000" w:sz="4" w:space="0"/>
              <w:bottom w:val="single" w:color="000000" w:sz="4" w:space="0"/>
              <w:right w:val="single" w:color="000000" w:sz="4" w:space="0"/>
            </w:tcBorders>
            <w:shd w:val="clear" w:color="auto" w:fill="auto"/>
            <w:vAlign w:val="center"/>
          </w:tcPr>
          <w:p w14:paraId="0FC9A9F5">
            <w:pPr>
              <w:jc w:val="center"/>
              <w:rPr>
                <w:rFonts w:hint="eastAsia" w:ascii="仿宋" w:hAnsi="仿宋" w:eastAsia="仿宋" w:cs="仿宋"/>
                <w:i w:val="0"/>
                <w:iCs w:val="0"/>
                <w:color w:val="auto"/>
                <w:sz w:val="24"/>
                <w:szCs w:val="24"/>
                <w:highlight w:val="none"/>
                <w:u w:val="none"/>
              </w:rPr>
            </w:pPr>
          </w:p>
        </w:tc>
        <w:tc>
          <w:tcPr>
            <w:tcW w:w="715" w:type="dxa"/>
            <w:vMerge w:val="continue"/>
            <w:tcBorders>
              <w:top w:val="nil"/>
              <w:left w:val="single" w:color="000000" w:sz="4" w:space="0"/>
              <w:bottom w:val="single" w:color="000000" w:sz="4" w:space="0"/>
              <w:right w:val="single" w:color="000000" w:sz="4" w:space="0"/>
            </w:tcBorders>
            <w:shd w:val="clear" w:color="auto" w:fill="auto"/>
            <w:vAlign w:val="center"/>
          </w:tcPr>
          <w:p w14:paraId="47EF7E76">
            <w:pPr>
              <w:jc w:val="center"/>
              <w:rPr>
                <w:rFonts w:hint="eastAsia" w:ascii="仿宋" w:hAnsi="仿宋" w:eastAsia="仿宋" w:cs="仿宋"/>
                <w:i w:val="0"/>
                <w:iCs w:val="0"/>
                <w:color w:val="auto"/>
                <w:sz w:val="24"/>
                <w:szCs w:val="24"/>
                <w:highlight w:val="none"/>
                <w:u w:val="none"/>
              </w:rPr>
            </w:pPr>
          </w:p>
        </w:tc>
      </w:tr>
      <w:tr w14:paraId="55B8D365">
        <w:trPr>
          <w:trHeight w:val="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05457F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3.2.5</w:t>
            </w:r>
          </w:p>
        </w:tc>
        <w:tc>
          <w:tcPr>
            <w:tcW w:w="1290" w:type="dxa"/>
            <w:tcBorders>
              <w:top w:val="nil"/>
              <w:left w:val="nil"/>
              <w:bottom w:val="single" w:color="000000" w:sz="4" w:space="0"/>
              <w:right w:val="single" w:color="000000" w:sz="4" w:space="0"/>
            </w:tcBorders>
            <w:shd w:val="clear" w:color="auto" w:fill="auto"/>
            <w:vAlign w:val="center"/>
          </w:tcPr>
          <w:p w14:paraId="36C7E3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机柜</w:t>
            </w:r>
          </w:p>
        </w:tc>
        <w:tc>
          <w:tcPr>
            <w:tcW w:w="5782" w:type="dxa"/>
            <w:tcBorders>
              <w:top w:val="nil"/>
              <w:left w:val="nil"/>
              <w:bottom w:val="single" w:color="000000" w:sz="4" w:space="0"/>
              <w:right w:val="single" w:color="000000" w:sz="4" w:space="0"/>
            </w:tcBorders>
            <w:shd w:val="clear" w:color="auto" w:fill="auto"/>
            <w:noWrap/>
            <w:vAlign w:val="center"/>
          </w:tcPr>
          <w:p w14:paraId="257FC860">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42U服务器机柜，尺寸：高度2000mm，宽度为600mm，深度为1000mm，承重：≥800kg。</w:t>
            </w:r>
          </w:p>
        </w:tc>
        <w:tc>
          <w:tcPr>
            <w:tcW w:w="743" w:type="dxa"/>
            <w:tcBorders>
              <w:top w:val="nil"/>
              <w:left w:val="nil"/>
              <w:bottom w:val="single" w:color="000000" w:sz="4" w:space="0"/>
              <w:right w:val="single" w:color="000000" w:sz="4" w:space="0"/>
            </w:tcBorders>
            <w:shd w:val="clear" w:color="auto" w:fill="auto"/>
            <w:noWrap/>
            <w:vAlign w:val="center"/>
          </w:tcPr>
          <w:p w14:paraId="791A2B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0E2913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5D9C113">
        <w:trPr>
          <w:trHeight w:val="8190" w:hRule="atLeast"/>
        </w:trPr>
        <w:tc>
          <w:tcPr>
            <w:tcW w:w="501" w:type="dxa"/>
            <w:vMerge w:val="restart"/>
            <w:tcBorders>
              <w:top w:val="nil"/>
              <w:left w:val="single" w:color="000000" w:sz="4" w:space="0"/>
              <w:bottom w:val="single" w:color="000000" w:sz="4" w:space="0"/>
              <w:right w:val="single" w:color="000000" w:sz="4" w:space="0"/>
            </w:tcBorders>
            <w:shd w:val="clear" w:color="auto" w:fill="auto"/>
            <w:vAlign w:val="center"/>
          </w:tcPr>
          <w:p w14:paraId="102045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1290" w:type="dxa"/>
            <w:vMerge w:val="restart"/>
            <w:tcBorders>
              <w:top w:val="nil"/>
              <w:left w:val="single" w:color="000000" w:sz="4" w:space="0"/>
              <w:bottom w:val="single" w:color="000000" w:sz="4" w:space="0"/>
              <w:right w:val="single" w:color="000000" w:sz="4" w:space="0"/>
            </w:tcBorders>
            <w:shd w:val="clear" w:color="auto" w:fill="auto"/>
            <w:vAlign w:val="center"/>
          </w:tcPr>
          <w:p w14:paraId="1393F5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无线数字会议系统</w:t>
            </w:r>
          </w:p>
        </w:tc>
        <w:tc>
          <w:tcPr>
            <w:tcW w:w="5782" w:type="dxa"/>
            <w:vMerge w:val="restart"/>
            <w:tcBorders>
              <w:top w:val="nil"/>
              <w:left w:val="single" w:color="000000" w:sz="4" w:space="0"/>
              <w:bottom w:val="single" w:color="000000" w:sz="4" w:space="0"/>
              <w:right w:val="single" w:color="000000" w:sz="4" w:space="0"/>
            </w:tcBorders>
            <w:shd w:val="clear" w:color="auto" w:fill="auto"/>
            <w:vAlign w:val="center"/>
          </w:tcPr>
          <w:p w14:paraId="699087A2">
            <w:pPr>
              <w:keepNext w:val="0"/>
              <w:keepLines w:val="0"/>
              <w:widowControl/>
              <w:suppressLineNumbers w:val="0"/>
              <w:spacing w:after="240" w:afterAutospacing="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（1）无线数字会议主机*1台：</w:t>
            </w:r>
            <w:r>
              <w:rPr>
                <w:rStyle w:val="36"/>
                <w:color w:val="auto"/>
                <w:highlight w:val="none"/>
                <w:lang w:val="en-US" w:eastAsia="zh-CN" w:bidi="ar"/>
              </w:rPr>
              <w:br w:type="textWrapping"/>
            </w:r>
            <w:r>
              <w:rPr>
                <w:rStyle w:val="36"/>
                <w:color w:val="auto"/>
                <w:highlight w:val="none"/>
                <w:lang w:val="en-US" w:eastAsia="zh-CN" w:bidi="ar"/>
              </w:rPr>
              <w:t>1.基于UHF频段智能数字通讯控制无线会议系统，具有多种会议模式，最大发言人数可达4人；</w:t>
            </w:r>
            <w:r>
              <w:rPr>
                <w:rStyle w:val="36"/>
                <w:color w:val="auto"/>
                <w:highlight w:val="none"/>
                <w:lang w:val="en-US" w:eastAsia="zh-CN" w:bidi="ar"/>
              </w:rPr>
              <w:br w:type="textWrapping"/>
            </w:r>
            <w:r>
              <w:rPr>
                <w:rStyle w:val="36"/>
                <w:color w:val="auto"/>
                <w:highlight w:val="none"/>
                <w:lang w:val="en-US" w:eastAsia="zh-CN" w:bidi="ar"/>
              </w:rPr>
              <w:t>2.采用数模实现声音信号传输，高保真，信噪比高，无声音延时。</w:t>
            </w:r>
            <w:r>
              <w:rPr>
                <w:rStyle w:val="36"/>
                <w:color w:val="auto"/>
                <w:highlight w:val="none"/>
                <w:lang w:val="en-US" w:eastAsia="zh-CN" w:bidi="ar"/>
              </w:rPr>
              <w:br w:type="textWrapping"/>
            </w:r>
            <w:r>
              <w:rPr>
                <w:rStyle w:val="36"/>
                <w:color w:val="auto"/>
                <w:highlight w:val="none"/>
                <w:lang w:val="en-US" w:eastAsia="zh-CN" w:bidi="ar"/>
              </w:rPr>
              <w:t>3.针对会议应用独立研发的数据通信算法，使信号范围内，系统响应速度不受列席单元多少影响。用户可灵活增减列席单元。</w:t>
            </w:r>
            <w:r>
              <w:rPr>
                <w:rStyle w:val="36"/>
                <w:color w:val="auto"/>
                <w:highlight w:val="none"/>
                <w:lang w:val="en-US" w:eastAsia="zh-CN" w:bidi="ar"/>
              </w:rPr>
              <w:br w:type="textWrapping"/>
            </w:r>
            <w:r>
              <w:rPr>
                <w:rStyle w:val="36"/>
                <w:color w:val="auto"/>
                <w:highlight w:val="none"/>
                <w:lang w:val="en-US" w:eastAsia="zh-CN" w:bidi="ar"/>
              </w:rPr>
              <w:t xml:space="preserve">4.具有先进先出。主席专有，后进先出，限制发言等多种会议发言模式功能。  </w:t>
            </w:r>
            <w:r>
              <w:rPr>
                <w:rStyle w:val="36"/>
                <w:color w:val="auto"/>
                <w:highlight w:val="none"/>
                <w:lang w:val="en-US" w:eastAsia="zh-CN" w:bidi="ar"/>
              </w:rPr>
              <w:br w:type="textWrapping"/>
            </w:r>
            <w:r>
              <w:rPr>
                <w:rStyle w:val="36"/>
                <w:color w:val="auto"/>
                <w:highlight w:val="none"/>
                <w:lang w:val="en-US" w:eastAsia="zh-CN" w:bidi="ar"/>
              </w:rPr>
              <w:t>5.超低功耗，单元大于10小时的连续发言时间和大于20小时的待机时间；</w:t>
            </w:r>
            <w:r>
              <w:rPr>
                <w:rStyle w:val="36"/>
                <w:color w:val="auto"/>
                <w:highlight w:val="none"/>
                <w:lang w:val="en-US" w:eastAsia="zh-CN" w:bidi="ar"/>
              </w:rPr>
              <w:br w:type="textWrapping"/>
            </w:r>
            <w:r>
              <w:rPr>
                <w:rStyle w:val="36"/>
                <w:color w:val="auto"/>
                <w:highlight w:val="none"/>
                <w:lang w:val="en-US" w:eastAsia="zh-CN" w:bidi="ar"/>
              </w:rPr>
              <w:t>6.采用4.3寸全视角IPS电容触摸屏。</w:t>
            </w:r>
            <w:r>
              <w:rPr>
                <w:rStyle w:val="36"/>
                <w:color w:val="auto"/>
                <w:highlight w:val="none"/>
                <w:lang w:val="en-US" w:eastAsia="zh-CN" w:bidi="ar"/>
              </w:rPr>
              <w:br w:type="textWrapping"/>
            </w:r>
            <w:r>
              <w:rPr>
                <w:rStyle w:val="36"/>
                <w:color w:val="auto"/>
                <w:highlight w:val="none"/>
                <w:lang w:val="en-US" w:eastAsia="zh-CN" w:bidi="ar"/>
              </w:rPr>
              <w:t>7.自带录音功能，主机关机，单元自动关机，避免浪费电池电量，造成不必要麻烦。</w:t>
            </w:r>
            <w:r>
              <w:rPr>
                <w:rStyle w:val="36"/>
                <w:color w:val="auto"/>
                <w:highlight w:val="none"/>
                <w:lang w:val="en-US" w:eastAsia="zh-CN" w:bidi="ar"/>
              </w:rPr>
              <w:br w:type="textWrapping"/>
            </w:r>
            <w:r>
              <w:rPr>
                <w:rStyle w:val="36"/>
                <w:color w:val="auto"/>
                <w:highlight w:val="none"/>
                <w:lang w:val="en-US" w:eastAsia="zh-CN" w:bidi="ar"/>
              </w:rPr>
              <w:t>8.可独立运作或外接电脑结合软件及其他外接设备同步联动操作，可实现电脑管理功能（模式或编组操作：主席专用。先进先出等等)</w:t>
            </w:r>
            <w:r>
              <w:rPr>
                <w:rStyle w:val="36"/>
                <w:color w:val="auto"/>
                <w:highlight w:val="none"/>
                <w:lang w:val="en-US" w:eastAsia="zh-CN" w:bidi="ar"/>
              </w:rPr>
              <w:br w:type="textWrapping"/>
            </w:r>
            <w:r>
              <w:rPr>
                <w:rStyle w:val="36"/>
                <w:color w:val="auto"/>
                <w:highlight w:val="none"/>
                <w:lang w:val="en-US" w:eastAsia="zh-CN" w:bidi="ar"/>
              </w:rPr>
              <w:t>9.支持摄像跟踪</w:t>
            </w:r>
            <w:r>
              <w:rPr>
                <w:rStyle w:val="36"/>
                <w:color w:val="auto"/>
                <w:highlight w:val="none"/>
                <w:lang w:val="en-US" w:eastAsia="zh-CN" w:bidi="ar"/>
              </w:rPr>
              <w:br w:type="textWrapping"/>
            </w:r>
            <w:r>
              <w:rPr>
                <w:rStyle w:val="36"/>
                <w:color w:val="auto"/>
                <w:highlight w:val="none"/>
                <w:lang w:val="en-US" w:eastAsia="zh-CN" w:bidi="ar"/>
              </w:rPr>
              <w:t>10.载波频段：UHF640MHz-690MHz</w:t>
            </w:r>
            <w:r>
              <w:rPr>
                <w:rStyle w:val="36"/>
                <w:color w:val="auto"/>
                <w:highlight w:val="none"/>
                <w:lang w:val="en-US" w:eastAsia="zh-CN" w:bidi="ar"/>
              </w:rPr>
              <w:br w:type="textWrapping"/>
            </w:r>
            <w:r>
              <w:rPr>
                <w:rStyle w:val="36"/>
                <w:color w:val="auto"/>
                <w:highlight w:val="none"/>
                <w:lang w:val="en-US" w:eastAsia="zh-CN" w:bidi="ar"/>
              </w:rPr>
              <w:t>11.调制方式：FM</w:t>
            </w:r>
            <w:r>
              <w:rPr>
                <w:rStyle w:val="36"/>
                <w:color w:val="auto"/>
                <w:highlight w:val="none"/>
                <w:lang w:val="en-US" w:eastAsia="zh-CN" w:bidi="ar"/>
              </w:rPr>
              <w:br w:type="textWrapping"/>
            </w:r>
            <w:r>
              <w:rPr>
                <w:rStyle w:val="36"/>
                <w:color w:val="auto"/>
                <w:highlight w:val="none"/>
                <w:lang w:val="en-US" w:eastAsia="zh-CN" w:bidi="ar"/>
              </w:rPr>
              <w:t>12.工作有效距离：50米</w:t>
            </w:r>
            <w:r>
              <w:rPr>
                <w:rStyle w:val="36"/>
                <w:color w:val="auto"/>
                <w:highlight w:val="none"/>
                <w:lang w:val="en-US" w:eastAsia="zh-CN" w:bidi="ar"/>
              </w:rPr>
              <w:br w:type="textWrapping"/>
            </w:r>
            <w:r>
              <w:rPr>
                <w:rStyle w:val="36"/>
                <w:color w:val="auto"/>
                <w:highlight w:val="none"/>
                <w:lang w:val="en-US" w:eastAsia="zh-CN" w:bidi="ar"/>
              </w:rPr>
              <w:t>13.震荡方式：PLL相位锁定频率合成</w:t>
            </w:r>
            <w:r>
              <w:rPr>
                <w:rStyle w:val="36"/>
                <w:color w:val="auto"/>
                <w:highlight w:val="none"/>
                <w:lang w:val="en-US" w:eastAsia="zh-CN" w:bidi="ar"/>
              </w:rPr>
              <w:br w:type="textWrapping"/>
            </w:r>
            <w:r>
              <w:rPr>
                <w:rStyle w:val="36"/>
                <w:color w:val="auto"/>
                <w:highlight w:val="none"/>
                <w:lang w:val="en-US" w:eastAsia="zh-CN" w:bidi="ar"/>
              </w:rPr>
              <w:t>14.综合信噪比S/N：≥105dB</w:t>
            </w:r>
            <w:r>
              <w:rPr>
                <w:rStyle w:val="36"/>
                <w:color w:val="auto"/>
                <w:highlight w:val="none"/>
                <w:lang w:val="en-US" w:eastAsia="zh-CN" w:bidi="ar"/>
              </w:rPr>
              <w:br w:type="textWrapping"/>
            </w:r>
            <w:r>
              <w:rPr>
                <w:rStyle w:val="36"/>
                <w:color w:val="auto"/>
                <w:highlight w:val="none"/>
                <w:lang w:val="en-US" w:eastAsia="zh-CN" w:bidi="ar"/>
              </w:rPr>
              <w:t>15.综合频率响应：45Hz-18KHz±1dB</w:t>
            </w:r>
          </w:p>
        </w:tc>
        <w:tc>
          <w:tcPr>
            <w:tcW w:w="743" w:type="dxa"/>
            <w:vMerge w:val="restart"/>
            <w:tcBorders>
              <w:top w:val="nil"/>
              <w:left w:val="single" w:color="000000" w:sz="4" w:space="0"/>
              <w:bottom w:val="single" w:color="000000" w:sz="4" w:space="0"/>
              <w:right w:val="single" w:color="000000" w:sz="4" w:space="0"/>
            </w:tcBorders>
            <w:shd w:val="clear" w:color="auto" w:fill="auto"/>
            <w:noWrap/>
            <w:vAlign w:val="center"/>
          </w:tcPr>
          <w:p w14:paraId="18D781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vMerge w:val="restart"/>
            <w:tcBorders>
              <w:top w:val="nil"/>
              <w:left w:val="single" w:color="000000" w:sz="4" w:space="0"/>
              <w:bottom w:val="single" w:color="000000" w:sz="4" w:space="0"/>
              <w:right w:val="single" w:color="000000" w:sz="4" w:space="0"/>
            </w:tcBorders>
            <w:shd w:val="clear" w:color="auto" w:fill="auto"/>
            <w:noWrap/>
            <w:vAlign w:val="center"/>
          </w:tcPr>
          <w:p w14:paraId="1CCE50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98C7B41">
        <w:trPr>
          <w:trHeight w:val="312" w:hRule="atLeast"/>
        </w:trPr>
        <w:tc>
          <w:tcPr>
            <w:tcW w:w="501" w:type="dxa"/>
            <w:vMerge w:val="continue"/>
            <w:tcBorders>
              <w:top w:val="nil"/>
              <w:left w:val="single" w:color="000000" w:sz="4" w:space="0"/>
              <w:bottom w:val="single" w:color="000000" w:sz="4" w:space="0"/>
              <w:right w:val="single" w:color="000000" w:sz="4" w:space="0"/>
            </w:tcBorders>
            <w:shd w:val="clear" w:color="auto" w:fill="auto"/>
            <w:vAlign w:val="center"/>
          </w:tcPr>
          <w:p w14:paraId="3D45BD95">
            <w:pPr>
              <w:jc w:val="center"/>
              <w:rPr>
                <w:rFonts w:hint="eastAsia" w:ascii="仿宋" w:hAnsi="仿宋" w:eastAsia="仿宋" w:cs="仿宋"/>
                <w:i w:val="0"/>
                <w:iCs w:val="0"/>
                <w:color w:val="auto"/>
                <w:sz w:val="24"/>
                <w:szCs w:val="24"/>
                <w:highlight w:val="none"/>
                <w:u w:val="none"/>
              </w:rPr>
            </w:pPr>
          </w:p>
        </w:tc>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14:paraId="26E7EB63">
            <w:pPr>
              <w:jc w:val="center"/>
              <w:rPr>
                <w:rFonts w:hint="eastAsia" w:ascii="仿宋" w:hAnsi="仿宋" w:eastAsia="仿宋" w:cs="仿宋"/>
                <w:i w:val="0"/>
                <w:iCs w:val="0"/>
                <w:color w:val="auto"/>
                <w:sz w:val="24"/>
                <w:szCs w:val="24"/>
                <w:highlight w:val="none"/>
                <w:u w:val="none"/>
              </w:rPr>
            </w:pPr>
          </w:p>
        </w:tc>
        <w:tc>
          <w:tcPr>
            <w:tcW w:w="5782" w:type="dxa"/>
            <w:vMerge w:val="continue"/>
            <w:tcBorders>
              <w:top w:val="nil"/>
              <w:left w:val="single" w:color="000000" w:sz="4" w:space="0"/>
              <w:bottom w:val="single" w:color="000000" w:sz="4" w:space="0"/>
              <w:right w:val="single" w:color="000000" w:sz="4" w:space="0"/>
            </w:tcBorders>
            <w:shd w:val="clear" w:color="auto" w:fill="auto"/>
            <w:vAlign w:val="center"/>
          </w:tcPr>
          <w:p w14:paraId="53A8513D">
            <w:pPr>
              <w:jc w:val="both"/>
              <w:rPr>
                <w:rFonts w:hint="eastAsia" w:ascii="仿宋" w:hAnsi="仿宋" w:eastAsia="仿宋" w:cs="仿宋"/>
                <w:i w:val="0"/>
                <w:iCs w:val="0"/>
                <w:color w:val="auto"/>
                <w:sz w:val="24"/>
                <w:szCs w:val="24"/>
                <w:highlight w:val="none"/>
                <w:u w:val="none"/>
              </w:rPr>
            </w:pPr>
          </w:p>
        </w:tc>
        <w:tc>
          <w:tcPr>
            <w:tcW w:w="74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9B95BE2">
            <w:pPr>
              <w:jc w:val="center"/>
              <w:rPr>
                <w:rFonts w:hint="eastAsia" w:ascii="仿宋" w:hAnsi="仿宋" w:eastAsia="仿宋" w:cs="仿宋"/>
                <w:i w:val="0"/>
                <w:iCs w:val="0"/>
                <w:color w:val="auto"/>
                <w:sz w:val="24"/>
                <w:szCs w:val="24"/>
                <w:highlight w:val="none"/>
                <w:u w:val="none"/>
              </w:rPr>
            </w:pPr>
          </w:p>
        </w:tc>
        <w:tc>
          <w:tcPr>
            <w:tcW w:w="71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DBFA1DB">
            <w:pPr>
              <w:jc w:val="center"/>
              <w:rPr>
                <w:rFonts w:hint="eastAsia" w:ascii="仿宋" w:hAnsi="仿宋" w:eastAsia="仿宋" w:cs="仿宋"/>
                <w:i w:val="0"/>
                <w:iCs w:val="0"/>
                <w:color w:val="auto"/>
                <w:sz w:val="24"/>
                <w:szCs w:val="24"/>
                <w:highlight w:val="none"/>
                <w:u w:val="none"/>
              </w:rPr>
            </w:pPr>
          </w:p>
        </w:tc>
      </w:tr>
      <w:tr w14:paraId="5E13AC68">
        <w:trPr>
          <w:trHeight w:val="312" w:hRule="atLeast"/>
        </w:trPr>
        <w:tc>
          <w:tcPr>
            <w:tcW w:w="501" w:type="dxa"/>
            <w:vMerge w:val="continue"/>
            <w:tcBorders>
              <w:top w:val="nil"/>
              <w:left w:val="single" w:color="000000" w:sz="4" w:space="0"/>
              <w:bottom w:val="single" w:color="000000" w:sz="4" w:space="0"/>
              <w:right w:val="single" w:color="000000" w:sz="4" w:space="0"/>
            </w:tcBorders>
            <w:shd w:val="clear" w:color="auto" w:fill="auto"/>
            <w:vAlign w:val="center"/>
          </w:tcPr>
          <w:p w14:paraId="3BC35B16">
            <w:pPr>
              <w:jc w:val="center"/>
              <w:rPr>
                <w:rFonts w:hint="eastAsia" w:ascii="仿宋" w:hAnsi="仿宋" w:eastAsia="仿宋" w:cs="仿宋"/>
                <w:i w:val="0"/>
                <w:iCs w:val="0"/>
                <w:color w:val="auto"/>
                <w:sz w:val="24"/>
                <w:szCs w:val="24"/>
                <w:highlight w:val="none"/>
                <w:u w:val="none"/>
              </w:rPr>
            </w:pPr>
          </w:p>
        </w:tc>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14:paraId="4DF5E007">
            <w:pPr>
              <w:jc w:val="center"/>
              <w:rPr>
                <w:rFonts w:hint="eastAsia" w:ascii="仿宋" w:hAnsi="仿宋" w:eastAsia="仿宋" w:cs="仿宋"/>
                <w:i w:val="0"/>
                <w:iCs w:val="0"/>
                <w:color w:val="auto"/>
                <w:sz w:val="24"/>
                <w:szCs w:val="24"/>
                <w:highlight w:val="none"/>
                <w:u w:val="none"/>
              </w:rPr>
            </w:pPr>
          </w:p>
        </w:tc>
        <w:tc>
          <w:tcPr>
            <w:tcW w:w="5782" w:type="dxa"/>
            <w:vMerge w:val="continue"/>
            <w:tcBorders>
              <w:top w:val="nil"/>
              <w:left w:val="single" w:color="000000" w:sz="4" w:space="0"/>
              <w:bottom w:val="single" w:color="000000" w:sz="4" w:space="0"/>
              <w:right w:val="single" w:color="000000" w:sz="4" w:space="0"/>
            </w:tcBorders>
            <w:shd w:val="clear" w:color="auto" w:fill="auto"/>
            <w:vAlign w:val="center"/>
          </w:tcPr>
          <w:p w14:paraId="02DEAC95">
            <w:pPr>
              <w:jc w:val="both"/>
              <w:rPr>
                <w:rFonts w:hint="eastAsia" w:ascii="仿宋" w:hAnsi="仿宋" w:eastAsia="仿宋" w:cs="仿宋"/>
                <w:i w:val="0"/>
                <w:iCs w:val="0"/>
                <w:color w:val="auto"/>
                <w:sz w:val="24"/>
                <w:szCs w:val="24"/>
                <w:highlight w:val="none"/>
                <w:u w:val="none"/>
              </w:rPr>
            </w:pPr>
          </w:p>
        </w:tc>
        <w:tc>
          <w:tcPr>
            <w:tcW w:w="74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A6C4993">
            <w:pPr>
              <w:jc w:val="center"/>
              <w:rPr>
                <w:rFonts w:hint="eastAsia" w:ascii="仿宋" w:hAnsi="仿宋" w:eastAsia="仿宋" w:cs="仿宋"/>
                <w:i w:val="0"/>
                <w:iCs w:val="0"/>
                <w:color w:val="auto"/>
                <w:sz w:val="24"/>
                <w:szCs w:val="24"/>
                <w:highlight w:val="none"/>
                <w:u w:val="none"/>
              </w:rPr>
            </w:pPr>
          </w:p>
        </w:tc>
        <w:tc>
          <w:tcPr>
            <w:tcW w:w="71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AB1874C">
            <w:pPr>
              <w:jc w:val="center"/>
              <w:rPr>
                <w:rFonts w:hint="eastAsia" w:ascii="仿宋" w:hAnsi="仿宋" w:eastAsia="仿宋" w:cs="仿宋"/>
                <w:i w:val="0"/>
                <w:iCs w:val="0"/>
                <w:color w:val="auto"/>
                <w:sz w:val="24"/>
                <w:szCs w:val="24"/>
                <w:highlight w:val="none"/>
                <w:u w:val="none"/>
              </w:rPr>
            </w:pPr>
          </w:p>
        </w:tc>
      </w:tr>
      <w:tr w14:paraId="16996411">
        <w:trPr>
          <w:trHeight w:val="2110" w:hRule="atLeast"/>
        </w:trPr>
        <w:tc>
          <w:tcPr>
            <w:tcW w:w="501" w:type="dxa"/>
            <w:vMerge w:val="continue"/>
            <w:tcBorders>
              <w:top w:val="nil"/>
              <w:left w:val="single" w:color="000000" w:sz="4" w:space="0"/>
              <w:bottom w:val="single" w:color="000000" w:sz="4" w:space="0"/>
              <w:right w:val="single" w:color="000000" w:sz="4" w:space="0"/>
            </w:tcBorders>
            <w:shd w:val="clear" w:color="auto" w:fill="auto"/>
            <w:vAlign w:val="center"/>
          </w:tcPr>
          <w:p w14:paraId="31C90654">
            <w:pPr>
              <w:jc w:val="center"/>
              <w:rPr>
                <w:rFonts w:hint="eastAsia" w:ascii="仿宋" w:hAnsi="仿宋" w:eastAsia="仿宋" w:cs="仿宋"/>
                <w:i w:val="0"/>
                <w:iCs w:val="0"/>
                <w:color w:val="auto"/>
                <w:sz w:val="24"/>
                <w:szCs w:val="24"/>
                <w:highlight w:val="none"/>
                <w:u w:val="none"/>
              </w:rPr>
            </w:pPr>
          </w:p>
        </w:tc>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14:paraId="42C4A34D">
            <w:pPr>
              <w:jc w:val="center"/>
              <w:rPr>
                <w:rFonts w:hint="eastAsia" w:ascii="仿宋" w:hAnsi="仿宋" w:eastAsia="仿宋" w:cs="仿宋"/>
                <w:i w:val="0"/>
                <w:iCs w:val="0"/>
                <w:color w:val="auto"/>
                <w:sz w:val="24"/>
                <w:szCs w:val="24"/>
                <w:highlight w:val="none"/>
                <w:u w:val="none"/>
              </w:rPr>
            </w:pPr>
          </w:p>
        </w:tc>
        <w:tc>
          <w:tcPr>
            <w:tcW w:w="5782" w:type="dxa"/>
            <w:tcBorders>
              <w:top w:val="nil"/>
              <w:left w:val="nil"/>
              <w:bottom w:val="single" w:color="000000" w:sz="4" w:space="0"/>
              <w:right w:val="single" w:color="000000" w:sz="4" w:space="0"/>
            </w:tcBorders>
            <w:shd w:val="clear" w:color="auto" w:fill="auto"/>
            <w:vAlign w:val="center"/>
          </w:tcPr>
          <w:p w14:paraId="22E0CC66">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（2）无线会议单元*13支(含1支主席单元)：</w:t>
            </w:r>
            <w:r>
              <w:rPr>
                <w:rStyle w:val="36"/>
                <w:color w:val="auto"/>
                <w:highlight w:val="none"/>
                <w:lang w:val="en-US" w:eastAsia="zh-CN" w:bidi="ar"/>
              </w:rPr>
              <w:br w:type="textWrapping"/>
            </w:r>
            <w:r>
              <w:rPr>
                <w:rStyle w:val="36"/>
                <w:color w:val="auto"/>
                <w:highlight w:val="none"/>
                <w:lang w:val="en-US" w:eastAsia="zh-CN" w:bidi="ar"/>
              </w:rPr>
              <w:t>1.通信方式：UHF无线，频率范围：500MHz-950MHz</w:t>
            </w:r>
            <w:r>
              <w:rPr>
                <w:rStyle w:val="36"/>
                <w:color w:val="auto"/>
                <w:highlight w:val="none"/>
                <w:lang w:val="en-US" w:eastAsia="zh-CN" w:bidi="ar"/>
              </w:rPr>
              <w:br w:type="textWrapping"/>
            </w:r>
            <w:r>
              <w:rPr>
                <w:rStyle w:val="36"/>
                <w:color w:val="auto"/>
                <w:highlight w:val="none"/>
                <w:lang w:val="en-US" w:eastAsia="zh-CN" w:bidi="ar"/>
              </w:rPr>
              <w:t>2.自带有2.4寸TFT彩色显示器显示会议参数，发言时间，开关状态</w:t>
            </w:r>
            <w:r>
              <w:rPr>
                <w:rStyle w:val="36"/>
                <w:color w:val="auto"/>
                <w:highlight w:val="none"/>
                <w:lang w:val="en-US" w:eastAsia="zh-CN" w:bidi="ar"/>
              </w:rPr>
              <w:br w:type="textWrapping"/>
            </w:r>
            <w:r>
              <w:rPr>
                <w:rStyle w:val="36"/>
                <w:color w:val="auto"/>
                <w:highlight w:val="none"/>
                <w:lang w:val="en-US" w:eastAsia="zh-CN" w:bidi="ar"/>
              </w:rPr>
              <w:t>3.采用金属面板设计，整体高档庄重，符合现代审美标准</w:t>
            </w:r>
            <w:r>
              <w:rPr>
                <w:rStyle w:val="36"/>
                <w:color w:val="auto"/>
                <w:highlight w:val="none"/>
                <w:lang w:val="en-US" w:eastAsia="zh-CN" w:bidi="ar"/>
              </w:rPr>
              <w:br w:type="textWrapping"/>
            </w:r>
            <w:r>
              <w:rPr>
                <w:rStyle w:val="36"/>
                <w:color w:val="auto"/>
                <w:highlight w:val="none"/>
                <w:lang w:val="en-US" w:eastAsia="zh-CN" w:bidi="ar"/>
              </w:rPr>
              <w:t>4.专业高保真电容咪芯，拾音灵敏。语音清晰，带宽达到20Hz~18KHz</w:t>
            </w:r>
            <w:r>
              <w:rPr>
                <w:rStyle w:val="36"/>
                <w:color w:val="auto"/>
                <w:highlight w:val="none"/>
                <w:lang w:val="en-US" w:eastAsia="zh-CN" w:bidi="ar"/>
              </w:rPr>
              <w:br w:type="textWrapping"/>
            </w:r>
            <w:r>
              <w:rPr>
                <w:rStyle w:val="36"/>
                <w:color w:val="auto"/>
                <w:highlight w:val="none"/>
                <w:lang w:val="en-US" w:eastAsia="zh-CN" w:bidi="ar"/>
              </w:rPr>
              <w:t>5.采用铝合金方形麦克风，通过固定接头连接话筒底座，可调俯仰角度，整体稳重，高档大气</w:t>
            </w:r>
          </w:p>
        </w:tc>
        <w:tc>
          <w:tcPr>
            <w:tcW w:w="74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60C00FE">
            <w:pPr>
              <w:jc w:val="center"/>
              <w:rPr>
                <w:rFonts w:hint="eastAsia" w:ascii="仿宋" w:hAnsi="仿宋" w:eastAsia="仿宋" w:cs="仿宋"/>
                <w:i w:val="0"/>
                <w:iCs w:val="0"/>
                <w:color w:val="auto"/>
                <w:sz w:val="24"/>
                <w:szCs w:val="24"/>
                <w:highlight w:val="none"/>
                <w:u w:val="none"/>
              </w:rPr>
            </w:pPr>
          </w:p>
        </w:tc>
        <w:tc>
          <w:tcPr>
            <w:tcW w:w="71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ABDF181">
            <w:pPr>
              <w:jc w:val="center"/>
              <w:rPr>
                <w:rFonts w:hint="eastAsia" w:ascii="仿宋" w:hAnsi="仿宋" w:eastAsia="仿宋" w:cs="仿宋"/>
                <w:i w:val="0"/>
                <w:iCs w:val="0"/>
                <w:color w:val="auto"/>
                <w:sz w:val="24"/>
                <w:szCs w:val="24"/>
                <w:highlight w:val="none"/>
                <w:u w:val="none"/>
              </w:rPr>
            </w:pPr>
          </w:p>
        </w:tc>
      </w:tr>
      <w:tr w14:paraId="2FEB71DF">
        <w:trPr>
          <w:trHeight w:val="5427" w:hRule="atLeast"/>
        </w:trPr>
        <w:tc>
          <w:tcPr>
            <w:tcW w:w="501" w:type="dxa"/>
            <w:vMerge w:val="continue"/>
            <w:tcBorders>
              <w:top w:val="nil"/>
              <w:left w:val="single" w:color="000000" w:sz="4" w:space="0"/>
              <w:bottom w:val="single" w:color="000000" w:sz="4" w:space="0"/>
              <w:right w:val="single" w:color="000000" w:sz="4" w:space="0"/>
            </w:tcBorders>
            <w:shd w:val="clear" w:color="auto" w:fill="auto"/>
            <w:vAlign w:val="center"/>
          </w:tcPr>
          <w:p w14:paraId="6F2F7AFB">
            <w:pPr>
              <w:jc w:val="center"/>
              <w:rPr>
                <w:rFonts w:hint="eastAsia" w:ascii="仿宋" w:hAnsi="仿宋" w:eastAsia="仿宋" w:cs="仿宋"/>
                <w:i w:val="0"/>
                <w:iCs w:val="0"/>
                <w:color w:val="auto"/>
                <w:sz w:val="24"/>
                <w:szCs w:val="24"/>
                <w:highlight w:val="none"/>
                <w:u w:val="none"/>
              </w:rPr>
            </w:pPr>
          </w:p>
        </w:tc>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14:paraId="636CAC8B">
            <w:pPr>
              <w:jc w:val="center"/>
              <w:rPr>
                <w:rFonts w:hint="eastAsia" w:ascii="仿宋" w:hAnsi="仿宋" w:eastAsia="仿宋" w:cs="仿宋"/>
                <w:i w:val="0"/>
                <w:iCs w:val="0"/>
                <w:color w:val="auto"/>
                <w:sz w:val="24"/>
                <w:szCs w:val="24"/>
                <w:highlight w:val="none"/>
                <w:u w:val="none"/>
              </w:rPr>
            </w:pPr>
          </w:p>
        </w:tc>
        <w:tc>
          <w:tcPr>
            <w:tcW w:w="5782" w:type="dxa"/>
            <w:tcBorders>
              <w:top w:val="nil"/>
              <w:left w:val="nil"/>
              <w:bottom w:val="single" w:color="000000" w:sz="4" w:space="0"/>
              <w:right w:val="single" w:color="000000" w:sz="4" w:space="0"/>
            </w:tcBorders>
            <w:shd w:val="clear" w:color="auto" w:fill="auto"/>
            <w:vAlign w:val="center"/>
          </w:tcPr>
          <w:p w14:paraId="38235C3D">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6.电路采用降噪处理，使声音清晰透彻</w:t>
            </w:r>
            <w:r>
              <w:rPr>
                <w:rStyle w:val="36"/>
                <w:color w:val="auto"/>
                <w:highlight w:val="none"/>
                <w:lang w:val="en-US" w:eastAsia="zh-CN" w:bidi="ar"/>
              </w:rPr>
              <w:br w:type="textWrapping"/>
            </w:r>
            <w:r>
              <w:rPr>
                <w:rStyle w:val="36"/>
                <w:color w:val="auto"/>
                <w:highlight w:val="none"/>
                <w:lang w:val="en-US" w:eastAsia="zh-CN" w:bidi="ar"/>
              </w:rPr>
              <w:t>7.采用防干扰电路设计，可防止手机等电子产品的干扰</w:t>
            </w:r>
            <w:r>
              <w:rPr>
                <w:rStyle w:val="36"/>
                <w:color w:val="auto"/>
                <w:highlight w:val="none"/>
                <w:lang w:val="en-US" w:eastAsia="zh-CN" w:bidi="ar"/>
              </w:rPr>
              <w:br w:type="textWrapping"/>
            </w:r>
            <w:r>
              <w:rPr>
                <w:rStyle w:val="36"/>
                <w:color w:val="auto"/>
                <w:highlight w:val="none"/>
                <w:lang w:val="en-US" w:eastAsia="zh-CN" w:bidi="ar"/>
              </w:rPr>
              <w:t>8.话筒头部带红色发言灯环，单元发言时灯环为常亮红色</w:t>
            </w:r>
            <w:r>
              <w:rPr>
                <w:rStyle w:val="36"/>
                <w:color w:val="auto"/>
                <w:highlight w:val="none"/>
                <w:lang w:val="en-US" w:eastAsia="zh-CN" w:bidi="ar"/>
              </w:rPr>
              <w:br w:type="textWrapping"/>
            </w:r>
            <w:r>
              <w:rPr>
                <w:rStyle w:val="36"/>
                <w:color w:val="auto"/>
                <w:highlight w:val="none"/>
                <w:lang w:val="en-US" w:eastAsia="zh-CN" w:bidi="ar"/>
              </w:rPr>
              <w:t>9.采用透光硅胶物理按键，无机械按键声，安全可靠，带有双色指示灯，发言时常亮绿色，待机时常亮红色，主机操作时绿的按键灯闪动提示</w:t>
            </w:r>
            <w:r>
              <w:rPr>
                <w:rStyle w:val="36"/>
                <w:color w:val="auto"/>
                <w:highlight w:val="none"/>
                <w:lang w:val="en-US" w:eastAsia="zh-CN" w:bidi="ar"/>
              </w:rPr>
              <w:br w:type="textWrapping"/>
            </w:r>
            <w:r>
              <w:rPr>
                <w:rStyle w:val="36"/>
                <w:color w:val="auto"/>
                <w:highlight w:val="none"/>
                <w:lang w:val="en-US" w:eastAsia="zh-CN" w:bidi="ar"/>
              </w:rPr>
              <w:t>10.信号覆盖范围：室内半径60米</w:t>
            </w:r>
            <w:r>
              <w:rPr>
                <w:rStyle w:val="36"/>
                <w:color w:val="auto"/>
                <w:highlight w:val="none"/>
                <w:lang w:val="en-US" w:eastAsia="zh-CN" w:bidi="ar"/>
              </w:rPr>
              <w:br w:type="textWrapping"/>
            </w:r>
            <w:r>
              <w:rPr>
                <w:rStyle w:val="36"/>
                <w:color w:val="auto"/>
                <w:highlight w:val="none"/>
                <w:lang w:val="en-US" w:eastAsia="zh-CN" w:bidi="ar"/>
              </w:rPr>
              <w:t>11.参考讲话距离：60cm--100cm</w:t>
            </w:r>
            <w:r>
              <w:rPr>
                <w:rStyle w:val="36"/>
                <w:color w:val="auto"/>
                <w:highlight w:val="none"/>
                <w:lang w:val="en-US" w:eastAsia="zh-CN" w:bidi="ar"/>
              </w:rPr>
              <w:br w:type="textWrapping"/>
            </w:r>
            <w:r>
              <w:rPr>
                <w:rStyle w:val="36"/>
                <w:color w:val="auto"/>
                <w:highlight w:val="none"/>
                <w:lang w:val="en-US" w:eastAsia="zh-CN" w:bidi="ar"/>
              </w:rPr>
              <w:t>12.单元（主席）具有优先控制功能</w:t>
            </w:r>
            <w:r>
              <w:rPr>
                <w:rStyle w:val="36"/>
                <w:color w:val="auto"/>
                <w:highlight w:val="none"/>
                <w:lang w:val="en-US" w:eastAsia="zh-CN" w:bidi="ar"/>
              </w:rPr>
              <w:br w:type="textWrapping"/>
            </w:r>
            <w:r>
              <w:rPr>
                <w:rStyle w:val="36"/>
                <w:color w:val="auto"/>
                <w:highlight w:val="none"/>
                <w:lang w:val="en-US" w:eastAsia="zh-CN" w:bidi="ar"/>
              </w:rPr>
              <w:t>13.载波频段：UHF640MHz-690MHz</w:t>
            </w:r>
            <w:r>
              <w:rPr>
                <w:rStyle w:val="36"/>
                <w:color w:val="auto"/>
                <w:highlight w:val="none"/>
                <w:lang w:val="en-US" w:eastAsia="zh-CN" w:bidi="ar"/>
              </w:rPr>
              <w:br w:type="textWrapping"/>
            </w:r>
            <w:r>
              <w:rPr>
                <w:rStyle w:val="36"/>
                <w:color w:val="auto"/>
                <w:highlight w:val="none"/>
                <w:lang w:val="en-US" w:eastAsia="zh-CN" w:bidi="ar"/>
              </w:rPr>
              <w:t>15.振荡方式：PLL相位锁定频率合成</w:t>
            </w:r>
            <w:r>
              <w:rPr>
                <w:rStyle w:val="36"/>
                <w:color w:val="auto"/>
                <w:highlight w:val="none"/>
                <w:lang w:val="en-US" w:eastAsia="zh-CN" w:bidi="ar"/>
              </w:rPr>
              <w:br w:type="textWrapping"/>
            </w:r>
            <w:r>
              <w:rPr>
                <w:rStyle w:val="36"/>
                <w:color w:val="auto"/>
                <w:highlight w:val="none"/>
                <w:lang w:val="en-US" w:eastAsia="zh-CN" w:bidi="ar"/>
              </w:rPr>
              <w:t>16.谐波辐射：〈-65dBm</w:t>
            </w:r>
            <w:r>
              <w:rPr>
                <w:rStyle w:val="36"/>
                <w:color w:val="auto"/>
                <w:highlight w:val="none"/>
                <w:lang w:val="en-US" w:eastAsia="zh-CN" w:bidi="ar"/>
              </w:rPr>
              <w:br w:type="textWrapping"/>
            </w:r>
            <w:r>
              <w:rPr>
                <w:rStyle w:val="36"/>
                <w:color w:val="auto"/>
                <w:highlight w:val="none"/>
                <w:lang w:val="en-US" w:eastAsia="zh-CN" w:bidi="ar"/>
              </w:rPr>
              <w:t>17.电池：3000mA锂电池</w:t>
            </w:r>
            <w:r>
              <w:rPr>
                <w:rStyle w:val="36"/>
                <w:color w:val="auto"/>
                <w:highlight w:val="none"/>
                <w:lang w:val="en-US" w:eastAsia="zh-CN" w:bidi="ar"/>
              </w:rPr>
              <w:br w:type="textWrapping"/>
            </w:r>
            <w:r>
              <w:rPr>
                <w:rStyle w:val="36"/>
                <w:color w:val="auto"/>
                <w:highlight w:val="none"/>
                <w:lang w:val="en-US" w:eastAsia="zh-CN" w:bidi="ar"/>
              </w:rPr>
              <w:t>（3）充电箱*1台</w:t>
            </w:r>
            <w:r>
              <w:rPr>
                <w:rStyle w:val="36"/>
                <w:color w:val="auto"/>
                <w:highlight w:val="none"/>
                <w:lang w:val="en-US" w:eastAsia="zh-CN" w:bidi="ar"/>
              </w:rPr>
              <w:br w:type="textWrapping"/>
            </w:r>
            <w:r>
              <w:rPr>
                <w:rStyle w:val="36"/>
                <w:color w:val="auto"/>
                <w:highlight w:val="none"/>
                <w:lang w:val="en-US" w:eastAsia="zh-CN" w:bidi="ar"/>
              </w:rPr>
              <w:t>1.30个USB接口，可为30支会议话筒进行同时充电</w:t>
            </w:r>
            <w:r>
              <w:rPr>
                <w:rStyle w:val="36"/>
                <w:color w:val="auto"/>
                <w:highlight w:val="none"/>
                <w:lang w:val="en-US" w:eastAsia="zh-CN" w:bidi="ar"/>
              </w:rPr>
              <w:br w:type="textWrapping"/>
            </w:r>
            <w:r>
              <w:rPr>
                <w:rStyle w:val="36"/>
                <w:color w:val="auto"/>
                <w:highlight w:val="none"/>
                <w:lang w:val="en-US" w:eastAsia="zh-CN" w:bidi="ar"/>
              </w:rPr>
              <w:t>2.输出口最大电流1A</w:t>
            </w:r>
            <w:r>
              <w:rPr>
                <w:rStyle w:val="36"/>
                <w:color w:val="auto"/>
                <w:highlight w:val="none"/>
                <w:lang w:val="en-US" w:eastAsia="zh-CN" w:bidi="ar"/>
              </w:rPr>
              <w:br w:type="textWrapping"/>
            </w:r>
            <w:r>
              <w:rPr>
                <w:rStyle w:val="36"/>
                <w:color w:val="auto"/>
                <w:highlight w:val="none"/>
                <w:lang w:val="en-US" w:eastAsia="zh-CN" w:bidi="ar"/>
              </w:rPr>
              <w:t>3.具有输出过压保护，过流保护等</w:t>
            </w:r>
          </w:p>
        </w:tc>
        <w:tc>
          <w:tcPr>
            <w:tcW w:w="74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28CC482">
            <w:pPr>
              <w:jc w:val="center"/>
              <w:rPr>
                <w:rFonts w:hint="eastAsia" w:ascii="仿宋" w:hAnsi="仿宋" w:eastAsia="仿宋" w:cs="仿宋"/>
                <w:i w:val="0"/>
                <w:iCs w:val="0"/>
                <w:color w:val="auto"/>
                <w:sz w:val="24"/>
                <w:szCs w:val="24"/>
                <w:highlight w:val="none"/>
                <w:u w:val="none"/>
              </w:rPr>
            </w:pPr>
          </w:p>
        </w:tc>
        <w:tc>
          <w:tcPr>
            <w:tcW w:w="71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0892D3B">
            <w:pPr>
              <w:jc w:val="center"/>
              <w:rPr>
                <w:rFonts w:hint="eastAsia" w:ascii="仿宋" w:hAnsi="仿宋" w:eastAsia="仿宋" w:cs="仿宋"/>
                <w:i w:val="0"/>
                <w:iCs w:val="0"/>
                <w:color w:val="auto"/>
                <w:sz w:val="24"/>
                <w:szCs w:val="24"/>
                <w:highlight w:val="none"/>
                <w:u w:val="none"/>
              </w:rPr>
            </w:pPr>
          </w:p>
        </w:tc>
      </w:tr>
      <w:tr w14:paraId="7A5488FE">
        <w:trPr>
          <w:trHeight w:val="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079C19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1290" w:type="dxa"/>
            <w:tcBorders>
              <w:top w:val="nil"/>
              <w:left w:val="nil"/>
              <w:bottom w:val="single" w:color="000000" w:sz="4" w:space="0"/>
              <w:right w:val="single" w:color="000000" w:sz="4" w:space="0"/>
            </w:tcBorders>
            <w:shd w:val="clear" w:color="auto" w:fill="auto"/>
            <w:vAlign w:val="center"/>
          </w:tcPr>
          <w:p w14:paraId="44AB41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气象决策服务指挥操作台</w:t>
            </w:r>
          </w:p>
        </w:tc>
        <w:tc>
          <w:tcPr>
            <w:tcW w:w="5782" w:type="dxa"/>
            <w:tcBorders>
              <w:top w:val="nil"/>
              <w:left w:val="nil"/>
              <w:bottom w:val="single" w:color="000000" w:sz="4" w:space="0"/>
              <w:right w:val="single" w:color="000000" w:sz="4" w:space="0"/>
            </w:tcBorders>
            <w:shd w:val="clear" w:color="auto" w:fill="auto"/>
            <w:noWrap/>
            <w:vAlign w:val="center"/>
          </w:tcPr>
          <w:p w14:paraId="1D4E87C6">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13人位长方形工作台，采用优质实木皮，木皮厚度≥0.6mm。基材：采用优质中密度板，优质绿色环保产品，甲醛含量≤1.0mg/L，静曲张度≥ 51.2Mpa，吸水膨胀率≤8.1%。油漆：面漆采用PU聚酯漆，底漆采用PE不饱和树脂漆；含座席*2，人体功能学设计。</w:t>
            </w:r>
          </w:p>
        </w:tc>
        <w:tc>
          <w:tcPr>
            <w:tcW w:w="743" w:type="dxa"/>
            <w:tcBorders>
              <w:top w:val="nil"/>
              <w:left w:val="nil"/>
              <w:bottom w:val="single" w:color="000000" w:sz="4" w:space="0"/>
              <w:right w:val="single" w:color="000000" w:sz="4" w:space="0"/>
            </w:tcBorders>
            <w:shd w:val="clear" w:color="auto" w:fill="auto"/>
            <w:noWrap/>
            <w:vAlign w:val="center"/>
          </w:tcPr>
          <w:p w14:paraId="1FDFC4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42A7B6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C3C8781">
        <w:trPr>
          <w:trHeight w:val="1237"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4F7EAA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1290" w:type="dxa"/>
            <w:tcBorders>
              <w:top w:val="nil"/>
              <w:left w:val="nil"/>
              <w:bottom w:val="single" w:color="000000" w:sz="4" w:space="0"/>
              <w:right w:val="single" w:color="000000" w:sz="4" w:space="0"/>
            </w:tcBorders>
            <w:shd w:val="clear" w:color="auto" w:fill="auto"/>
            <w:vAlign w:val="center"/>
          </w:tcPr>
          <w:p w14:paraId="3840F4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气象决策服务业务操作台</w:t>
            </w:r>
          </w:p>
        </w:tc>
        <w:tc>
          <w:tcPr>
            <w:tcW w:w="5782" w:type="dxa"/>
            <w:tcBorders>
              <w:top w:val="nil"/>
              <w:left w:val="nil"/>
              <w:bottom w:val="single" w:color="000000" w:sz="4" w:space="0"/>
              <w:right w:val="single" w:color="000000" w:sz="4" w:space="0"/>
            </w:tcBorders>
            <w:shd w:val="clear" w:color="auto" w:fill="auto"/>
            <w:noWrap/>
            <w:vAlign w:val="center"/>
          </w:tcPr>
          <w:p w14:paraId="0AED7BBD">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人位一字形业务操作台，主干架构及斜面使用≥2mm厚冷轧钢板钣金加工；部分承重配件使用≥3.0mm厚冷轧钢板加工；面板使用高压耐磨板加工，整体厚度不低于27mm；使用冷轧钢框架，带强弱电走线槽。含座席*6，人体功能学设计。</w:t>
            </w:r>
          </w:p>
        </w:tc>
        <w:tc>
          <w:tcPr>
            <w:tcW w:w="743" w:type="dxa"/>
            <w:tcBorders>
              <w:top w:val="nil"/>
              <w:left w:val="nil"/>
              <w:bottom w:val="single" w:color="000000" w:sz="4" w:space="0"/>
              <w:right w:val="single" w:color="000000" w:sz="4" w:space="0"/>
            </w:tcBorders>
            <w:shd w:val="clear" w:color="auto" w:fill="auto"/>
            <w:noWrap/>
            <w:vAlign w:val="center"/>
          </w:tcPr>
          <w:p w14:paraId="335A2B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05CF19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1449657D">
        <w:trPr>
          <w:trHeight w:val="145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2008B5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290" w:type="dxa"/>
            <w:tcBorders>
              <w:top w:val="nil"/>
              <w:left w:val="nil"/>
              <w:bottom w:val="single" w:color="000000" w:sz="4" w:space="0"/>
              <w:right w:val="single" w:color="000000" w:sz="4" w:space="0"/>
            </w:tcBorders>
            <w:shd w:val="clear" w:color="auto" w:fill="auto"/>
            <w:vAlign w:val="center"/>
          </w:tcPr>
          <w:p w14:paraId="6D4C75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气象决策服务专用终端</w:t>
            </w:r>
          </w:p>
        </w:tc>
        <w:tc>
          <w:tcPr>
            <w:tcW w:w="5782" w:type="dxa"/>
            <w:tcBorders>
              <w:top w:val="nil"/>
              <w:left w:val="nil"/>
              <w:bottom w:val="single" w:color="000000" w:sz="4" w:space="0"/>
              <w:right w:val="single" w:color="000000" w:sz="4" w:space="0"/>
            </w:tcBorders>
            <w:shd w:val="clear" w:color="auto" w:fill="auto"/>
            <w:noWrap/>
            <w:vAlign w:val="center"/>
          </w:tcPr>
          <w:p w14:paraId="21767D58">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1.终端主机： I7-14700 ，16G DDR5 ，512G SSD +2T SATA ，4G独立显卡；</w:t>
            </w:r>
            <w:r>
              <w:rPr>
                <w:rStyle w:val="36"/>
                <w:color w:val="auto"/>
                <w:highlight w:val="none"/>
                <w:lang w:val="en-US" w:eastAsia="zh-CN" w:bidi="ar"/>
              </w:rPr>
              <w:br w:type="textWrapping"/>
            </w:r>
            <w:r>
              <w:rPr>
                <w:rStyle w:val="36"/>
                <w:color w:val="auto"/>
                <w:highlight w:val="none"/>
                <w:lang w:val="en-US" w:eastAsia="zh-CN" w:bidi="ar"/>
              </w:rPr>
              <w:t>2.显示器:23.8英寸，显示比例：16:9，分辨率：1920*1080。</w:t>
            </w:r>
          </w:p>
        </w:tc>
        <w:tc>
          <w:tcPr>
            <w:tcW w:w="743" w:type="dxa"/>
            <w:tcBorders>
              <w:top w:val="nil"/>
              <w:left w:val="nil"/>
              <w:bottom w:val="single" w:color="000000" w:sz="4" w:space="0"/>
              <w:right w:val="single" w:color="000000" w:sz="4" w:space="0"/>
            </w:tcBorders>
            <w:shd w:val="clear" w:color="auto" w:fill="auto"/>
            <w:noWrap/>
            <w:vAlign w:val="center"/>
          </w:tcPr>
          <w:p w14:paraId="592C7E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649058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5FF079BB">
        <w:trPr>
          <w:trHeight w:val="146"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0CA998B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8530" w:type="dxa"/>
            <w:gridSpan w:val="4"/>
            <w:tcBorders>
              <w:top w:val="nil"/>
              <w:left w:val="nil"/>
              <w:bottom w:val="single" w:color="000000" w:sz="4" w:space="0"/>
              <w:right w:val="single" w:color="000000" w:sz="4" w:space="0"/>
            </w:tcBorders>
            <w:shd w:val="clear" w:color="auto" w:fill="auto"/>
            <w:vAlign w:val="center"/>
          </w:tcPr>
          <w:p w14:paraId="4DC5E6C4">
            <w:pPr>
              <w:jc w:val="left"/>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气象决策服务扩声系统</w:t>
            </w:r>
          </w:p>
        </w:tc>
      </w:tr>
      <w:tr w14:paraId="4DC7F29A">
        <w:trPr>
          <w:trHeight w:val="4524"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0B9DC0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3.6.1</w:t>
            </w:r>
          </w:p>
        </w:tc>
        <w:tc>
          <w:tcPr>
            <w:tcW w:w="1290" w:type="dxa"/>
            <w:tcBorders>
              <w:top w:val="nil"/>
              <w:left w:val="nil"/>
              <w:bottom w:val="single" w:color="000000" w:sz="4" w:space="0"/>
              <w:right w:val="single" w:color="000000" w:sz="4" w:space="0"/>
            </w:tcBorders>
            <w:shd w:val="clear" w:color="auto" w:fill="auto"/>
            <w:vAlign w:val="center"/>
          </w:tcPr>
          <w:p w14:paraId="337EEE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专业会议音响</w:t>
            </w:r>
          </w:p>
        </w:tc>
        <w:tc>
          <w:tcPr>
            <w:tcW w:w="5782" w:type="dxa"/>
            <w:tcBorders>
              <w:top w:val="nil"/>
              <w:left w:val="nil"/>
              <w:bottom w:val="single" w:color="000000" w:sz="4" w:space="0"/>
              <w:right w:val="single" w:color="000000" w:sz="4" w:space="0"/>
            </w:tcBorders>
            <w:shd w:val="clear" w:color="auto" w:fill="auto"/>
            <w:noWrap/>
            <w:vAlign w:val="center"/>
          </w:tcPr>
          <w:p w14:paraId="2072E578">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单元二分频全音域音箱，配置8寸压铸铝框架大功率低音驱动单元，3"复合振膜高频压缩驱动。针对人声的中频表现力和超大功率响应优化设计的分频器，具有合适的低频切除频率，有效减少频段重叠和杜绝相位失真。90°x70°覆盖角设计，带有防尘面网，箱体采用夹板制作，表面耐磨喷漆处理。匹配超低音获得更加优良的低频响应，满足高质量音乐重放的需要。</w:t>
            </w:r>
            <w:r>
              <w:rPr>
                <w:rStyle w:val="36"/>
                <w:color w:val="auto"/>
                <w:highlight w:val="none"/>
                <w:lang w:val="en-US" w:eastAsia="zh-CN" w:bidi="ar"/>
              </w:rPr>
              <w:br w:type="textWrapping"/>
            </w:r>
            <w:r>
              <w:rPr>
                <w:rStyle w:val="36"/>
                <w:color w:val="auto"/>
                <w:highlight w:val="none"/>
                <w:lang w:val="en-US" w:eastAsia="zh-CN" w:bidi="ar"/>
              </w:rPr>
              <w:t>1.频率响应：48Hz-19kHz</w:t>
            </w:r>
            <w:r>
              <w:rPr>
                <w:rStyle w:val="36"/>
                <w:color w:val="auto"/>
                <w:highlight w:val="none"/>
                <w:lang w:val="en-US" w:eastAsia="zh-CN" w:bidi="ar"/>
              </w:rPr>
              <w:br w:type="textWrapping"/>
            </w:r>
            <w:r>
              <w:rPr>
                <w:rStyle w:val="36"/>
                <w:color w:val="auto"/>
                <w:highlight w:val="none"/>
                <w:lang w:val="en-US" w:eastAsia="zh-CN" w:bidi="ar"/>
              </w:rPr>
              <w:t>2.灵敏度：90±3dB(1W/1m)</w:t>
            </w:r>
            <w:r>
              <w:rPr>
                <w:rStyle w:val="36"/>
                <w:color w:val="auto"/>
                <w:highlight w:val="none"/>
                <w:lang w:val="en-US" w:eastAsia="zh-CN" w:bidi="ar"/>
              </w:rPr>
              <w:br w:type="textWrapping"/>
            </w:r>
            <w:r>
              <w:rPr>
                <w:rStyle w:val="36"/>
                <w:color w:val="auto"/>
                <w:highlight w:val="none"/>
                <w:lang w:val="en-US" w:eastAsia="zh-CN" w:bidi="ar"/>
              </w:rPr>
              <w:t>3.额定阻抗：8欧</w:t>
            </w:r>
            <w:r>
              <w:rPr>
                <w:rStyle w:val="36"/>
                <w:color w:val="auto"/>
                <w:highlight w:val="none"/>
                <w:lang w:val="en-US" w:eastAsia="zh-CN" w:bidi="ar"/>
              </w:rPr>
              <w:br w:type="textWrapping"/>
            </w:r>
            <w:r>
              <w:rPr>
                <w:rStyle w:val="36"/>
                <w:color w:val="auto"/>
                <w:highlight w:val="none"/>
                <w:lang w:val="en-US" w:eastAsia="zh-CN" w:bidi="ar"/>
              </w:rPr>
              <w:t>4.最大声压级输出：105dB（峰值111dB）</w:t>
            </w:r>
            <w:r>
              <w:rPr>
                <w:rStyle w:val="36"/>
                <w:color w:val="auto"/>
                <w:highlight w:val="none"/>
                <w:lang w:val="en-US" w:eastAsia="zh-CN" w:bidi="ar"/>
              </w:rPr>
              <w:br w:type="textWrapping"/>
            </w:r>
            <w:r>
              <w:rPr>
                <w:rStyle w:val="36"/>
                <w:color w:val="auto"/>
                <w:highlight w:val="none"/>
                <w:lang w:val="en-US" w:eastAsia="zh-CN" w:bidi="ar"/>
              </w:rPr>
              <w:t>5.覆盖角度：70°x90°（HxV）</w:t>
            </w:r>
            <w:r>
              <w:rPr>
                <w:rStyle w:val="36"/>
                <w:color w:val="auto"/>
                <w:highlight w:val="none"/>
                <w:lang w:val="en-US" w:eastAsia="zh-CN" w:bidi="ar"/>
              </w:rPr>
              <w:br w:type="textWrapping"/>
            </w:r>
            <w:r>
              <w:rPr>
                <w:rStyle w:val="36"/>
                <w:color w:val="auto"/>
                <w:highlight w:val="none"/>
                <w:lang w:val="en-US" w:eastAsia="zh-CN" w:bidi="ar"/>
              </w:rPr>
              <w:t>6.额定输入功率：150W/210W/280W(额定/音乐信号/峰值)</w:t>
            </w:r>
            <w:r>
              <w:rPr>
                <w:rStyle w:val="36"/>
                <w:color w:val="auto"/>
                <w:highlight w:val="none"/>
                <w:lang w:val="en-US" w:eastAsia="zh-CN" w:bidi="ar"/>
              </w:rPr>
              <w:br w:type="textWrapping"/>
            </w:r>
            <w:r>
              <w:rPr>
                <w:rStyle w:val="36"/>
                <w:color w:val="auto"/>
                <w:highlight w:val="none"/>
                <w:lang w:val="en-US" w:eastAsia="zh-CN" w:bidi="ar"/>
              </w:rPr>
              <w:t>7.含壁挂支架。</w:t>
            </w:r>
          </w:p>
        </w:tc>
        <w:tc>
          <w:tcPr>
            <w:tcW w:w="743" w:type="dxa"/>
            <w:tcBorders>
              <w:top w:val="nil"/>
              <w:left w:val="nil"/>
              <w:bottom w:val="single" w:color="000000" w:sz="4" w:space="0"/>
              <w:right w:val="single" w:color="000000" w:sz="4" w:space="0"/>
            </w:tcBorders>
            <w:shd w:val="clear" w:color="auto" w:fill="auto"/>
            <w:noWrap/>
            <w:vAlign w:val="center"/>
          </w:tcPr>
          <w:p w14:paraId="2E6FA6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只</w:t>
            </w:r>
          </w:p>
        </w:tc>
        <w:tc>
          <w:tcPr>
            <w:tcW w:w="715" w:type="dxa"/>
            <w:tcBorders>
              <w:top w:val="nil"/>
              <w:left w:val="nil"/>
              <w:bottom w:val="single" w:color="000000" w:sz="4" w:space="0"/>
              <w:right w:val="single" w:color="000000" w:sz="4" w:space="0"/>
            </w:tcBorders>
            <w:shd w:val="clear" w:color="auto" w:fill="auto"/>
            <w:noWrap/>
            <w:vAlign w:val="center"/>
          </w:tcPr>
          <w:p w14:paraId="41F47D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6B613F96">
        <w:trPr>
          <w:trHeight w:val="3123"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332086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3.6.2</w:t>
            </w:r>
          </w:p>
        </w:tc>
        <w:tc>
          <w:tcPr>
            <w:tcW w:w="1290" w:type="dxa"/>
            <w:tcBorders>
              <w:top w:val="nil"/>
              <w:left w:val="nil"/>
              <w:bottom w:val="single" w:color="000000" w:sz="4" w:space="0"/>
              <w:right w:val="single" w:color="000000" w:sz="4" w:space="0"/>
            </w:tcBorders>
            <w:shd w:val="clear" w:color="auto" w:fill="auto"/>
            <w:vAlign w:val="center"/>
          </w:tcPr>
          <w:p w14:paraId="046475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数字功效</w:t>
            </w:r>
          </w:p>
        </w:tc>
        <w:tc>
          <w:tcPr>
            <w:tcW w:w="5782" w:type="dxa"/>
            <w:tcBorders>
              <w:top w:val="nil"/>
              <w:left w:val="nil"/>
              <w:bottom w:val="single" w:color="000000" w:sz="4" w:space="0"/>
              <w:right w:val="single" w:color="000000" w:sz="4" w:space="0"/>
            </w:tcBorders>
            <w:shd w:val="clear" w:color="auto" w:fill="auto"/>
            <w:noWrap/>
            <w:vAlign w:val="center"/>
          </w:tcPr>
          <w:p w14:paraId="10C23117">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1.HiFi线路设计，全独立声道设计。</w:t>
            </w:r>
            <w:r>
              <w:rPr>
                <w:rStyle w:val="36"/>
                <w:color w:val="auto"/>
                <w:highlight w:val="none"/>
                <w:lang w:val="en-US" w:eastAsia="zh-CN" w:bidi="ar"/>
              </w:rPr>
              <w:br w:type="textWrapping"/>
            </w:r>
            <w:r>
              <w:rPr>
                <w:rStyle w:val="36"/>
                <w:color w:val="auto"/>
                <w:highlight w:val="none"/>
                <w:lang w:val="en-US" w:eastAsia="zh-CN" w:bidi="ar"/>
              </w:rPr>
              <w:t>2.开机软启动保护系统。机内使用隔离电源和屏蔽方式。</w:t>
            </w:r>
            <w:r>
              <w:rPr>
                <w:rStyle w:val="36"/>
                <w:color w:val="auto"/>
                <w:highlight w:val="none"/>
                <w:lang w:val="en-US" w:eastAsia="zh-CN" w:bidi="ar"/>
              </w:rPr>
              <w:br w:type="textWrapping"/>
            </w:r>
            <w:r>
              <w:rPr>
                <w:rStyle w:val="36"/>
                <w:color w:val="auto"/>
                <w:highlight w:val="none"/>
                <w:lang w:val="en-US" w:eastAsia="zh-CN" w:bidi="ar"/>
              </w:rPr>
              <w:t>3.超大导风筒散热器散热，完善的安全保护系统，确保长时间安全可靠使用，</w:t>
            </w:r>
            <w:r>
              <w:rPr>
                <w:rStyle w:val="36"/>
                <w:color w:val="auto"/>
                <w:highlight w:val="none"/>
                <w:lang w:val="en-US" w:eastAsia="zh-CN" w:bidi="ar"/>
              </w:rPr>
              <w:br w:type="textWrapping"/>
            </w:r>
            <w:r>
              <w:rPr>
                <w:rStyle w:val="36"/>
                <w:color w:val="auto"/>
                <w:highlight w:val="none"/>
                <w:lang w:val="en-US" w:eastAsia="zh-CN" w:bidi="ar"/>
              </w:rPr>
              <w:t xml:space="preserve">4.采用双电源供电，A/B 声道独立电源控制功能，高速超大容量滤波电容。采用高品质专业巨型低漏磁变压器供电。 </w:t>
            </w:r>
            <w:r>
              <w:rPr>
                <w:rStyle w:val="36"/>
                <w:color w:val="auto"/>
                <w:highlight w:val="none"/>
                <w:lang w:val="en-US" w:eastAsia="zh-CN" w:bidi="ar"/>
              </w:rPr>
              <w:br w:type="textWrapping"/>
            </w:r>
            <w:r>
              <w:rPr>
                <w:rStyle w:val="36"/>
                <w:color w:val="auto"/>
                <w:highlight w:val="none"/>
                <w:lang w:val="en-US" w:eastAsia="zh-CN" w:bidi="ar"/>
              </w:rPr>
              <w:t>5.智能压限功能设计，有效保护音响系统</w:t>
            </w:r>
            <w:r>
              <w:rPr>
                <w:rStyle w:val="36"/>
                <w:color w:val="auto"/>
                <w:highlight w:val="none"/>
                <w:lang w:val="en-US" w:eastAsia="zh-CN" w:bidi="ar"/>
              </w:rPr>
              <w:br w:type="textWrapping"/>
            </w:r>
            <w:r>
              <w:rPr>
                <w:rStyle w:val="36"/>
                <w:color w:val="auto"/>
                <w:highlight w:val="none"/>
                <w:lang w:val="en-US" w:eastAsia="zh-CN" w:bidi="ar"/>
              </w:rPr>
              <w:t>6.LCD可显示立体声、左声道、右声道独立的调节以及功放主板温度。</w:t>
            </w:r>
            <w:r>
              <w:rPr>
                <w:rStyle w:val="36"/>
                <w:color w:val="auto"/>
                <w:highlight w:val="none"/>
                <w:lang w:val="en-US" w:eastAsia="zh-CN" w:bidi="ar"/>
              </w:rPr>
              <w:br w:type="textWrapping"/>
            </w:r>
            <w:r>
              <w:rPr>
                <w:rStyle w:val="36"/>
                <w:color w:val="auto"/>
                <w:highlight w:val="none"/>
                <w:lang w:val="en-US" w:eastAsia="zh-CN" w:bidi="ar"/>
              </w:rPr>
              <w:t>7、输出功率：8Ω 2*400W；4Ω 2*650W；2Ω  2*800W；</w:t>
            </w:r>
            <w:r>
              <w:rPr>
                <w:rStyle w:val="36"/>
                <w:color w:val="auto"/>
                <w:highlight w:val="none"/>
                <w:lang w:val="en-US" w:eastAsia="zh-CN" w:bidi="ar"/>
              </w:rPr>
              <w:br w:type="textWrapping"/>
            </w:r>
            <w:r>
              <w:rPr>
                <w:rStyle w:val="36"/>
                <w:color w:val="auto"/>
                <w:highlight w:val="none"/>
                <w:lang w:val="en-US" w:eastAsia="zh-CN" w:bidi="ar"/>
              </w:rPr>
              <w:t>8、桥接输出功率：（8Ω）1200W  （4Ω）1600W</w:t>
            </w:r>
            <w:r>
              <w:rPr>
                <w:rStyle w:val="36"/>
                <w:color w:val="auto"/>
                <w:highlight w:val="none"/>
                <w:lang w:val="en-US" w:eastAsia="zh-CN" w:bidi="ar"/>
              </w:rPr>
              <w:br w:type="textWrapping"/>
            </w:r>
            <w:r>
              <w:rPr>
                <w:rStyle w:val="36"/>
                <w:color w:val="auto"/>
                <w:highlight w:val="none"/>
                <w:lang w:val="en-US" w:eastAsia="zh-CN" w:bidi="ar"/>
              </w:rPr>
              <w:t>9、频率响应：20Hz-20KHz(+0/-0.25dB)</w:t>
            </w:r>
            <w:r>
              <w:rPr>
                <w:rStyle w:val="36"/>
                <w:color w:val="auto"/>
                <w:highlight w:val="none"/>
                <w:lang w:val="en-US" w:eastAsia="zh-CN" w:bidi="ar"/>
              </w:rPr>
              <w:br w:type="textWrapping"/>
            </w:r>
            <w:r>
              <w:rPr>
                <w:rStyle w:val="36"/>
                <w:color w:val="auto"/>
                <w:highlight w:val="none"/>
                <w:lang w:val="en-US" w:eastAsia="zh-CN" w:bidi="ar"/>
              </w:rPr>
              <w:t>10.转换速率：45V/Us</w:t>
            </w:r>
          </w:p>
        </w:tc>
        <w:tc>
          <w:tcPr>
            <w:tcW w:w="743" w:type="dxa"/>
            <w:tcBorders>
              <w:top w:val="nil"/>
              <w:left w:val="nil"/>
              <w:bottom w:val="single" w:color="000000" w:sz="4" w:space="0"/>
              <w:right w:val="single" w:color="000000" w:sz="4" w:space="0"/>
            </w:tcBorders>
            <w:shd w:val="clear" w:color="auto" w:fill="auto"/>
            <w:noWrap/>
            <w:vAlign w:val="center"/>
          </w:tcPr>
          <w:p w14:paraId="767E20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15" w:type="dxa"/>
            <w:tcBorders>
              <w:top w:val="nil"/>
              <w:left w:val="nil"/>
              <w:bottom w:val="single" w:color="000000" w:sz="4" w:space="0"/>
              <w:right w:val="single" w:color="000000" w:sz="4" w:space="0"/>
            </w:tcBorders>
            <w:shd w:val="clear" w:color="auto" w:fill="auto"/>
            <w:noWrap/>
            <w:vAlign w:val="center"/>
          </w:tcPr>
          <w:p w14:paraId="23C396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82F116F">
        <w:trPr>
          <w:trHeight w:val="54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6D6B96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3.6.3</w:t>
            </w:r>
          </w:p>
        </w:tc>
        <w:tc>
          <w:tcPr>
            <w:tcW w:w="1290" w:type="dxa"/>
            <w:tcBorders>
              <w:top w:val="nil"/>
              <w:left w:val="nil"/>
              <w:bottom w:val="single" w:color="000000" w:sz="4" w:space="0"/>
              <w:right w:val="single" w:color="000000" w:sz="4" w:space="0"/>
            </w:tcBorders>
            <w:shd w:val="clear" w:color="auto" w:fill="auto"/>
            <w:vAlign w:val="center"/>
          </w:tcPr>
          <w:p w14:paraId="5E204D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调音台</w:t>
            </w:r>
          </w:p>
        </w:tc>
        <w:tc>
          <w:tcPr>
            <w:tcW w:w="5782" w:type="dxa"/>
            <w:tcBorders>
              <w:top w:val="nil"/>
              <w:left w:val="nil"/>
              <w:bottom w:val="single" w:color="000000" w:sz="4" w:space="0"/>
              <w:right w:val="single" w:color="000000" w:sz="4" w:space="0"/>
            </w:tcBorders>
            <w:shd w:val="clear" w:color="auto" w:fill="auto"/>
            <w:noWrap/>
            <w:vAlign w:val="center"/>
          </w:tcPr>
          <w:p w14:paraId="18CB8524">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1.8路XLR平衡单声通道输入。超低噪音线路设计，动态余量大</w:t>
            </w:r>
            <w:r>
              <w:rPr>
                <w:rStyle w:val="36"/>
                <w:color w:val="auto"/>
                <w:highlight w:val="none"/>
                <w:lang w:val="en-US" w:eastAsia="zh-CN" w:bidi="ar"/>
              </w:rPr>
              <w:br w:type="textWrapping"/>
            </w:r>
            <w:r>
              <w:rPr>
                <w:rStyle w:val="36"/>
                <w:color w:val="auto"/>
                <w:highlight w:val="none"/>
                <w:lang w:val="en-US" w:eastAsia="zh-CN" w:bidi="ar"/>
              </w:rPr>
              <w:t>2.每通道带3段均衡调节，MUTE静音开关，60MM平滑推子衰减器，</w:t>
            </w:r>
            <w:r>
              <w:rPr>
                <w:rStyle w:val="36"/>
                <w:color w:val="auto"/>
                <w:highlight w:val="none"/>
                <w:lang w:val="en-US" w:eastAsia="zh-CN" w:bidi="ar"/>
              </w:rPr>
              <w:br w:type="textWrapping"/>
            </w:r>
            <w:r>
              <w:rPr>
                <w:rStyle w:val="36"/>
                <w:color w:val="auto"/>
                <w:highlight w:val="none"/>
                <w:lang w:val="en-US" w:eastAsia="zh-CN" w:bidi="ar"/>
              </w:rPr>
              <w:t>3.1组立体声母线输出+2组AUX母线输出（包括FX)</w:t>
            </w:r>
            <w:r>
              <w:rPr>
                <w:rStyle w:val="36"/>
                <w:color w:val="auto"/>
                <w:highlight w:val="none"/>
                <w:lang w:val="en-US" w:eastAsia="zh-CN" w:bidi="ar"/>
              </w:rPr>
              <w:br w:type="textWrapping"/>
            </w:r>
            <w:r>
              <w:rPr>
                <w:rStyle w:val="36"/>
                <w:color w:val="auto"/>
                <w:highlight w:val="none"/>
                <w:lang w:val="en-US" w:eastAsia="zh-CN" w:bidi="ar"/>
              </w:rPr>
              <w:t>4.1组返回，1组RAC输出，</w:t>
            </w:r>
            <w:r>
              <w:rPr>
                <w:rStyle w:val="36"/>
                <w:color w:val="auto"/>
                <w:highlight w:val="none"/>
                <w:lang w:val="en-US" w:eastAsia="zh-CN" w:bidi="ar"/>
              </w:rPr>
              <w:br w:type="textWrapping"/>
            </w:r>
            <w:r>
              <w:rPr>
                <w:rStyle w:val="36"/>
                <w:color w:val="auto"/>
                <w:highlight w:val="none"/>
                <w:lang w:val="en-US" w:eastAsia="zh-CN" w:bidi="ar"/>
              </w:rPr>
              <w:t>5.内置48V幻象电源供电</w:t>
            </w:r>
            <w:r>
              <w:rPr>
                <w:rStyle w:val="36"/>
                <w:color w:val="auto"/>
                <w:highlight w:val="none"/>
                <w:lang w:val="en-US" w:eastAsia="zh-CN" w:bidi="ar"/>
              </w:rPr>
              <w:br w:type="textWrapping"/>
            </w:r>
            <w:r>
              <w:rPr>
                <w:rStyle w:val="36"/>
                <w:color w:val="auto"/>
                <w:highlight w:val="none"/>
                <w:lang w:val="en-US" w:eastAsia="zh-CN" w:bidi="ar"/>
              </w:rPr>
              <w:t>6.内置16种DSP数字效果器</w:t>
            </w:r>
            <w:r>
              <w:rPr>
                <w:rStyle w:val="36"/>
                <w:color w:val="auto"/>
                <w:highlight w:val="none"/>
                <w:lang w:val="en-US" w:eastAsia="zh-CN" w:bidi="ar"/>
              </w:rPr>
              <w:br w:type="textWrapping"/>
            </w:r>
            <w:r>
              <w:rPr>
                <w:rStyle w:val="36"/>
                <w:color w:val="auto"/>
                <w:highlight w:val="none"/>
                <w:lang w:val="en-US" w:eastAsia="zh-CN" w:bidi="ar"/>
              </w:rPr>
              <w:t>7.USB音频播放MP3;USB录音</w:t>
            </w:r>
            <w:r>
              <w:rPr>
                <w:rStyle w:val="36"/>
                <w:color w:val="auto"/>
                <w:highlight w:val="none"/>
                <w:lang w:val="en-US" w:eastAsia="zh-CN" w:bidi="ar"/>
              </w:rPr>
              <w:br w:type="textWrapping"/>
            </w:r>
            <w:r>
              <w:rPr>
                <w:rStyle w:val="36"/>
                <w:color w:val="auto"/>
                <w:highlight w:val="none"/>
                <w:lang w:val="en-US" w:eastAsia="zh-CN" w:bidi="ar"/>
              </w:rPr>
              <w:t>8.自带蓝牙播放MP3</w:t>
            </w:r>
            <w:r>
              <w:rPr>
                <w:rStyle w:val="36"/>
                <w:color w:val="auto"/>
                <w:highlight w:val="none"/>
                <w:lang w:val="en-US" w:eastAsia="zh-CN" w:bidi="ar"/>
              </w:rPr>
              <w:br w:type="textWrapping"/>
            </w:r>
            <w:r>
              <w:rPr>
                <w:rStyle w:val="36"/>
                <w:color w:val="auto"/>
                <w:highlight w:val="none"/>
                <w:lang w:val="en-US" w:eastAsia="zh-CN" w:bidi="ar"/>
              </w:rPr>
              <w:t>9.LED显示屏清晰显示播放状态</w:t>
            </w:r>
            <w:r>
              <w:rPr>
                <w:rStyle w:val="36"/>
                <w:color w:val="auto"/>
                <w:highlight w:val="none"/>
                <w:lang w:val="en-US" w:eastAsia="zh-CN" w:bidi="ar"/>
              </w:rPr>
              <w:br w:type="textWrapping"/>
            </w:r>
            <w:r>
              <w:rPr>
                <w:rStyle w:val="36"/>
                <w:color w:val="auto"/>
                <w:highlight w:val="none"/>
                <w:lang w:val="en-US" w:eastAsia="zh-CN" w:bidi="ar"/>
              </w:rPr>
              <w:t>10.十段三色电平灯显示</w:t>
            </w:r>
            <w:r>
              <w:rPr>
                <w:rStyle w:val="36"/>
                <w:color w:val="auto"/>
                <w:highlight w:val="none"/>
                <w:lang w:val="en-US" w:eastAsia="zh-CN" w:bidi="ar"/>
              </w:rPr>
              <w:br w:type="textWrapping"/>
            </w:r>
            <w:r>
              <w:rPr>
                <w:rStyle w:val="36"/>
                <w:color w:val="auto"/>
                <w:highlight w:val="none"/>
                <w:lang w:val="en-US" w:eastAsia="zh-CN" w:bidi="ar"/>
              </w:rPr>
              <w:t>11.最大输出电平：18dB</w:t>
            </w:r>
            <w:r>
              <w:rPr>
                <w:rStyle w:val="36"/>
                <w:color w:val="auto"/>
                <w:highlight w:val="none"/>
                <w:lang w:val="en-US" w:eastAsia="zh-CN" w:bidi="ar"/>
              </w:rPr>
              <w:br w:type="textWrapping"/>
            </w:r>
            <w:r>
              <w:rPr>
                <w:rStyle w:val="36"/>
                <w:color w:val="auto"/>
                <w:highlight w:val="none"/>
                <w:lang w:val="en-US" w:eastAsia="zh-CN" w:bidi="ar"/>
              </w:rPr>
              <w:t>12.S/N信噪比：≥83dB</w:t>
            </w:r>
            <w:r>
              <w:rPr>
                <w:rStyle w:val="36"/>
                <w:color w:val="auto"/>
                <w:highlight w:val="none"/>
                <w:lang w:val="en-US" w:eastAsia="zh-CN" w:bidi="ar"/>
              </w:rPr>
              <w:br w:type="textWrapping"/>
            </w:r>
            <w:r>
              <w:rPr>
                <w:rStyle w:val="36"/>
                <w:color w:val="auto"/>
                <w:highlight w:val="none"/>
                <w:lang w:val="en-US" w:eastAsia="zh-CN" w:bidi="ar"/>
              </w:rPr>
              <w:t>13.总谐波失真度：≤0.02%@0dB1KHz；</w:t>
            </w:r>
            <w:r>
              <w:rPr>
                <w:rStyle w:val="36"/>
                <w:color w:val="auto"/>
                <w:highlight w:val="none"/>
                <w:lang w:val="en-US" w:eastAsia="zh-CN" w:bidi="ar"/>
              </w:rPr>
              <w:br w:type="textWrapping"/>
            </w:r>
            <w:r>
              <w:rPr>
                <w:rStyle w:val="36"/>
                <w:color w:val="auto"/>
                <w:highlight w:val="none"/>
                <w:lang w:val="en-US" w:eastAsia="zh-CN" w:bidi="ar"/>
              </w:rPr>
              <w:t>14.频率响应：20Hz～20KHz±0.5dB</w:t>
            </w:r>
            <w:r>
              <w:rPr>
                <w:rStyle w:val="36"/>
                <w:color w:val="auto"/>
                <w:highlight w:val="none"/>
                <w:lang w:val="en-US" w:eastAsia="zh-CN" w:bidi="ar"/>
              </w:rPr>
              <w:br w:type="textWrapping"/>
            </w:r>
            <w:r>
              <w:rPr>
                <w:rStyle w:val="36"/>
                <w:color w:val="auto"/>
                <w:highlight w:val="none"/>
                <w:lang w:val="en-US" w:eastAsia="zh-CN" w:bidi="ar"/>
              </w:rPr>
              <w:t>15.通道串音：≤-75dB@1KHz；</w:t>
            </w:r>
            <w:r>
              <w:rPr>
                <w:rStyle w:val="36"/>
                <w:color w:val="auto"/>
                <w:highlight w:val="none"/>
                <w:lang w:val="en-US" w:eastAsia="zh-CN" w:bidi="ar"/>
              </w:rPr>
              <w:br w:type="textWrapping"/>
            </w:r>
            <w:r>
              <w:rPr>
                <w:rStyle w:val="36"/>
                <w:color w:val="auto"/>
                <w:highlight w:val="none"/>
                <w:lang w:val="en-US" w:eastAsia="zh-CN" w:bidi="ar"/>
              </w:rPr>
              <w:t>16.输入阻抗MIC：600Ω，LINE:10KΩ，输出阻抗：100Ω</w:t>
            </w:r>
            <w:r>
              <w:rPr>
                <w:rStyle w:val="36"/>
                <w:color w:val="auto"/>
                <w:highlight w:val="none"/>
                <w:lang w:val="en-US" w:eastAsia="zh-CN" w:bidi="ar"/>
              </w:rPr>
              <w:br w:type="textWrapping"/>
            </w:r>
            <w:r>
              <w:rPr>
                <w:rStyle w:val="36"/>
                <w:color w:val="auto"/>
                <w:highlight w:val="none"/>
                <w:lang w:val="en-US" w:eastAsia="zh-CN" w:bidi="ar"/>
              </w:rPr>
              <w:t>17.话筒MIC输入：-60dB,Line线路输入：-40dB</w:t>
            </w:r>
          </w:p>
        </w:tc>
        <w:tc>
          <w:tcPr>
            <w:tcW w:w="743" w:type="dxa"/>
            <w:tcBorders>
              <w:top w:val="nil"/>
              <w:left w:val="nil"/>
              <w:bottom w:val="single" w:color="000000" w:sz="4" w:space="0"/>
              <w:right w:val="single" w:color="000000" w:sz="4" w:space="0"/>
            </w:tcBorders>
            <w:shd w:val="clear" w:color="auto" w:fill="auto"/>
            <w:noWrap/>
            <w:vAlign w:val="center"/>
          </w:tcPr>
          <w:p w14:paraId="4C9BA60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15" w:type="dxa"/>
            <w:tcBorders>
              <w:top w:val="nil"/>
              <w:left w:val="nil"/>
              <w:bottom w:val="single" w:color="000000" w:sz="4" w:space="0"/>
              <w:right w:val="single" w:color="000000" w:sz="4" w:space="0"/>
            </w:tcBorders>
            <w:shd w:val="clear" w:color="auto" w:fill="auto"/>
            <w:noWrap/>
            <w:vAlign w:val="center"/>
          </w:tcPr>
          <w:p w14:paraId="71E4EF0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59F69C6">
        <w:trPr>
          <w:trHeight w:val="394"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06AB9E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3.6.4</w:t>
            </w:r>
          </w:p>
        </w:tc>
        <w:tc>
          <w:tcPr>
            <w:tcW w:w="1290" w:type="dxa"/>
            <w:tcBorders>
              <w:top w:val="nil"/>
              <w:left w:val="nil"/>
              <w:bottom w:val="single" w:color="000000" w:sz="4" w:space="0"/>
              <w:right w:val="single" w:color="000000" w:sz="4" w:space="0"/>
            </w:tcBorders>
            <w:shd w:val="clear" w:color="auto" w:fill="auto"/>
            <w:vAlign w:val="center"/>
          </w:tcPr>
          <w:p w14:paraId="02C7AD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数字反馈抑制器</w:t>
            </w:r>
          </w:p>
        </w:tc>
        <w:tc>
          <w:tcPr>
            <w:tcW w:w="5782" w:type="dxa"/>
            <w:tcBorders>
              <w:top w:val="nil"/>
              <w:left w:val="nil"/>
              <w:bottom w:val="single" w:color="000000" w:sz="4" w:space="0"/>
              <w:right w:val="single" w:color="000000" w:sz="4" w:space="0"/>
            </w:tcBorders>
            <w:shd w:val="clear" w:color="auto" w:fill="auto"/>
            <w:noWrap/>
            <w:vAlign w:val="center"/>
          </w:tcPr>
          <w:p w14:paraId="55936100">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1.具有全自动检测现成啸叫点功能；</w:t>
            </w:r>
            <w:r>
              <w:rPr>
                <w:rStyle w:val="36"/>
                <w:color w:val="auto"/>
                <w:highlight w:val="none"/>
                <w:lang w:val="en-US" w:eastAsia="zh-CN" w:bidi="ar"/>
              </w:rPr>
              <w:br w:type="textWrapping"/>
            </w:r>
            <w:r>
              <w:rPr>
                <w:rStyle w:val="36"/>
                <w:color w:val="auto"/>
                <w:highlight w:val="none"/>
                <w:lang w:val="en-US" w:eastAsia="zh-CN" w:bidi="ar"/>
              </w:rPr>
              <w:t>2.通过DSP系统对声音进行过滤，抑制啸叫，提升本地扩音声压和清晰度；</w:t>
            </w:r>
            <w:r>
              <w:rPr>
                <w:rStyle w:val="36"/>
                <w:color w:val="auto"/>
                <w:highlight w:val="none"/>
                <w:lang w:val="en-US" w:eastAsia="zh-CN" w:bidi="ar"/>
              </w:rPr>
              <w:br w:type="textWrapping"/>
            </w:r>
            <w:r>
              <w:rPr>
                <w:rStyle w:val="36"/>
                <w:color w:val="auto"/>
                <w:highlight w:val="none"/>
                <w:lang w:val="en-US" w:eastAsia="zh-CN" w:bidi="ar"/>
              </w:rPr>
              <w:t>3.具备4路万能输入接口，2路平衡输出接口；</w:t>
            </w:r>
            <w:r>
              <w:rPr>
                <w:rStyle w:val="36"/>
                <w:color w:val="auto"/>
                <w:highlight w:val="none"/>
                <w:lang w:val="en-US" w:eastAsia="zh-CN" w:bidi="ar"/>
              </w:rPr>
              <w:br w:type="textWrapping"/>
            </w:r>
            <w:r>
              <w:rPr>
                <w:rStyle w:val="36"/>
                <w:color w:val="auto"/>
                <w:highlight w:val="none"/>
                <w:lang w:val="en-US" w:eastAsia="zh-CN" w:bidi="ar"/>
              </w:rPr>
              <w:t>4.每通道具有独立48V幻象电源、音量大小指示、输入电平指示灯、48V指示灯；</w:t>
            </w:r>
            <w:r>
              <w:rPr>
                <w:rStyle w:val="36"/>
                <w:color w:val="auto"/>
                <w:highlight w:val="none"/>
                <w:lang w:val="en-US" w:eastAsia="zh-CN" w:bidi="ar"/>
              </w:rPr>
              <w:br w:type="textWrapping"/>
            </w:r>
            <w:r>
              <w:rPr>
                <w:rStyle w:val="36"/>
                <w:color w:val="auto"/>
                <w:highlight w:val="none"/>
                <w:lang w:val="en-US" w:eastAsia="zh-CN" w:bidi="ar"/>
              </w:rPr>
              <w:t>5.面板配有独立5段信号指示灯电平显示，显示当前工作状态与信号电平大小；</w:t>
            </w:r>
            <w:r>
              <w:rPr>
                <w:rStyle w:val="36"/>
                <w:color w:val="auto"/>
                <w:highlight w:val="none"/>
                <w:lang w:val="en-US" w:eastAsia="zh-CN" w:bidi="ar"/>
              </w:rPr>
              <w:br w:type="textWrapping"/>
            </w:r>
            <w:r>
              <w:rPr>
                <w:rStyle w:val="36"/>
                <w:color w:val="auto"/>
                <w:highlight w:val="none"/>
                <w:lang w:val="en-US" w:eastAsia="zh-CN" w:bidi="ar"/>
              </w:rPr>
              <w:t>6.≥1.7寸彩屏显示屏，监控输出电平；</w:t>
            </w:r>
            <w:r>
              <w:rPr>
                <w:rStyle w:val="36"/>
                <w:color w:val="auto"/>
                <w:highlight w:val="none"/>
                <w:lang w:val="en-US" w:eastAsia="zh-CN" w:bidi="ar"/>
              </w:rPr>
              <w:br w:type="textWrapping"/>
            </w:r>
            <w:r>
              <w:rPr>
                <w:rStyle w:val="36"/>
                <w:color w:val="auto"/>
                <w:highlight w:val="none"/>
                <w:lang w:val="en-US" w:eastAsia="zh-CN" w:bidi="ar"/>
              </w:rPr>
              <w:t>7.专业数字反馈抑制模块，直通/反馈模式可转换，无需调试，增加话筒拾音距离 30-100CM以上；</w:t>
            </w:r>
            <w:r>
              <w:rPr>
                <w:rStyle w:val="36"/>
                <w:color w:val="auto"/>
                <w:highlight w:val="none"/>
                <w:lang w:val="en-US" w:eastAsia="zh-CN" w:bidi="ar"/>
              </w:rPr>
              <w:br w:type="textWrapping"/>
            </w:r>
            <w:r>
              <w:rPr>
                <w:rStyle w:val="36"/>
                <w:color w:val="auto"/>
                <w:highlight w:val="none"/>
                <w:lang w:val="en-US" w:eastAsia="zh-CN" w:bidi="ar"/>
              </w:rPr>
              <w:t>8.面板有系统信号音量大小调节；</w:t>
            </w:r>
            <w:r>
              <w:rPr>
                <w:rStyle w:val="36"/>
                <w:color w:val="auto"/>
                <w:highlight w:val="none"/>
                <w:lang w:val="en-US" w:eastAsia="zh-CN" w:bidi="ar"/>
              </w:rPr>
              <w:br w:type="textWrapping"/>
            </w:r>
            <w:r>
              <w:rPr>
                <w:rStyle w:val="36"/>
                <w:color w:val="auto"/>
                <w:highlight w:val="none"/>
                <w:lang w:val="en-US" w:eastAsia="zh-CN" w:bidi="ar"/>
              </w:rPr>
              <w:t>9.供电方式：AC~220V，50Hz ；</w:t>
            </w:r>
            <w:r>
              <w:rPr>
                <w:rStyle w:val="36"/>
                <w:color w:val="auto"/>
                <w:highlight w:val="none"/>
                <w:lang w:val="en-US" w:eastAsia="zh-CN" w:bidi="ar"/>
              </w:rPr>
              <w:br w:type="textWrapping"/>
            </w:r>
            <w:r>
              <w:rPr>
                <w:rStyle w:val="36"/>
                <w:color w:val="auto"/>
                <w:highlight w:val="none"/>
                <w:lang w:val="en-US" w:eastAsia="zh-CN" w:bidi="ar"/>
              </w:rPr>
              <w:t>10.频率响应：20Hz~20KHz；</w:t>
            </w:r>
            <w:r>
              <w:rPr>
                <w:rStyle w:val="36"/>
                <w:color w:val="auto"/>
                <w:highlight w:val="none"/>
                <w:lang w:val="en-US" w:eastAsia="zh-CN" w:bidi="ar"/>
              </w:rPr>
              <w:br w:type="textWrapping"/>
            </w:r>
            <w:r>
              <w:rPr>
                <w:rStyle w:val="36"/>
                <w:color w:val="auto"/>
                <w:highlight w:val="none"/>
                <w:lang w:val="en-US" w:eastAsia="zh-CN" w:bidi="ar"/>
              </w:rPr>
              <w:t>11.信噪比：≥90dB；</w:t>
            </w:r>
            <w:r>
              <w:rPr>
                <w:rStyle w:val="36"/>
                <w:color w:val="auto"/>
                <w:highlight w:val="none"/>
                <w:lang w:val="en-US" w:eastAsia="zh-CN" w:bidi="ar"/>
              </w:rPr>
              <w:br w:type="textWrapping"/>
            </w:r>
            <w:r>
              <w:rPr>
                <w:rStyle w:val="36"/>
                <w:color w:val="auto"/>
                <w:highlight w:val="none"/>
                <w:lang w:val="en-US" w:eastAsia="zh-CN" w:bidi="ar"/>
              </w:rPr>
              <w:t>12.采样率：32KHz；</w:t>
            </w:r>
            <w:r>
              <w:rPr>
                <w:rStyle w:val="36"/>
                <w:color w:val="auto"/>
                <w:highlight w:val="none"/>
                <w:lang w:val="en-US" w:eastAsia="zh-CN" w:bidi="ar"/>
              </w:rPr>
              <w:br w:type="textWrapping"/>
            </w:r>
            <w:r>
              <w:rPr>
                <w:rStyle w:val="36"/>
                <w:color w:val="auto"/>
                <w:highlight w:val="none"/>
                <w:lang w:val="en-US" w:eastAsia="zh-CN" w:bidi="ar"/>
              </w:rPr>
              <w:t>13.输入阻抗： 话筒输入：47KΩ，线路输入：10KΩ；</w:t>
            </w:r>
            <w:r>
              <w:rPr>
                <w:rStyle w:val="36"/>
                <w:color w:val="auto"/>
                <w:highlight w:val="none"/>
                <w:lang w:val="en-US" w:eastAsia="zh-CN" w:bidi="ar"/>
              </w:rPr>
              <w:br w:type="textWrapping"/>
            </w:r>
            <w:r>
              <w:rPr>
                <w:rStyle w:val="36"/>
                <w:color w:val="auto"/>
                <w:highlight w:val="none"/>
                <w:lang w:val="en-US" w:eastAsia="zh-CN" w:bidi="ar"/>
              </w:rPr>
              <w:t>14.音乐输入：10KΩ，远程输入：10KΩ；</w:t>
            </w:r>
            <w:r>
              <w:rPr>
                <w:rStyle w:val="36"/>
                <w:color w:val="auto"/>
                <w:highlight w:val="none"/>
                <w:lang w:val="en-US" w:eastAsia="zh-CN" w:bidi="ar"/>
              </w:rPr>
              <w:br w:type="textWrapping"/>
            </w:r>
            <w:r>
              <w:rPr>
                <w:rStyle w:val="36"/>
                <w:color w:val="auto"/>
                <w:highlight w:val="none"/>
                <w:lang w:val="en-US" w:eastAsia="zh-CN" w:bidi="ar"/>
              </w:rPr>
              <w:t>15.输出阻抗： 主输出：220Ω，线路输出：1KΩ；</w:t>
            </w:r>
            <w:r>
              <w:rPr>
                <w:rStyle w:val="36"/>
                <w:color w:val="auto"/>
                <w:highlight w:val="none"/>
                <w:lang w:val="en-US" w:eastAsia="zh-CN" w:bidi="ar"/>
              </w:rPr>
              <w:br w:type="textWrapping"/>
            </w:r>
            <w:r>
              <w:rPr>
                <w:rStyle w:val="36"/>
                <w:color w:val="auto"/>
                <w:highlight w:val="none"/>
                <w:lang w:val="en-US" w:eastAsia="zh-CN" w:bidi="ar"/>
              </w:rPr>
              <w:t>16.录音输出：1KΩ，远程输出：1KΩ。</w:t>
            </w:r>
          </w:p>
        </w:tc>
        <w:tc>
          <w:tcPr>
            <w:tcW w:w="743" w:type="dxa"/>
            <w:tcBorders>
              <w:top w:val="nil"/>
              <w:left w:val="nil"/>
              <w:bottom w:val="single" w:color="000000" w:sz="4" w:space="0"/>
              <w:right w:val="single" w:color="000000" w:sz="4" w:space="0"/>
            </w:tcBorders>
            <w:shd w:val="clear" w:color="auto" w:fill="auto"/>
            <w:noWrap/>
            <w:vAlign w:val="center"/>
          </w:tcPr>
          <w:p w14:paraId="362667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15" w:type="dxa"/>
            <w:tcBorders>
              <w:top w:val="nil"/>
              <w:left w:val="nil"/>
              <w:bottom w:val="single" w:color="000000" w:sz="4" w:space="0"/>
              <w:right w:val="single" w:color="000000" w:sz="4" w:space="0"/>
            </w:tcBorders>
            <w:shd w:val="clear" w:color="auto" w:fill="auto"/>
            <w:noWrap/>
            <w:vAlign w:val="center"/>
          </w:tcPr>
          <w:p w14:paraId="61FB2A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A57CF4A">
        <w:trPr>
          <w:trHeight w:val="308"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1A2699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3.6.5</w:t>
            </w:r>
          </w:p>
        </w:tc>
        <w:tc>
          <w:tcPr>
            <w:tcW w:w="1290" w:type="dxa"/>
            <w:tcBorders>
              <w:top w:val="nil"/>
              <w:left w:val="nil"/>
              <w:bottom w:val="single" w:color="000000" w:sz="4" w:space="0"/>
              <w:right w:val="single" w:color="000000" w:sz="4" w:space="0"/>
            </w:tcBorders>
            <w:shd w:val="clear" w:color="auto" w:fill="auto"/>
            <w:vAlign w:val="center"/>
          </w:tcPr>
          <w:p w14:paraId="796115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电源时序控制器</w:t>
            </w:r>
          </w:p>
        </w:tc>
        <w:tc>
          <w:tcPr>
            <w:tcW w:w="5782" w:type="dxa"/>
            <w:tcBorders>
              <w:top w:val="nil"/>
              <w:left w:val="nil"/>
              <w:bottom w:val="single" w:color="000000" w:sz="4" w:space="0"/>
              <w:right w:val="single" w:color="000000" w:sz="4" w:space="0"/>
            </w:tcBorders>
            <w:shd w:val="clear" w:color="auto" w:fill="auto"/>
            <w:noWrap/>
            <w:vAlign w:val="center"/>
          </w:tcPr>
          <w:p w14:paraId="4436F94C">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1.电力输入条件(单相3线):AC90-260V50-60Hz两相（三线：零，火，地）；</w:t>
            </w:r>
            <w:r>
              <w:rPr>
                <w:rStyle w:val="36"/>
                <w:color w:val="auto"/>
                <w:highlight w:val="none"/>
                <w:lang w:val="en-US" w:eastAsia="zh-CN" w:bidi="ar"/>
              </w:rPr>
              <w:br w:type="textWrapping"/>
            </w:r>
            <w:r>
              <w:rPr>
                <w:rStyle w:val="36"/>
                <w:color w:val="auto"/>
                <w:highlight w:val="none"/>
                <w:lang w:val="en-US" w:eastAsia="zh-CN" w:bidi="ar"/>
              </w:rPr>
              <w:t>2.通道数量：≥8路万用插座继电器受控；</w:t>
            </w:r>
            <w:r>
              <w:rPr>
                <w:rStyle w:val="36"/>
                <w:color w:val="auto"/>
                <w:highlight w:val="none"/>
                <w:lang w:val="en-US" w:eastAsia="zh-CN" w:bidi="ar"/>
              </w:rPr>
              <w:br w:type="textWrapping"/>
            </w:r>
            <w:r>
              <w:rPr>
                <w:rStyle w:val="36"/>
                <w:color w:val="auto"/>
                <w:highlight w:val="none"/>
                <w:lang w:val="en-US" w:eastAsia="zh-CN" w:bidi="ar"/>
              </w:rPr>
              <w:t>3.继电器受控输出最大承受单路功率/瞬时功率：8000W/20000W最大承受；</w:t>
            </w:r>
            <w:r>
              <w:rPr>
                <w:rStyle w:val="36"/>
                <w:color w:val="auto"/>
                <w:highlight w:val="none"/>
                <w:lang w:val="en-US" w:eastAsia="zh-CN" w:bidi="ar"/>
              </w:rPr>
              <w:br w:type="textWrapping"/>
            </w:r>
            <w:r>
              <w:rPr>
                <w:rStyle w:val="36"/>
                <w:color w:val="auto"/>
                <w:highlight w:val="none"/>
                <w:lang w:val="en-US" w:eastAsia="zh-CN" w:bidi="ar"/>
              </w:rPr>
              <w:t>4.输出电源插座规格：阻燃ABS材料，最大可承受13A电流磷铜材质，标准万用插座；</w:t>
            </w:r>
            <w:r>
              <w:rPr>
                <w:rStyle w:val="36"/>
                <w:color w:val="auto"/>
                <w:highlight w:val="none"/>
                <w:lang w:val="en-US" w:eastAsia="zh-CN" w:bidi="ar"/>
              </w:rPr>
              <w:br w:type="textWrapping"/>
            </w:r>
            <w:r>
              <w:rPr>
                <w:rStyle w:val="36"/>
                <w:color w:val="auto"/>
                <w:highlight w:val="none"/>
                <w:lang w:val="en-US" w:eastAsia="zh-CN" w:bidi="ar"/>
              </w:rPr>
              <w:t>5.开启类型：按键式轻触开关；</w:t>
            </w:r>
            <w:r>
              <w:rPr>
                <w:rStyle w:val="36"/>
                <w:color w:val="auto"/>
                <w:highlight w:val="none"/>
                <w:lang w:val="en-US" w:eastAsia="zh-CN" w:bidi="ar"/>
              </w:rPr>
              <w:br w:type="textWrapping"/>
            </w:r>
            <w:r>
              <w:rPr>
                <w:rStyle w:val="36"/>
                <w:color w:val="auto"/>
                <w:highlight w:val="none"/>
                <w:lang w:val="en-US" w:eastAsia="zh-CN" w:bidi="ar"/>
              </w:rPr>
              <w:t>6.单路独立开关功能：支持面板设定某通道关闭与打开；</w:t>
            </w:r>
            <w:r>
              <w:rPr>
                <w:rStyle w:val="36"/>
                <w:color w:val="auto"/>
                <w:highlight w:val="none"/>
                <w:lang w:val="en-US" w:eastAsia="zh-CN" w:bidi="ar"/>
              </w:rPr>
              <w:br w:type="textWrapping"/>
            </w:r>
            <w:r>
              <w:rPr>
                <w:rStyle w:val="36"/>
                <w:color w:val="auto"/>
                <w:highlight w:val="none"/>
                <w:lang w:val="en-US" w:eastAsia="zh-CN" w:bidi="ar"/>
              </w:rPr>
              <w:t>7.外接控制开关接口：RS232COM接口中控控制；</w:t>
            </w:r>
            <w:r>
              <w:rPr>
                <w:rStyle w:val="36"/>
                <w:color w:val="auto"/>
                <w:highlight w:val="none"/>
                <w:lang w:val="en-US" w:eastAsia="zh-CN" w:bidi="ar"/>
              </w:rPr>
              <w:br w:type="textWrapping"/>
            </w:r>
            <w:r>
              <w:rPr>
                <w:rStyle w:val="36"/>
                <w:color w:val="auto"/>
                <w:highlight w:val="none"/>
                <w:lang w:val="en-US" w:eastAsia="zh-CN" w:bidi="ar"/>
              </w:rPr>
              <w:t>8.有空气开关保护，遇到短路，过流现象自动断开电源。</w:t>
            </w:r>
          </w:p>
        </w:tc>
        <w:tc>
          <w:tcPr>
            <w:tcW w:w="743" w:type="dxa"/>
            <w:tcBorders>
              <w:top w:val="nil"/>
              <w:left w:val="nil"/>
              <w:bottom w:val="single" w:color="000000" w:sz="4" w:space="0"/>
              <w:right w:val="single" w:color="000000" w:sz="4" w:space="0"/>
            </w:tcBorders>
            <w:shd w:val="clear" w:color="auto" w:fill="auto"/>
            <w:noWrap/>
            <w:vAlign w:val="center"/>
          </w:tcPr>
          <w:p w14:paraId="0B0D5C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15" w:type="dxa"/>
            <w:tcBorders>
              <w:top w:val="nil"/>
              <w:left w:val="nil"/>
              <w:bottom w:val="single" w:color="000000" w:sz="4" w:space="0"/>
              <w:right w:val="single" w:color="000000" w:sz="4" w:space="0"/>
            </w:tcBorders>
            <w:shd w:val="clear" w:color="auto" w:fill="auto"/>
            <w:noWrap/>
            <w:vAlign w:val="center"/>
          </w:tcPr>
          <w:p w14:paraId="434248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556579A">
        <w:trPr>
          <w:trHeight w:val="23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02ED66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8530" w:type="dxa"/>
            <w:gridSpan w:val="4"/>
            <w:tcBorders>
              <w:top w:val="nil"/>
              <w:left w:val="nil"/>
              <w:bottom w:val="single" w:color="000000" w:sz="4" w:space="0"/>
              <w:right w:val="single" w:color="000000" w:sz="4" w:space="0"/>
            </w:tcBorders>
            <w:shd w:val="clear" w:color="auto" w:fill="auto"/>
            <w:vAlign w:val="center"/>
          </w:tcPr>
          <w:p w14:paraId="54B14F4A">
            <w:pPr>
              <w:jc w:val="left"/>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气象决策服务中心改造提升</w:t>
            </w:r>
          </w:p>
        </w:tc>
      </w:tr>
      <w:tr w14:paraId="59E2BBAE">
        <w:trPr>
          <w:trHeight w:val="30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218E8C44">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224889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顶面</w:t>
            </w:r>
          </w:p>
        </w:tc>
        <w:tc>
          <w:tcPr>
            <w:tcW w:w="5782" w:type="dxa"/>
            <w:tcBorders>
              <w:top w:val="nil"/>
              <w:left w:val="nil"/>
              <w:bottom w:val="single" w:color="000000" w:sz="4" w:space="0"/>
              <w:right w:val="single" w:color="000000" w:sz="4" w:space="0"/>
            </w:tcBorders>
            <w:shd w:val="clear" w:color="auto" w:fill="auto"/>
            <w:vAlign w:val="center"/>
          </w:tcPr>
          <w:p w14:paraId="2F6D9FD6">
            <w:pPr>
              <w:jc w:val="both"/>
              <w:rPr>
                <w:rFonts w:hint="eastAsia" w:ascii="仿宋" w:hAnsi="仿宋" w:eastAsia="仿宋" w:cs="仿宋"/>
                <w:i w:val="0"/>
                <w:iCs w:val="0"/>
                <w:color w:val="auto"/>
                <w:sz w:val="24"/>
                <w:szCs w:val="24"/>
                <w:highlight w:val="none"/>
                <w:u w:val="none"/>
              </w:rPr>
            </w:pPr>
          </w:p>
        </w:tc>
        <w:tc>
          <w:tcPr>
            <w:tcW w:w="743" w:type="dxa"/>
            <w:tcBorders>
              <w:top w:val="nil"/>
              <w:left w:val="nil"/>
              <w:bottom w:val="single" w:color="000000" w:sz="4" w:space="0"/>
              <w:right w:val="single" w:color="000000" w:sz="4" w:space="0"/>
            </w:tcBorders>
            <w:shd w:val="clear" w:color="auto" w:fill="auto"/>
            <w:vAlign w:val="center"/>
          </w:tcPr>
          <w:p w14:paraId="0D06E4FC">
            <w:pPr>
              <w:jc w:val="center"/>
              <w:rPr>
                <w:rFonts w:hint="eastAsia" w:ascii="仿宋" w:hAnsi="仿宋" w:eastAsia="仿宋" w:cs="仿宋"/>
                <w:i w:val="0"/>
                <w:iCs w:val="0"/>
                <w:color w:val="auto"/>
                <w:sz w:val="24"/>
                <w:szCs w:val="24"/>
                <w:highlight w:val="none"/>
                <w:u w:val="none"/>
              </w:rPr>
            </w:pPr>
          </w:p>
        </w:tc>
        <w:tc>
          <w:tcPr>
            <w:tcW w:w="715" w:type="dxa"/>
            <w:tcBorders>
              <w:top w:val="nil"/>
              <w:left w:val="nil"/>
              <w:bottom w:val="single" w:color="000000" w:sz="4" w:space="0"/>
              <w:right w:val="single" w:color="000000" w:sz="4" w:space="0"/>
            </w:tcBorders>
            <w:shd w:val="clear" w:color="auto" w:fill="auto"/>
            <w:vAlign w:val="center"/>
          </w:tcPr>
          <w:p w14:paraId="66998F9E">
            <w:pPr>
              <w:jc w:val="center"/>
              <w:rPr>
                <w:rFonts w:hint="eastAsia" w:ascii="仿宋" w:hAnsi="仿宋" w:eastAsia="仿宋" w:cs="仿宋"/>
                <w:i w:val="0"/>
                <w:iCs w:val="0"/>
                <w:color w:val="auto"/>
                <w:sz w:val="24"/>
                <w:szCs w:val="24"/>
                <w:highlight w:val="none"/>
                <w:u w:val="none"/>
              </w:rPr>
            </w:pPr>
          </w:p>
        </w:tc>
      </w:tr>
      <w:tr w14:paraId="5C110169">
        <w:trPr>
          <w:trHeight w:val="60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11EFEDF5">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057ECB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吊顶拆除</w:t>
            </w:r>
          </w:p>
        </w:tc>
        <w:tc>
          <w:tcPr>
            <w:tcW w:w="5782" w:type="dxa"/>
            <w:tcBorders>
              <w:top w:val="nil"/>
              <w:left w:val="nil"/>
              <w:bottom w:val="single" w:color="000000" w:sz="4" w:space="0"/>
              <w:right w:val="single" w:color="000000" w:sz="4" w:space="0"/>
            </w:tcBorders>
            <w:shd w:val="clear" w:color="auto" w:fill="auto"/>
            <w:noWrap/>
            <w:vAlign w:val="center"/>
          </w:tcPr>
          <w:p w14:paraId="550FECF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拆除原有石膏板吊顶，轻钢龙骨骨架，单层石膏板，线路拆除，灯具拆除，含建筑垃圾下楼及外运运处理。</w:t>
            </w:r>
          </w:p>
        </w:tc>
        <w:tc>
          <w:tcPr>
            <w:tcW w:w="743" w:type="dxa"/>
            <w:tcBorders>
              <w:top w:val="nil"/>
              <w:left w:val="nil"/>
              <w:bottom w:val="single" w:color="000000" w:sz="4" w:space="0"/>
              <w:right w:val="single" w:color="000000" w:sz="4" w:space="0"/>
            </w:tcBorders>
            <w:shd w:val="clear" w:color="auto" w:fill="auto"/>
            <w:vAlign w:val="center"/>
          </w:tcPr>
          <w:p w14:paraId="50480A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31FF60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r>
      <w:tr w14:paraId="43D23DDB">
        <w:trPr>
          <w:trHeight w:val="85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4ADAB337">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3A91D7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石膏板吊顶</w:t>
            </w:r>
          </w:p>
        </w:tc>
        <w:tc>
          <w:tcPr>
            <w:tcW w:w="5782" w:type="dxa"/>
            <w:tcBorders>
              <w:top w:val="nil"/>
              <w:left w:val="nil"/>
              <w:bottom w:val="single" w:color="000000" w:sz="4" w:space="0"/>
              <w:right w:val="single" w:color="000000" w:sz="4" w:space="0"/>
            </w:tcBorders>
            <w:shd w:val="clear" w:color="auto" w:fill="auto"/>
            <w:vAlign w:val="center"/>
          </w:tcPr>
          <w:p w14:paraId="5432DFE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38卡骨，50副骨骨架，九厘板基层安装，9.5mm双层石膏板造型饰面。</w:t>
            </w:r>
          </w:p>
        </w:tc>
        <w:tc>
          <w:tcPr>
            <w:tcW w:w="743" w:type="dxa"/>
            <w:tcBorders>
              <w:top w:val="nil"/>
              <w:left w:val="nil"/>
              <w:bottom w:val="single" w:color="000000" w:sz="4" w:space="0"/>
              <w:right w:val="single" w:color="000000" w:sz="4" w:space="0"/>
            </w:tcBorders>
            <w:shd w:val="clear" w:color="auto" w:fill="auto"/>
            <w:vAlign w:val="center"/>
          </w:tcPr>
          <w:p w14:paraId="1CD743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41740E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r>
      <w:tr w14:paraId="19CFD5E2">
        <w:trPr>
          <w:trHeight w:val="75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149B387">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76D71F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窗帘盒</w:t>
            </w:r>
          </w:p>
        </w:tc>
        <w:tc>
          <w:tcPr>
            <w:tcW w:w="5782" w:type="dxa"/>
            <w:tcBorders>
              <w:top w:val="nil"/>
              <w:left w:val="nil"/>
              <w:bottom w:val="single" w:color="000000" w:sz="4" w:space="0"/>
              <w:right w:val="single" w:color="000000" w:sz="4" w:space="0"/>
            </w:tcBorders>
            <w:shd w:val="clear" w:color="auto" w:fill="auto"/>
            <w:vAlign w:val="center"/>
          </w:tcPr>
          <w:p w14:paraId="1E89B35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38卡骨，50副骨骨架，15mm防火阻燃板基层，9.5mm石膏板造型饰面。</w:t>
            </w:r>
          </w:p>
        </w:tc>
        <w:tc>
          <w:tcPr>
            <w:tcW w:w="743" w:type="dxa"/>
            <w:tcBorders>
              <w:top w:val="nil"/>
              <w:left w:val="nil"/>
              <w:bottom w:val="single" w:color="000000" w:sz="4" w:space="0"/>
              <w:right w:val="single" w:color="000000" w:sz="4" w:space="0"/>
            </w:tcBorders>
            <w:shd w:val="clear" w:color="auto" w:fill="auto"/>
            <w:vAlign w:val="center"/>
          </w:tcPr>
          <w:p w14:paraId="73555D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15" w:type="dxa"/>
            <w:tcBorders>
              <w:top w:val="nil"/>
              <w:left w:val="nil"/>
              <w:bottom w:val="single" w:color="000000" w:sz="4" w:space="0"/>
              <w:right w:val="single" w:color="000000" w:sz="4" w:space="0"/>
            </w:tcBorders>
            <w:shd w:val="clear" w:color="auto" w:fill="auto"/>
            <w:noWrap/>
            <w:vAlign w:val="center"/>
          </w:tcPr>
          <w:p w14:paraId="53C91D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r>
      <w:tr w14:paraId="7D83FC74">
        <w:trPr>
          <w:trHeight w:val="618"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07FE2906">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6A1B68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软膜天花</w:t>
            </w:r>
          </w:p>
        </w:tc>
        <w:tc>
          <w:tcPr>
            <w:tcW w:w="5782" w:type="dxa"/>
            <w:tcBorders>
              <w:top w:val="nil"/>
              <w:left w:val="nil"/>
              <w:bottom w:val="single" w:color="000000" w:sz="4" w:space="0"/>
              <w:right w:val="single" w:color="000000" w:sz="4" w:space="0"/>
            </w:tcBorders>
            <w:shd w:val="clear" w:color="auto" w:fill="auto"/>
            <w:vAlign w:val="center"/>
          </w:tcPr>
          <w:p w14:paraId="66DB448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基层白色乳胶漆，220V强电型LED灯组安装，H型铝合金型材边框安装，透光软膜安装。</w:t>
            </w:r>
          </w:p>
        </w:tc>
        <w:tc>
          <w:tcPr>
            <w:tcW w:w="743" w:type="dxa"/>
            <w:tcBorders>
              <w:top w:val="nil"/>
              <w:left w:val="nil"/>
              <w:bottom w:val="single" w:color="000000" w:sz="4" w:space="0"/>
              <w:right w:val="single" w:color="000000" w:sz="4" w:space="0"/>
            </w:tcBorders>
            <w:shd w:val="clear" w:color="auto" w:fill="auto"/>
            <w:vAlign w:val="center"/>
          </w:tcPr>
          <w:p w14:paraId="7591A4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715" w:type="dxa"/>
            <w:tcBorders>
              <w:top w:val="nil"/>
              <w:left w:val="nil"/>
              <w:bottom w:val="single" w:color="000000" w:sz="4" w:space="0"/>
              <w:right w:val="single" w:color="000000" w:sz="4" w:space="0"/>
            </w:tcBorders>
            <w:shd w:val="clear" w:color="auto" w:fill="auto"/>
            <w:noWrap/>
            <w:vAlign w:val="center"/>
          </w:tcPr>
          <w:p w14:paraId="34B31D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18283512">
        <w:trPr>
          <w:trHeight w:val="468"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22820C1F">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0E0FC1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顶面基层处理</w:t>
            </w:r>
          </w:p>
        </w:tc>
        <w:tc>
          <w:tcPr>
            <w:tcW w:w="5782" w:type="dxa"/>
            <w:tcBorders>
              <w:top w:val="nil"/>
              <w:left w:val="nil"/>
              <w:bottom w:val="single" w:color="000000" w:sz="4" w:space="0"/>
              <w:right w:val="single" w:color="000000" w:sz="4" w:space="0"/>
            </w:tcBorders>
            <w:shd w:val="clear" w:color="auto" w:fill="auto"/>
            <w:vAlign w:val="center"/>
          </w:tcPr>
          <w:p w14:paraId="1B6612C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1，嵌缝石膏做嵌缝处理。</w:t>
            </w:r>
            <w:r>
              <w:rPr>
                <w:rStyle w:val="36"/>
                <w:color w:val="auto"/>
                <w:highlight w:val="none"/>
                <w:lang w:val="en-US" w:eastAsia="zh-CN" w:bidi="ar"/>
              </w:rPr>
              <w:t xml:space="preserve">  2，网格袋粘贴处理。 3，披刮环保腻子两遍并打磨、找平。</w:t>
            </w:r>
          </w:p>
        </w:tc>
        <w:tc>
          <w:tcPr>
            <w:tcW w:w="743" w:type="dxa"/>
            <w:tcBorders>
              <w:top w:val="nil"/>
              <w:left w:val="nil"/>
              <w:bottom w:val="single" w:color="000000" w:sz="4" w:space="0"/>
              <w:right w:val="single" w:color="000000" w:sz="4" w:space="0"/>
            </w:tcBorders>
            <w:shd w:val="clear" w:color="auto" w:fill="auto"/>
            <w:vAlign w:val="center"/>
          </w:tcPr>
          <w:p w14:paraId="74EACC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195BC7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w:t>
            </w:r>
          </w:p>
        </w:tc>
      </w:tr>
      <w:tr w14:paraId="21CFF95B">
        <w:trPr>
          <w:trHeight w:val="113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4D79D39E">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5B4AB1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顶面墙漆</w:t>
            </w:r>
          </w:p>
        </w:tc>
        <w:tc>
          <w:tcPr>
            <w:tcW w:w="5782" w:type="dxa"/>
            <w:tcBorders>
              <w:top w:val="nil"/>
              <w:left w:val="nil"/>
              <w:bottom w:val="single" w:color="000000" w:sz="4" w:space="0"/>
              <w:right w:val="single" w:color="000000" w:sz="4" w:space="0"/>
            </w:tcBorders>
            <w:shd w:val="clear" w:color="auto" w:fill="auto"/>
            <w:vAlign w:val="center"/>
          </w:tcPr>
          <w:p w14:paraId="23EB73A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r>
              <w:rPr>
                <w:rStyle w:val="36"/>
                <w:color w:val="auto"/>
                <w:highlight w:val="none"/>
                <w:lang w:val="en-US" w:eastAsia="zh-CN" w:bidi="ar"/>
              </w:rPr>
              <w:t>底漆一遍，面漆两遍（嘉宝莉净味墙漆，防霉性能优异、耐擦洗，具有超强抗碱，环保无味无甲醛）。</w:t>
            </w:r>
          </w:p>
        </w:tc>
        <w:tc>
          <w:tcPr>
            <w:tcW w:w="743" w:type="dxa"/>
            <w:tcBorders>
              <w:top w:val="nil"/>
              <w:left w:val="nil"/>
              <w:bottom w:val="single" w:color="000000" w:sz="4" w:space="0"/>
              <w:right w:val="single" w:color="000000" w:sz="4" w:space="0"/>
            </w:tcBorders>
            <w:shd w:val="clear" w:color="auto" w:fill="auto"/>
            <w:vAlign w:val="center"/>
          </w:tcPr>
          <w:p w14:paraId="1BD6E8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121C9F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w:t>
            </w:r>
          </w:p>
        </w:tc>
      </w:tr>
      <w:tr w14:paraId="35013AF9">
        <w:trPr>
          <w:trHeight w:val="48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2FABC15A">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3A9587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装饰面板</w:t>
            </w:r>
          </w:p>
        </w:tc>
        <w:tc>
          <w:tcPr>
            <w:tcW w:w="5782" w:type="dxa"/>
            <w:tcBorders>
              <w:top w:val="nil"/>
              <w:left w:val="nil"/>
              <w:bottom w:val="single" w:color="000000" w:sz="4" w:space="0"/>
              <w:right w:val="single" w:color="000000" w:sz="4" w:space="0"/>
            </w:tcBorders>
            <w:shd w:val="clear" w:color="auto" w:fill="auto"/>
            <w:vAlign w:val="center"/>
          </w:tcPr>
          <w:p w14:paraId="65A6E78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防撞型8mm高光木饰面，异形雕刻安装。</w:t>
            </w:r>
          </w:p>
        </w:tc>
        <w:tc>
          <w:tcPr>
            <w:tcW w:w="743" w:type="dxa"/>
            <w:tcBorders>
              <w:top w:val="nil"/>
              <w:left w:val="nil"/>
              <w:bottom w:val="single" w:color="000000" w:sz="4" w:space="0"/>
              <w:right w:val="single" w:color="000000" w:sz="4" w:space="0"/>
            </w:tcBorders>
            <w:shd w:val="clear" w:color="auto" w:fill="auto"/>
            <w:vAlign w:val="center"/>
          </w:tcPr>
          <w:p w14:paraId="4EA435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715" w:type="dxa"/>
            <w:tcBorders>
              <w:top w:val="nil"/>
              <w:left w:val="nil"/>
              <w:bottom w:val="single" w:color="000000" w:sz="4" w:space="0"/>
              <w:right w:val="single" w:color="000000" w:sz="4" w:space="0"/>
            </w:tcBorders>
            <w:shd w:val="clear" w:color="auto" w:fill="auto"/>
            <w:noWrap/>
            <w:vAlign w:val="center"/>
          </w:tcPr>
          <w:p w14:paraId="65FBB0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228C1259">
        <w:trPr>
          <w:trHeight w:val="6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3F920C2B">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6437AB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线性灯</w:t>
            </w:r>
          </w:p>
        </w:tc>
        <w:tc>
          <w:tcPr>
            <w:tcW w:w="5782" w:type="dxa"/>
            <w:tcBorders>
              <w:top w:val="nil"/>
              <w:left w:val="nil"/>
              <w:bottom w:val="single" w:color="000000" w:sz="4" w:space="0"/>
              <w:right w:val="single" w:color="000000" w:sz="4" w:space="0"/>
            </w:tcBorders>
            <w:shd w:val="clear" w:color="auto" w:fill="auto"/>
            <w:vAlign w:val="center"/>
          </w:tcPr>
          <w:p w14:paraId="31FACC5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铝型材外壳24V低压线性灯，无频闪，400W24V变压器安装。</w:t>
            </w:r>
          </w:p>
        </w:tc>
        <w:tc>
          <w:tcPr>
            <w:tcW w:w="743" w:type="dxa"/>
            <w:tcBorders>
              <w:top w:val="nil"/>
              <w:left w:val="nil"/>
              <w:bottom w:val="single" w:color="000000" w:sz="4" w:space="0"/>
              <w:right w:val="single" w:color="000000" w:sz="4" w:space="0"/>
            </w:tcBorders>
            <w:shd w:val="clear" w:color="auto" w:fill="auto"/>
            <w:vAlign w:val="center"/>
          </w:tcPr>
          <w:p w14:paraId="0ACB61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15" w:type="dxa"/>
            <w:tcBorders>
              <w:top w:val="nil"/>
              <w:left w:val="nil"/>
              <w:bottom w:val="single" w:color="000000" w:sz="4" w:space="0"/>
              <w:right w:val="single" w:color="000000" w:sz="4" w:space="0"/>
            </w:tcBorders>
            <w:shd w:val="clear" w:color="auto" w:fill="auto"/>
            <w:noWrap/>
            <w:vAlign w:val="center"/>
          </w:tcPr>
          <w:p w14:paraId="3DE268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r>
      <w:tr w14:paraId="66F8D1DD">
        <w:trPr>
          <w:trHeight w:val="57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E842228">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6FF07B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筒灯</w:t>
            </w:r>
          </w:p>
        </w:tc>
        <w:tc>
          <w:tcPr>
            <w:tcW w:w="5782" w:type="dxa"/>
            <w:tcBorders>
              <w:top w:val="nil"/>
              <w:left w:val="nil"/>
              <w:bottom w:val="single" w:color="000000" w:sz="4" w:space="0"/>
              <w:right w:val="single" w:color="000000" w:sz="4" w:space="0"/>
            </w:tcBorders>
            <w:shd w:val="clear" w:color="auto" w:fill="auto"/>
            <w:vAlign w:val="center"/>
          </w:tcPr>
          <w:p w14:paraId="1A52F18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4000K雷士筒灯，开孔尺寸120mm。</w:t>
            </w:r>
          </w:p>
        </w:tc>
        <w:tc>
          <w:tcPr>
            <w:tcW w:w="743" w:type="dxa"/>
            <w:tcBorders>
              <w:top w:val="nil"/>
              <w:left w:val="nil"/>
              <w:bottom w:val="single" w:color="000000" w:sz="4" w:space="0"/>
              <w:right w:val="single" w:color="000000" w:sz="4" w:space="0"/>
            </w:tcBorders>
            <w:shd w:val="clear" w:color="auto" w:fill="auto"/>
            <w:vAlign w:val="center"/>
          </w:tcPr>
          <w:p w14:paraId="3AE988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0997F6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r>
      <w:tr w14:paraId="4040ABEF">
        <w:trPr>
          <w:trHeight w:val="7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689E323E">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73B038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墙面1（大屏侧）</w:t>
            </w:r>
          </w:p>
        </w:tc>
        <w:tc>
          <w:tcPr>
            <w:tcW w:w="5782" w:type="dxa"/>
            <w:tcBorders>
              <w:top w:val="nil"/>
              <w:left w:val="nil"/>
              <w:bottom w:val="single" w:color="000000" w:sz="4" w:space="0"/>
              <w:right w:val="single" w:color="000000" w:sz="4" w:space="0"/>
            </w:tcBorders>
            <w:shd w:val="clear" w:color="auto" w:fill="auto"/>
            <w:vAlign w:val="center"/>
          </w:tcPr>
          <w:p w14:paraId="01C99386">
            <w:pPr>
              <w:jc w:val="both"/>
              <w:rPr>
                <w:rFonts w:hint="eastAsia" w:ascii="仿宋" w:hAnsi="仿宋" w:eastAsia="仿宋" w:cs="仿宋"/>
                <w:i w:val="0"/>
                <w:iCs w:val="0"/>
                <w:color w:val="auto"/>
                <w:sz w:val="24"/>
                <w:szCs w:val="24"/>
                <w:highlight w:val="none"/>
                <w:u w:val="none"/>
              </w:rPr>
            </w:pPr>
          </w:p>
        </w:tc>
        <w:tc>
          <w:tcPr>
            <w:tcW w:w="743" w:type="dxa"/>
            <w:tcBorders>
              <w:top w:val="nil"/>
              <w:left w:val="nil"/>
              <w:bottom w:val="single" w:color="000000" w:sz="4" w:space="0"/>
              <w:right w:val="single" w:color="000000" w:sz="4" w:space="0"/>
            </w:tcBorders>
            <w:shd w:val="clear" w:color="auto" w:fill="auto"/>
            <w:vAlign w:val="center"/>
          </w:tcPr>
          <w:p w14:paraId="02A75713">
            <w:pPr>
              <w:jc w:val="center"/>
              <w:rPr>
                <w:rFonts w:hint="eastAsia" w:ascii="仿宋" w:hAnsi="仿宋" w:eastAsia="仿宋" w:cs="仿宋"/>
                <w:i w:val="0"/>
                <w:iCs w:val="0"/>
                <w:color w:val="auto"/>
                <w:sz w:val="24"/>
                <w:szCs w:val="24"/>
                <w:highlight w:val="none"/>
                <w:u w:val="none"/>
              </w:rPr>
            </w:pPr>
          </w:p>
        </w:tc>
        <w:tc>
          <w:tcPr>
            <w:tcW w:w="715" w:type="dxa"/>
            <w:tcBorders>
              <w:top w:val="nil"/>
              <w:left w:val="nil"/>
              <w:bottom w:val="single" w:color="000000" w:sz="4" w:space="0"/>
              <w:right w:val="single" w:color="000000" w:sz="4" w:space="0"/>
            </w:tcBorders>
            <w:shd w:val="clear" w:color="auto" w:fill="auto"/>
            <w:vAlign w:val="center"/>
          </w:tcPr>
          <w:p w14:paraId="6373F31A">
            <w:pPr>
              <w:jc w:val="center"/>
              <w:rPr>
                <w:rFonts w:hint="eastAsia" w:ascii="仿宋" w:hAnsi="仿宋" w:eastAsia="仿宋" w:cs="仿宋"/>
                <w:i w:val="0"/>
                <w:iCs w:val="0"/>
                <w:color w:val="auto"/>
                <w:sz w:val="24"/>
                <w:szCs w:val="24"/>
                <w:highlight w:val="none"/>
                <w:u w:val="none"/>
              </w:rPr>
            </w:pPr>
          </w:p>
        </w:tc>
      </w:tr>
      <w:tr w14:paraId="453E6E15">
        <w:trPr>
          <w:trHeight w:val="65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561ED84F">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457AFD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隔断墙</w:t>
            </w:r>
          </w:p>
        </w:tc>
        <w:tc>
          <w:tcPr>
            <w:tcW w:w="5782" w:type="dxa"/>
            <w:tcBorders>
              <w:top w:val="nil"/>
              <w:left w:val="nil"/>
              <w:bottom w:val="single" w:color="000000" w:sz="4" w:space="0"/>
              <w:right w:val="single" w:color="000000" w:sz="4" w:space="0"/>
            </w:tcBorders>
            <w:shd w:val="clear" w:color="auto" w:fill="auto"/>
            <w:vAlign w:val="center"/>
          </w:tcPr>
          <w:p w14:paraId="01BE2F3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75型隔墙轻钢龙骨骨架，15mm防火阻燃板基层，9.5mm石膏板造型饰面。</w:t>
            </w:r>
          </w:p>
        </w:tc>
        <w:tc>
          <w:tcPr>
            <w:tcW w:w="743" w:type="dxa"/>
            <w:tcBorders>
              <w:top w:val="nil"/>
              <w:left w:val="nil"/>
              <w:bottom w:val="single" w:color="000000" w:sz="4" w:space="0"/>
              <w:right w:val="single" w:color="000000" w:sz="4" w:space="0"/>
            </w:tcBorders>
            <w:shd w:val="clear" w:color="auto" w:fill="auto"/>
            <w:vAlign w:val="center"/>
          </w:tcPr>
          <w:p w14:paraId="566A00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4FBE10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r>
      <w:tr w14:paraId="7AC33F99">
        <w:trPr>
          <w:trHeight w:val="666"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43606A7F">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79B6AD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装饰板饰面</w:t>
            </w:r>
          </w:p>
        </w:tc>
        <w:tc>
          <w:tcPr>
            <w:tcW w:w="5782" w:type="dxa"/>
            <w:tcBorders>
              <w:top w:val="nil"/>
              <w:left w:val="nil"/>
              <w:bottom w:val="single" w:color="000000" w:sz="4" w:space="0"/>
              <w:right w:val="single" w:color="000000" w:sz="4" w:space="0"/>
            </w:tcBorders>
            <w:shd w:val="clear" w:color="auto" w:fill="auto"/>
            <w:vAlign w:val="center"/>
          </w:tcPr>
          <w:p w14:paraId="185546E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防撞型8mm木饰面板安装。</w:t>
            </w:r>
          </w:p>
        </w:tc>
        <w:tc>
          <w:tcPr>
            <w:tcW w:w="743" w:type="dxa"/>
            <w:tcBorders>
              <w:top w:val="nil"/>
              <w:left w:val="nil"/>
              <w:bottom w:val="single" w:color="000000" w:sz="4" w:space="0"/>
              <w:right w:val="single" w:color="000000" w:sz="4" w:space="0"/>
            </w:tcBorders>
            <w:shd w:val="clear" w:color="auto" w:fill="auto"/>
            <w:vAlign w:val="center"/>
          </w:tcPr>
          <w:p w14:paraId="614321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420E2A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7D520F00">
        <w:trPr>
          <w:trHeight w:val="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213E36C7">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0D1932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造型墙</w:t>
            </w:r>
          </w:p>
        </w:tc>
        <w:tc>
          <w:tcPr>
            <w:tcW w:w="5782" w:type="dxa"/>
            <w:tcBorders>
              <w:top w:val="nil"/>
              <w:left w:val="nil"/>
              <w:bottom w:val="single" w:color="000000" w:sz="4" w:space="0"/>
              <w:right w:val="single" w:color="000000" w:sz="4" w:space="0"/>
            </w:tcBorders>
            <w:shd w:val="clear" w:color="auto" w:fill="auto"/>
            <w:vAlign w:val="center"/>
          </w:tcPr>
          <w:p w14:paraId="6095BE9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20mm*30mm木龙骨骨架，15mm欧松板基层，9.5mm石膏板面层。</w:t>
            </w:r>
          </w:p>
        </w:tc>
        <w:tc>
          <w:tcPr>
            <w:tcW w:w="743" w:type="dxa"/>
            <w:tcBorders>
              <w:top w:val="nil"/>
              <w:left w:val="nil"/>
              <w:bottom w:val="single" w:color="000000" w:sz="4" w:space="0"/>
              <w:right w:val="single" w:color="000000" w:sz="4" w:space="0"/>
            </w:tcBorders>
            <w:shd w:val="clear" w:color="auto" w:fill="auto"/>
            <w:vAlign w:val="center"/>
          </w:tcPr>
          <w:p w14:paraId="46849B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7D175B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r>
      <w:tr w14:paraId="23E200D6">
        <w:trPr>
          <w:trHeight w:val="542"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DDEBE46">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4C5C92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墙面基层处理</w:t>
            </w:r>
          </w:p>
        </w:tc>
        <w:tc>
          <w:tcPr>
            <w:tcW w:w="5782" w:type="dxa"/>
            <w:tcBorders>
              <w:top w:val="nil"/>
              <w:left w:val="nil"/>
              <w:bottom w:val="single" w:color="000000" w:sz="4" w:space="0"/>
              <w:right w:val="single" w:color="000000" w:sz="4" w:space="0"/>
            </w:tcBorders>
            <w:shd w:val="clear" w:color="auto" w:fill="auto"/>
            <w:vAlign w:val="center"/>
          </w:tcPr>
          <w:p w14:paraId="7B91A20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1，嵌缝石膏做嵌缝处理。</w:t>
            </w:r>
            <w:r>
              <w:rPr>
                <w:rStyle w:val="36"/>
                <w:color w:val="auto"/>
                <w:highlight w:val="none"/>
                <w:lang w:val="en-US" w:eastAsia="zh-CN" w:bidi="ar"/>
              </w:rPr>
              <w:t xml:space="preserve">  2，网格袋粘贴处理。 3，披刮环保腻子两遍并打磨、找平。</w:t>
            </w:r>
          </w:p>
        </w:tc>
        <w:tc>
          <w:tcPr>
            <w:tcW w:w="743" w:type="dxa"/>
            <w:tcBorders>
              <w:top w:val="nil"/>
              <w:left w:val="nil"/>
              <w:bottom w:val="single" w:color="000000" w:sz="4" w:space="0"/>
              <w:right w:val="single" w:color="000000" w:sz="4" w:space="0"/>
            </w:tcBorders>
            <w:shd w:val="clear" w:color="auto" w:fill="auto"/>
            <w:vAlign w:val="center"/>
          </w:tcPr>
          <w:p w14:paraId="4A0BAE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6BE241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r>
      <w:tr w14:paraId="102819A7">
        <w:trPr>
          <w:trHeight w:val="463"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57C692A9">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0E5C76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墙面漆</w:t>
            </w:r>
          </w:p>
        </w:tc>
        <w:tc>
          <w:tcPr>
            <w:tcW w:w="5782" w:type="dxa"/>
            <w:tcBorders>
              <w:top w:val="nil"/>
              <w:left w:val="nil"/>
              <w:bottom w:val="single" w:color="000000" w:sz="4" w:space="0"/>
              <w:right w:val="single" w:color="000000" w:sz="4" w:space="0"/>
            </w:tcBorders>
            <w:shd w:val="clear" w:color="auto" w:fill="auto"/>
            <w:vAlign w:val="center"/>
          </w:tcPr>
          <w:p w14:paraId="3B34518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r>
              <w:rPr>
                <w:rStyle w:val="36"/>
                <w:color w:val="auto"/>
                <w:highlight w:val="none"/>
                <w:lang w:val="en-US" w:eastAsia="zh-CN" w:bidi="ar"/>
              </w:rPr>
              <w:t>底漆一遍，面漆两遍（嘉宝莉净味墙漆，防霉性能优异、耐擦洗，具有超强抗碱，环保无味无甲醛）。</w:t>
            </w:r>
          </w:p>
        </w:tc>
        <w:tc>
          <w:tcPr>
            <w:tcW w:w="743" w:type="dxa"/>
            <w:tcBorders>
              <w:top w:val="nil"/>
              <w:left w:val="nil"/>
              <w:bottom w:val="single" w:color="000000" w:sz="4" w:space="0"/>
              <w:right w:val="single" w:color="000000" w:sz="4" w:space="0"/>
            </w:tcBorders>
            <w:shd w:val="clear" w:color="auto" w:fill="auto"/>
            <w:vAlign w:val="center"/>
          </w:tcPr>
          <w:p w14:paraId="69AD04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3BB149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r>
      <w:tr w14:paraId="3BCE057B">
        <w:trPr>
          <w:trHeight w:val="54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4FA28B4">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214B71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大屏包边</w:t>
            </w:r>
          </w:p>
        </w:tc>
        <w:tc>
          <w:tcPr>
            <w:tcW w:w="5782" w:type="dxa"/>
            <w:tcBorders>
              <w:top w:val="nil"/>
              <w:left w:val="nil"/>
              <w:bottom w:val="single" w:color="000000" w:sz="4" w:space="0"/>
              <w:right w:val="single" w:color="000000" w:sz="4" w:space="0"/>
            </w:tcBorders>
            <w:shd w:val="clear" w:color="auto" w:fill="auto"/>
            <w:vAlign w:val="center"/>
          </w:tcPr>
          <w:p w14:paraId="146ECB9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大屏铝型材包边,L形30mm*30mm。</w:t>
            </w:r>
          </w:p>
        </w:tc>
        <w:tc>
          <w:tcPr>
            <w:tcW w:w="743" w:type="dxa"/>
            <w:tcBorders>
              <w:top w:val="nil"/>
              <w:left w:val="nil"/>
              <w:bottom w:val="single" w:color="000000" w:sz="4" w:space="0"/>
              <w:right w:val="single" w:color="000000" w:sz="4" w:space="0"/>
            </w:tcBorders>
            <w:shd w:val="clear" w:color="auto" w:fill="auto"/>
            <w:vAlign w:val="center"/>
          </w:tcPr>
          <w:p w14:paraId="7E3B2A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15" w:type="dxa"/>
            <w:tcBorders>
              <w:top w:val="nil"/>
              <w:left w:val="nil"/>
              <w:bottom w:val="single" w:color="000000" w:sz="4" w:space="0"/>
              <w:right w:val="single" w:color="000000" w:sz="4" w:space="0"/>
            </w:tcBorders>
            <w:shd w:val="clear" w:color="auto" w:fill="auto"/>
            <w:noWrap/>
            <w:vAlign w:val="center"/>
          </w:tcPr>
          <w:p w14:paraId="573390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r>
      <w:tr w14:paraId="708BC936">
        <w:trPr>
          <w:trHeight w:val="61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1BE6DD08">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367AAA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线性灯</w:t>
            </w:r>
          </w:p>
        </w:tc>
        <w:tc>
          <w:tcPr>
            <w:tcW w:w="5782" w:type="dxa"/>
            <w:tcBorders>
              <w:top w:val="nil"/>
              <w:left w:val="nil"/>
              <w:bottom w:val="single" w:color="000000" w:sz="4" w:space="0"/>
              <w:right w:val="single" w:color="000000" w:sz="4" w:space="0"/>
            </w:tcBorders>
            <w:shd w:val="clear" w:color="auto" w:fill="auto"/>
            <w:vAlign w:val="center"/>
          </w:tcPr>
          <w:p w14:paraId="59B9D54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铝型材外壳24V低压线性灯，无频闪，400W24V变压器安装。</w:t>
            </w:r>
          </w:p>
        </w:tc>
        <w:tc>
          <w:tcPr>
            <w:tcW w:w="743" w:type="dxa"/>
            <w:tcBorders>
              <w:top w:val="nil"/>
              <w:left w:val="nil"/>
              <w:bottom w:val="single" w:color="000000" w:sz="4" w:space="0"/>
              <w:right w:val="single" w:color="000000" w:sz="4" w:space="0"/>
            </w:tcBorders>
            <w:shd w:val="clear" w:color="auto" w:fill="auto"/>
            <w:vAlign w:val="center"/>
          </w:tcPr>
          <w:p w14:paraId="7A089B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15" w:type="dxa"/>
            <w:tcBorders>
              <w:top w:val="nil"/>
              <w:left w:val="nil"/>
              <w:bottom w:val="single" w:color="000000" w:sz="4" w:space="0"/>
              <w:right w:val="single" w:color="000000" w:sz="4" w:space="0"/>
            </w:tcBorders>
            <w:shd w:val="clear" w:color="auto" w:fill="auto"/>
            <w:noWrap/>
            <w:vAlign w:val="center"/>
          </w:tcPr>
          <w:p w14:paraId="2FE79C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49A2B247">
        <w:trPr>
          <w:trHeight w:val="76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4E4E0A07">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66C7E8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隐形门制作</w:t>
            </w:r>
          </w:p>
        </w:tc>
        <w:tc>
          <w:tcPr>
            <w:tcW w:w="5782" w:type="dxa"/>
            <w:tcBorders>
              <w:top w:val="nil"/>
              <w:left w:val="nil"/>
              <w:bottom w:val="single" w:color="000000" w:sz="4" w:space="0"/>
              <w:right w:val="single" w:color="000000" w:sz="4" w:space="0"/>
            </w:tcBorders>
            <w:shd w:val="clear" w:color="auto" w:fill="auto"/>
            <w:vAlign w:val="center"/>
          </w:tcPr>
          <w:p w14:paraId="569BD7E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成品木制复合门安装，洞口尺寸860mm*2050mm。</w:t>
            </w:r>
          </w:p>
        </w:tc>
        <w:tc>
          <w:tcPr>
            <w:tcW w:w="743" w:type="dxa"/>
            <w:tcBorders>
              <w:top w:val="nil"/>
              <w:left w:val="nil"/>
              <w:bottom w:val="single" w:color="000000" w:sz="4" w:space="0"/>
              <w:right w:val="single" w:color="000000" w:sz="4" w:space="0"/>
            </w:tcBorders>
            <w:shd w:val="clear" w:color="auto" w:fill="auto"/>
            <w:vAlign w:val="center"/>
          </w:tcPr>
          <w:p w14:paraId="1BAF1B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50C009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A4572E7">
        <w:trPr>
          <w:trHeight w:val="67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2C3087C4">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587371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踢脚线</w:t>
            </w:r>
          </w:p>
        </w:tc>
        <w:tc>
          <w:tcPr>
            <w:tcW w:w="5782" w:type="dxa"/>
            <w:tcBorders>
              <w:top w:val="nil"/>
              <w:left w:val="nil"/>
              <w:bottom w:val="single" w:color="000000" w:sz="4" w:space="0"/>
              <w:right w:val="single" w:color="000000" w:sz="4" w:space="0"/>
            </w:tcBorders>
            <w:shd w:val="clear" w:color="auto" w:fill="auto"/>
            <w:vAlign w:val="center"/>
          </w:tcPr>
          <w:p w14:paraId="641ABEC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木质基层制作，U形80mm*10mm*0.6mm不锈钢踢脚线安装。</w:t>
            </w:r>
          </w:p>
        </w:tc>
        <w:tc>
          <w:tcPr>
            <w:tcW w:w="743" w:type="dxa"/>
            <w:tcBorders>
              <w:top w:val="nil"/>
              <w:left w:val="nil"/>
              <w:bottom w:val="single" w:color="000000" w:sz="4" w:space="0"/>
              <w:right w:val="single" w:color="000000" w:sz="4" w:space="0"/>
            </w:tcBorders>
            <w:shd w:val="clear" w:color="auto" w:fill="auto"/>
            <w:vAlign w:val="center"/>
          </w:tcPr>
          <w:p w14:paraId="3D7863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15" w:type="dxa"/>
            <w:tcBorders>
              <w:top w:val="nil"/>
              <w:left w:val="nil"/>
              <w:bottom w:val="single" w:color="000000" w:sz="4" w:space="0"/>
              <w:right w:val="single" w:color="000000" w:sz="4" w:space="0"/>
            </w:tcBorders>
            <w:shd w:val="clear" w:color="auto" w:fill="auto"/>
            <w:noWrap/>
            <w:vAlign w:val="center"/>
          </w:tcPr>
          <w:p w14:paraId="2D23BA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r>
      <w:tr w14:paraId="2A356EC3">
        <w:trPr>
          <w:trHeight w:val="81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463E688A">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319D51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墙面2（大屏对侧）</w:t>
            </w:r>
          </w:p>
        </w:tc>
        <w:tc>
          <w:tcPr>
            <w:tcW w:w="5782" w:type="dxa"/>
            <w:tcBorders>
              <w:top w:val="nil"/>
              <w:left w:val="nil"/>
              <w:bottom w:val="single" w:color="000000" w:sz="4" w:space="0"/>
              <w:right w:val="single" w:color="000000" w:sz="4" w:space="0"/>
            </w:tcBorders>
            <w:shd w:val="clear" w:color="auto" w:fill="auto"/>
            <w:noWrap/>
            <w:vAlign w:val="center"/>
          </w:tcPr>
          <w:p w14:paraId="6B23C19C">
            <w:pPr>
              <w:jc w:val="both"/>
              <w:rPr>
                <w:rFonts w:hint="eastAsia" w:ascii="仿宋" w:hAnsi="仿宋" w:eastAsia="仿宋" w:cs="仿宋"/>
                <w:i w:val="0"/>
                <w:iCs w:val="0"/>
                <w:color w:val="auto"/>
                <w:sz w:val="24"/>
                <w:szCs w:val="24"/>
                <w:highlight w:val="none"/>
                <w:u w:val="none"/>
              </w:rPr>
            </w:pPr>
          </w:p>
        </w:tc>
        <w:tc>
          <w:tcPr>
            <w:tcW w:w="743" w:type="dxa"/>
            <w:tcBorders>
              <w:top w:val="nil"/>
              <w:left w:val="nil"/>
              <w:bottom w:val="single" w:color="000000" w:sz="4" w:space="0"/>
              <w:right w:val="single" w:color="000000" w:sz="4" w:space="0"/>
            </w:tcBorders>
            <w:shd w:val="clear" w:color="auto" w:fill="auto"/>
            <w:noWrap/>
            <w:vAlign w:val="center"/>
          </w:tcPr>
          <w:p w14:paraId="4E8641C7">
            <w:pPr>
              <w:jc w:val="center"/>
              <w:rPr>
                <w:rFonts w:hint="eastAsia" w:ascii="仿宋" w:hAnsi="仿宋" w:eastAsia="仿宋" w:cs="仿宋"/>
                <w:i w:val="0"/>
                <w:iCs w:val="0"/>
                <w:color w:val="auto"/>
                <w:sz w:val="24"/>
                <w:szCs w:val="24"/>
                <w:highlight w:val="none"/>
                <w:u w:val="none"/>
              </w:rPr>
            </w:pPr>
          </w:p>
        </w:tc>
        <w:tc>
          <w:tcPr>
            <w:tcW w:w="715" w:type="dxa"/>
            <w:tcBorders>
              <w:top w:val="nil"/>
              <w:left w:val="nil"/>
              <w:bottom w:val="single" w:color="000000" w:sz="4" w:space="0"/>
              <w:right w:val="single" w:color="000000" w:sz="4" w:space="0"/>
            </w:tcBorders>
            <w:shd w:val="clear" w:color="auto" w:fill="auto"/>
            <w:noWrap/>
            <w:vAlign w:val="center"/>
          </w:tcPr>
          <w:p w14:paraId="7E2ECFFD">
            <w:pPr>
              <w:jc w:val="center"/>
              <w:rPr>
                <w:rFonts w:hint="eastAsia" w:ascii="仿宋" w:hAnsi="仿宋" w:eastAsia="仿宋" w:cs="仿宋"/>
                <w:i w:val="0"/>
                <w:iCs w:val="0"/>
                <w:color w:val="auto"/>
                <w:sz w:val="24"/>
                <w:szCs w:val="24"/>
                <w:highlight w:val="none"/>
                <w:u w:val="none"/>
              </w:rPr>
            </w:pPr>
          </w:p>
        </w:tc>
      </w:tr>
      <w:tr w14:paraId="77F95EB9">
        <w:trPr>
          <w:trHeight w:val="91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15E5D5C2">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30C9F8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造型背景墙基础</w:t>
            </w:r>
          </w:p>
        </w:tc>
        <w:tc>
          <w:tcPr>
            <w:tcW w:w="5782" w:type="dxa"/>
            <w:tcBorders>
              <w:top w:val="nil"/>
              <w:left w:val="nil"/>
              <w:bottom w:val="single" w:color="000000" w:sz="4" w:space="0"/>
              <w:right w:val="single" w:color="000000" w:sz="4" w:space="0"/>
            </w:tcBorders>
            <w:shd w:val="clear" w:color="auto" w:fill="auto"/>
            <w:vAlign w:val="center"/>
          </w:tcPr>
          <w:p w14:paraId="6781AA0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75型隔墙轻钢龙骨骨架，15mm防火阻燃板基层，9.5mm石膏板造型饰面。</w:t>
            </w:r>
          </w:p>
        </w:tc>
        <w:tc>
          <w:tcPr>
            <w:tcW w:w="743" w:type="dxa"/>
            <w:tcBorders>
              <w:top w:val="nil"/>
              <w:left w:val="nil"/>
              <w:bottom w:val="single" w:color="000000" w:sz="4" w:space="0"/>
              <w:right w:val="single" w:color="000000" w:sz="4" w:space="0"/>
            </w:tcBorders>
            <w:shd w:val="clear" w:color="auto" w:fill="auto"/>
            <w:vAlign w:val="center"/>
          </w:tcPr>
          <w:p w14:paraId="4AB46B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529938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r>
      <w:tr w14:paraId="06BAE5DA">
        <w:trPr>
          <w:trHeight w:val="84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0424E9B">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5A3096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造型背景墙</w:t>
            </w:r>
          </w:p>
        </w:tc>
        <w:tc>
          <w:tcPr>
            <w:tcW w:w="5782" w:type="dxa"/>
            <w:tcBorders>
              <w:top w:val="nil"/>
              <w:left w:val="nil"/>
              <w:bottom w:val="single" w:color="000000" w:sz="4" w:space="0"/>
              <w:right w:val="single" w:color="000000" w:sz="4" w:space="0"/>
            </w:tcBorders>
            <w:shd w:val="clear" w:color="auto" w:fill="auto"/>
            <w:vAlign w:val="center"/>
          </w:tcPr>
          <w:p w14:paraId="62EF93F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20mm*30mm木龙骨骨架，15mm欧松板基层，9.5mm石膏板面层。</w:t>
            </w:r>
          </w:p>
        </w:tc>
        <w:tc>
          <w:tcPr>
            <w:tcW w:w="743" w:type="dxa"/>
            <w:tcBorders>
              <w:top w:val="nil"/>
              <w:left w:val="nil"/>
              <w:bottom w:val="single" w:color="000000" w:sz="4" w:space="0"/>
              <w:right w:val="single" w:color="000000" w:sz="4" w:space="0"/>
            </w:tcBorders>
            <w:shd w:val="clear" w:color="auto" w:fill="auto"/>
            <w:vAlign w:val="center"/>
          </w:tcPr>
          <w:p w14:paraId="615E82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396359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r>
      <w:tr w14:paraId="169D2913">
        <w:trPr>
          <w:trHeight w:val="76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20F3A3D9">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4019CA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装饰板饰面</w:t>
            </w:r>
          </w:p>
        </w:tc>
        <w:tc>
          <w:tcPr>
            <w:tcW w:w="5782" w:type="dxa"/>
            <w:tcBorders>
              <w:top w:val="nil"/>
              <w:left w:val="nil"/>
              <w:bottom w:val="single" w:color="000000" w:sz="4" w:space="0"/>
              <w:right w:val="single" w:color="000000" w:sz="4" w:space="0"/>
            </w:tcBorders>
            <w:shd w:val="clear" w:color="auto" w:fill="auto"/>
            <w:vAlign w:val="center"/>
          </w:tcPr>
          <w:p w14:paraId="66723E6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防撞型8mm木饰面板安装。</w:t>
            </w:r>
          </w:p>
        </w:tc>
        <w:tc>
          <w:tcPr>
            <w:tcW w:w="743" w:type="dxa"/>
            <w:tcBorders>
              <w:top w:val="nil"/>
              <w:left w:val="nil"/>
              <w:bottom w:val="single" w:color="000000" w:sz="4" w:space="0"/>
              <w:right w:val="single" w:color="000000" w:sz="4" w:space="0"/>
            </w:tcBorders>
            <w:shd w:val="clear" w:color="auto" w:fill="auto"/>
            <w:vAlign w:val="center"/>
          </w:tcPr>
          <w:p w14:paraId="43EFED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16282F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r>
      <w:tr w14:paraId="4E7D22C0">
        <w:trPr>
          <w:trHeight w:val="47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4F0DBC8F">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6BBB54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装饰条</w:t>
            </w:r>
          </w:p>
        </w:tc>
        <w:tc>
          <w:tcPr>
            <w:tcW w:w="5782" w:type="dxa"/>
            <w:tcBorders>
              <w:top w:val="nil"/>
              <w:left w:val="nil"/>
              <w:bottom w:val="single" w:color="000000" w:sz="4" w:space="0"/>
              <w:right w:val="single" w:color="000000" w:sz="4" w:space="0"/>
            </w:tcBorders>
            <w:shd w:val="clear" w:color="auto" w:fill="auto"/>
            <w:vAlign w:val="center"/>
          </w:tcPr>
          <w:p w14:paraId="13296F8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异形扣条安装。</w:t>
            </w:r>
          </w:p>
        </w:tc>
        <w:tc>
          <w:tcPr>
            <w:tcW w:w="743" w:type="dxa"/>
            <w:tcBorders>
              <w:top w:val="nil"/>
              <w:left w:val="nil"/>
              <w:bottom w:val="single" w:color="000000" w:sz="4" w:space="0"/>
              <w:right w:val="single" w:color="000000" w:sz="4" w:space="0"/>
            </w:tcBorders>
            <w:shd w:val="clear" w:color="auto" w:fill="auto"/>
            <w:vAlign w:val="center"/>
          </w:tcPr>
          <w:p w14:paraId="5FFD75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15" w:type="dxa"/>
            <w:tcBorders>
              <w:top w:val="nil"/>
              <w:left w:val="nil"/>
              <w:bottom w:val="single" w:color="000000" w:sz="4" w:space="0"/>
              <w:right w:val="single" w:color="000000" w:sz="4" w:space="0"/>
            </w:tcBorders>
            <w:shd w:val="clear" w:color="auto" w:fill="auto"/>
            <w:noWrap/>
            <w:vAlign w:val="center"/>
          </w:tcPr>
          <w:p w14:paraId="3CD33A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52F0D04E">
        <w:trPr>
          <w:trHeight w:val="71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1003D336">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569959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字体制作安装</w:t>
            </w:r>
          </w:p>
        </w:tc>
        <w:tc>
          <w:tcPr>
            <w:tcW w:w="5782" w:type="dxa"/>
            <w:tcBorders>
              <w:top w:val="nil"/>
              <w:left w:val="nil"/>
              <w:bottom w:val="single" w:color="000000" w:sz="4" w:space="0"/>
              <w:right w:val="single" w:color="000000" w:sz="4" w:space="0"/>
            </w:tcBorders>
            <w:shd w:val="clear" w:color="auto" w:fill="auto"/>
            <w:vAlign w:val="center"/>
          </w:tcPr>
          <w:p w14:paraId="217D872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12mm+2mm水晶字定制安装。</w:t>
            </w:r>
          </w:p>
        </w:tc>
        <w:tc>
          <w:tcPr>
            <w:tcW w:w="743" w:type="dxa"/>
            <w:tcBorders>
              <w:top w:val="nil"/>
              <w:left w:val="nil"/>
              <w:bottom w:val="single" w:color="000000" w:sz="4" w:space="0"/>
              <w:right w:val="single" w:color="000000" w:sz="4" w:space="0"/>
            </w:tcBorders>
            <w:shd w:val="clear" w:color="auto" w:fill="auto"/>
            <w:vAlign w:val="center"/>
          </w:tcPr>
          <w:p w14:paraId="45399E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715" w:type="dxa"/>
            <w:tcBorders>
              <w:top w:val="nil"/>
              <w:left w:val="nil"/>
              <w:bottom w:val="single" w:color="000000" w:sz="4" w:space="0"/>
              <w:right w:val="single" w:color="000000" w:sz="4" w:space="0"/>
            </w:tcBorders>
            <w:shd w:val="clear" w:color="auto" w:fill="auto"/>
            <w:noWrap/>
            <w:vAlign w:val="center"/>
          </w:tcPr>
          <w:p w14:paraId="40D6A4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B2C3B3A">
        <w:trPr>
          <w:trHeight w:val="71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26544019">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7D310D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异形线性灯</w:t>
            </w:r>
          </w:p>
        </w:tc>
        <w:tc>
          <w:tcPr>
            <w:tcW w:w="5782" w:type="dxa"/>
            <w:tcBorders>
              <w:top w:val="nil"/>
              <w:left w:val="nil"/>
              <w:bottom w:val="single" w:color="000000" w:sz="4" w:space="0"/>
              <w:right w:val="single" w:color="000000" w:sz="4" w:space="0"/>
            </w:tcBorders>
            <w:shd w:val="clear" w:color="auto" w:fill="auto"/>
            <w:vAlign w:val="center"/>
          </w:tcPr>
          <w:p w14:paraId="75F9697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铝型材外壳24V低压线性灯，无频闪，400W24V变压器安装。</w:t>
            </w:r>
          </w:p>
        </w:tc>
        <w:tc>
          <w:tcPr>
            <w:tcW w:w="743" w:type="dxa"/>
            <w:tcBorders>
              <w:top w:val="nil"/>
              <w:left w:val="nil"/>
              <w:bottom w:val="single" w:color="000000" w:sz="4" w:space="0"/>
              <w:right w:val="single" w:color="000000" w:sz="4" w:space="0"/>
            </w:tcBorders>
            <w:shd w:val="clear" w:color="auto" w:fill="auto"/>
            <w:vAlign w:val="center"/>
          </w:tcPr>
          <w:p w14:paraId="7DE645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15" w:type="dxa"/>
            <w:tcBorders>
              <w:top w:val="nil"/>
              <w:left w:val="nil"/>
              <w:bottom w:val="single" w:color="000000" w:sz="4" w:space="0"/>
              <w:right w:val="single" w:color="000000" w:sz="4" w:space="0"/>
            </w:tcBorders>
            <w:shd w:val="clear" w:color="auto" w:fill="auto"/>
            <w:noWrap/>
            <w:vAlign w:val="center"/>
          </w:tcPr>
          <w:p w14:paraId="2B4AA5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07572E58">
        <w:trPr>
          <w:trHeight w:val="57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388C7C3E">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0ECBD4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入户门</w:t>
            </w:r>
          </w:p>
        </w:tc>
        <w:tc>
          <w:tcPr>
            <w:tcW w:w="5782" w:type="dxa"/>
            <w:tcBorders>
              <w:top w:val="nil"/>
              <w:left w:val="nil"/>
              <w:bottom w:val="single" w:color="000000" w:sz="4" w:space="0"/>
              <w:right w:val="single" w:color="000000" w:sz="4" w:space="0"/>
            </w:tcBorders>
            <w:shd w:val="clear" w:color="auto" w:fill="auto"/>
            <w:vAlign w:val="center"/>
          </w:tcPr>
          <w:p w14:paraId="0234877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实木复合门安装,双开，洞口尺寸1560mm*2050mm*240mm。</w:t>
            </w:r>
          </w:p>
        </w:tc>
        <w:tc>
          <w:tcPr>
            <w:tcW w:w="743" w:type="dxa"/>
            <w:tcBorders>
              <w:top w:val="nil"/>
              <w:left w:val="nil"/>
              <w:bottom w:val="single" w:color="000000" w:sz="4" w:space="0"/>
              <w:right w:val="single" w:color="000000" w:sz="4" w:space="0"/>
            </w:tcBorders>
            <w:shd w:val="clear" w:color="auto" w:fill="auto"/>
            <w:vAlign w:val="center"/>
          </w:tcPr>
          <w:p w14:paraId="3C0ED6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0F9B1F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18EC648B">
        <w:trPr>
          <w:trHeight w:val="61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6CC6F8B7">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5C858A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踢脚线</w:t>
            </w:r>
          </w:p>
        </w:tc>
        <w:tc>
          <w:tcPr>
            <w:tcW w:w="5782" w:type="dxa"/>
            <w:tcBorders>
              <w:top w:val="nil"/>
              <w:left w:val="nil"/>
              <w:bottom w:val="single" w:color="000000" w:sz="4" w:space="0"/>
              <w:right w:val="single" w:color="000000" w:sz="4" w:space="0"/>
            </w:tcBorders>
            <w:shd w:val="clear" w:color="auto" w:fill="auto"/>
            <w:vAlign w:val="center"/>
          </w:tcPr>
          <w:p w14:paraId="73AD9F7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木质基层制作，U形80mm*10mm*0.6mm不锈钢踢脚线安装。</w:t>
            </w:r>
          </w:p>
        </w:tc>
        <w:tc>
          <w:tcPr>
            <w:tcW w:w="743" w:type="dxa"/>
            <w:tcBorders>
              <w:top w:val="nil"/>
              <w:left w:val="nil"/>
              <w:bottom w:val="single" w:color="000000" w:sz="4" w:space="0"/>
              <w:right w:val="single" w:color="000000" w:sz="4" w:space="0"/>
            </w:tcBorders>
            <w:shd w:val="clear" w:color="auto" w:fill="auto"/>
            <w:vAlign w:val="center"/>
          </w:tcPr>
          <w:p w14:paraId="4B8D9A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15" w:type="dxa"/>
            <w:tcBorders>
              <w:top w:val="nil"/>
              <w:left w:val="nil"/>
              <w:bottom w:val="single" w:color="000000" w:sz="4" w:space="0"/>
              <w:right w:val="single" w:color="000000" w:sz="4" w:space="0"/>
            </w:tcBorders>
            <w:shd w:val="clear" w:color="auto" w:fill="auto"/>
            <w:noWrap/>
            <w:vAlign w:val="center"/>
          </w:tcPr>
          <w:p w14:paraId="72DEC5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1E982295">
        <w:trPr>
          <w:trHeight w:val="6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12B595E4">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393716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墙面3（进门左右侧）</w:t>
            </w:r>
          </w:p>
        </w:tc>
        <w:tc>
          <w:tcPr>
            <w:tcW w:w="5782" w:type="dxa"/>
            <w:tcBorders>
              <w:top w:val="nil"/>
              <w:left w:val="nil"/>
              <w:bottom w:val="single" w:color="000000" w:sz="4" w:space="0"/>
              <w:right w:val="single" w:color="000000" w:sz="4" w:space="0"/>
            </w:tcBorders>
            <w:shd w:val="clear" w:color="auto" w:fill="auto"/>
            <w:noWrap/>
            <w:vAlign w:val="center"/>
          </w:tcPr>
          <w:p w14:paraId="621A12F1">
            <w:pPr>
              <w:jc w:val="both"/>
              <w:rPr>
                <w:rFonts w:hint="eastAsia" w:ascii="仿宋" w:hAnsi="仿宋" w:eastAsia="仿宋" w:cs="仿宋"/>
                <w:i w:val="0"/>
                <w:iCs w:val="0"/>
                <w:color w:val="auto"/>
                <w:sz w:val="24"/>
                <w:szCs w:val="24"/>
                <w:highlight w:val="none"/>
                <w:u w:val="none"/>
              </w:rPr>
            </w:pPr>
          </w:p>
        </w:tc>
        <w:tc>
          <w:tcPr>
            <w:tcW w:w="743" w:type="dxa"/>
            <w:tcBorders>
              <w:top w:val="nil"/>
              <w:left w:val="nil"/>
              <w:bottom w:val="single" w:color="000000" w:sz="4" w:space="0"/>
              <w:right w:val="single" w:color="000000" w:sz="4" w:space="0"/>
            </w:tcBorders>
            <w:shd w:val="clear" w:color="auto" w:fill="auto"/>
            <w:noWrap/>
            <w:vAlign w:val="center"/>
          </w:tcPr>
          <w:p w14:paraId="1D1CF6B1">
            <w:pPr>
              <w:jc w:val="center"/>
              <w:rPr>
                <w:rFonts w:hint="eastAsia" w:ascii="仿宋" w:hAnsi="仿宋" w:eastAsia="仿宋" w:cs="仿宋"/>
                <w:i w:val="0"/>
                <w:iCs w:val="0"/>
                <w:color w:val="auto"/>
                <w:sz w:val="24"/>
                <w:szCs w:val="24"/>
                <w:highlight w:val="none"/>
                <w:u w:val="none"/>
              </w:rPr>
            </w:pPr>
          </w:p>
        </w:tc>
        <w:tc>
          <w:tcPr>
            <w:tcW w:w="715" w:type="dxa"/>
            <w:tcBorders>
              <w:top w:val="nil"/>
              <w:left w:val="nil"/>
              <w:bottom w:val="single" w:color="000000" w:sz="4" w:space="0"/>
              <w:right w:val="single" w:color="000000" w:sz="4" w:space="0"/>
            </w:tcBorders>
            <w:shd w:val="clear" w:color="auto" w:fill="auto"/>
            <w:noWrap/>
            <w:vAlign w:val="center"/>
          </w:tcPr>
          <w:p w14:paraId="354155C7">
            <w:pPr>
              <w:jc w:val="center"/>
              <w:rPr>
                <w:rFonts w:hint="eastAsia" w:ascii="仿宋" w:hAnsi="仿宋" w:eastAsia="仿宋" w:cs="仿宋"/>
                <w:i w:val="0"/>
                <w:iCs w:val="0"/>
                <w:color w:val="auto"/>
                <w:sz w:val="24"/>
                <w:szCs w:val="24"/>
                <w:highlight w:val="none"/>
                <w:u w:val="none"/>
              </w:rPr>
            </w:pPr>
          </w:p>
        </w:tc>
      </w:tr>
      <w:tr w14:paraId="69E024B6">
        <w:trPr>
          <w:trHeight w:val="61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B1C5FB4">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7EB7B3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墙面基层</w:t>
            </w:r>
          </w:p>
        </w:tc>
        <w:tc>
          <w:tcPr>
            <w:tcW w:w="5782" w:type="dxa"/>
            <w:tcBorders>
              <w:top w:val="nil"/>
              <w:left w:val="nil"/>
              <w:bottom w:val="single" w:color="000000" w:sz="4" w:space="0"/>
              <w:right w:val="single" w:color="000000" w:sz="4" w:space="0"/>
            </w:tcBorders>
            <w:shd w:val="clear" w:color="auto" w:fill="auto"/>
            <w:vAlign w:val="center"/>
          </w:tcPr>
          <w:p w14:paraId="23E9F10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75型隔墙轻钢龙骨骨架，15mm防火阻燃板基层，9.5mm石膏板造型饰面。</w:t>
            </w:r>
          </w:p>
        </w:tc>
        <w:tc>
          <w:tcPr>
            <w:tcW w:w="743" w:type="dxa"/>
            <w:tcBorders>
              <w:top w:val="nil"/>
              <w:left w:val="nil"/>
              <w:bottom w:val="single" w:color="000000" w:sz="4" w:space="0"/>
              <w:right w:val="single" w:color="000000" w:sz="4" w:space="0"/>
            </w:tcBorders>
            <w:shd w:val="clear" w:color="auto" w:fill="auto"/>
            <w:vAlign w:val="center"/>
          </w:tcPr>
          <w:p w14:paraId="57025E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469BF6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r>
      <w:tr w14:paraId="60C08BE6">
        <w:trPr>
          <w:trHeight w:val="36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20F78A8C">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450386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墙面饰面</w:t>
            </w:r>
          </w:p>
        </w:tc>
        <w:tc>
          <w:tcPr>
            <w:tcW w:w="5782" w:type="dxa"/>
            <w:tcBorders>
              <w:top w:val="nil"/>
              <w:left w:val="nil"/>
              <w:bottom w:val="single" w:color="000000" w:sz="4" w:space="0"/>
              <w:right w:val="single" w:color="000000" w:sz="4" w:space="0"/>
            </w:tcBorders>
            <w:shd w:val="clear" w:color="auto" w:fill="auto"/>
            <w:vAlign w:val="center"/>
          </w:tcPr>
          <w:p w14:paraId="6A6627E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防撞型8mm木饰面板安装。</w:t>
            </w:r>
          </w:p>
        </w:tc>
        <w:tc>
          <w:tcPr>
            <w:tcW w:w="743" w:type="dxa"/>
            <w:tcBorders>
              <w:top w:val="nil"/>
              <w:left w:val="nil"/>
              <w:bottom w:val="single" w:color="000000" w:sz="4" w:space="0"/>
              <w:right w:val="single" w:color="000000" w:sz="4" w:space="0"/>
            </w:tcBorders>
            <w:shd w:val="clear" w:color="auto" w:fill="auto"/>
            <w:vAlign w:val="center"/>
          </w:tcPr>
          <w:p w14:paraId="09EEB7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5F0C45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r>
      <w:tr w14:paraId="498D520F">
        <w:trPr>
          <w:trHeight w:val="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33FF2C85">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46CBFC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开关插座</w:t>
            </w:r>
          </w:p>
        </w:tc>
        <w:tc>
          <w:tcPr>
            <w:tcW w:w="5782" w:type="dxa"/>
            <w:tcBorders>
              <w:top w:val="nil"/>
              <w:left w:val="nil"/>
              <w:bottom w:val="single" w:color="000000" w:sz="4" w:space="0"/>
              <w:right w:val="single" w:color="000000" w:sz="4" w:space="0"/>
            </w:tcBorders>
            <w:shd w:val="clear" w:color="auto" w:fill="auto"/>
            <w:vAlign w:val="center"/>
          </w:tcPr>
          <w:p w14:paraId="12A761A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86型开关插座面板，暗装。</w:t>
            </w:r>
          </w:p>
        </w:tc>
        <w:tc>
          <w:tcPr>
            <w:tcW w:w="743" w:type="dxa"/>
            <w:tcBorders>
              <w:top w:val="nil"/>
              <w:left w:val="nil"/>
              <w:bottom w:val="single" w:color="000000" w:sz="4" w:space="0"/>
              <w:right w:val="single" w:color="000000" w:sz="4" w:space="0"/>
            </w:tcBorders>
            <w:shd w:val="clear" w:color="auto" w:fill="auto"/>
            <w:vAlign w:val="center"/>
          </w:tcPr>
          <w:p w14:paraId="2F7F87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3D9491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5DE81107">
        <w:trPr>
          <w:trHeight w:val="49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6F0A1CC">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7D4F67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窗帘</w:t>
            </w:r>
          </w:p>
        </w:tc>
        <w:tc>
          <w:tcPr>
            <w:tcW w:w="5782" w:type="dxa"/>
            <w:tcBorders>
              <w:top w:val="nil"/>
              <w:left w:val="nil"/>
              <w:bottom w:val="single" w:color="000000" w:sz="4" w:space="0"/>
              <w:right w:val="single" w:color="000000" w:sz="4" w:space="0"/>
            </w:tcBorders>
            <w:shd w:val="clear" w:color="auto" w:fill="auto"/>
            <w:vAlign w:val="center"/>
          </w:tcPr>
          <w:p w14:paraId="0F508C5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手动窗帘，棉麻布料遮阳帘，含安装及各类安装所需五金。</w:t>
            </w:r>
          </w:p>
        </w:tc>
        <w:tc>
          <w:tcPr>
            <w:tcW w:w="743" w:type="dxa"/>
            <w:tcBorders>
              <w:top w:val="nil"/>
              <w:left w:val="nil"/>
              <w:bottom w:val="single" w:color="000000" w:sz="4" w:space="0"/>
              <w:right w:val="single" w:color="000000" w:sz="4" w:space="0"/>
            </w:tcBorders>
            <w:shd w:val="clear" w:color="auto" w:fill="auto"/>
            <w:vAlign w:val="center"/>
          </w:tcPr>
          <w:p w14:paraId="26067D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noWrap/>
            <w:vAlign w:val="center"/>
          </w:tcPr>
          <w:p w14:paraId="42F1E0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7B203DB1">
        <w:trPr>
          <w:trHeight w:val="48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4A7F14E8">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314692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包窗套</w:t>
            </w:r>
          </w:p>
        </w:tc>
        <w:tc>
          <w:tcPr>
            <w:tcW w:w="5782" w:type="dxa"/>
            <w:tcBorders>
              <w:top w:val="nil"/>
              <w:left w:val="nil"/>
              <w:bottom w:val="single" w:color="000000" w:sz="4" w:space="0"/>
              <w:right w:val="single" w:color="000000" w:sz="4" w:space="0"/>
            </w:tcBorders>
            <w:shd w:val="clear" w:color="auto" w:fill="auto"/>
            <w:vAlign w:val="center"/>
          </w:tcPr>
          <w:p w14:paraId="7430B8D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12mm欧松板打底，同色木饰面板窗套安装，</w:t>
            </w:r>
          </w:p>
        </w:tc>
        <w:tc>
          <w:tcPr>
            <w:tcW w:w="743" w:type="dxa"/>
            <w:tcBorders>
              <w:top w:val="nil"/>
              <w:left w:val="nil"/>
              <w:bottom w:val="single" w:color="000000" w:sz="4" w:space="0"/>
              <w:right w:val="single" w:color="000000" w:sz="4" w:space="0"/>
            </w:tcBorders>
            <w:shd w:val="clear" w:color="auto" w:fill="auto"/>
            <w:vAlign w:val="center"/>
          </w:tcPr>
          <w:p w14:paraId="414AB7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15" w:type="dxa"/>
            <w:tcBorders>
              <w:top w:val="nil"/>
              <w:left w:val="nil"/>
              <w:bottom w:val="single" w:color="000000" w:sz="4" w:space="0"/>
              <w:right w:val="single" w:color="000000" w:sz="4" w:space="0"/>
            </w:tcBorders>
            <w:shd w:val="clear" w:color="auto" w:fill="auto"/>
            <w:noWrap/>
            <w:vAlign w:val="center"/>
          </w:tcPr>
          <w:p w14:paraId="3913F5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r>
      <w:tr w14:paraId="1A42B667">
        <w:trPr>
          <w:trHeight w:val="48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4CB6AF9A">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1542EB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窗台石</w:t>
            </w:r>
          </w:p>
        </w:tc>
        <w:tc>
          <w:tcPr>
            <w:tcW w:w="5782" w:type="dxa"/>
            <w:tcBorders>
              <w:top w:val="nil"/>
              <w:left w:val="nil"/>
              <w:bottom w:val="single" w:color="000000" w:sz="4" w:space="0"/>
              <w:right w:val="single" w:color="000000" w:sz="4" w:space="0"/>
            </w:tcBorders>
            <w:shd w:val="clear" w:color="auto" w:fill="auto"/>
            <w:vAlign w:val="center"/>
          </w:tcPr>
          <w:p w14:paraId="62C8CF1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15mm厚石材窗台面，宽度150mm。</w:t>
            </w:r>
          </w:p>
        </w:tc>
        <w:tc>
          <w:tcPr>
            <w:tcW w:w="743" w:type="dxa"/>
            <w:tcBorders>
              <w:top w:val="nil"/>
              <w:left w:val="nil"/>
              <w:bottom w:val="single" w:color="000000" w:sz="4" w:space="0"/>
              <w:right w:val="single" w:color="000000" w:sz="4" w:space="0"/>
            </w:tcBorders>
            <w:shd w:val="clear" w:color="auto" w:fill="auto"/>
            <w:vAlign w:val="center"/>
          </w:tcPr>
          <w:p w14:paraId="0150C4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15" w:type="dxa"/>
            <w:tcBorders>
              <w:top w:val="nil"/>
              <w:left w:val="nil"/>
              <w:bottom w:val="single" w:color="000000" w:sz="4" w:space="0"/>
              <w:right w:val="single" w:color="000000" w:sz="4" w:space="0"/>
            </w:tcBorders>
            <w:shd w:val="clear" w:color="auto" w:fill="auto"/>
            <w:noWrap/>
            <w:vAlign w:val="center"/>
          </w:tcPr>
          <w:p w14:paraId="367A71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r>
      <w:tr w14:paraId="2F77D5DC">
        <w:trPr>
          <w:trHeight w:val="55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0354F262">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5E29CF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线性灯</w:t>
            </w:r>
          </w:p>
        </w:tc>
        <w:tc>
          <w:tcPr>
            <w:tcW w:w="5782" w:type="dxa"/>
            <w:tcBorders>
              <w:top w:val="nil"/>
              <w:left w:val="nil"/>
              <w:bottom w:val="single" w:color="000000" w:sz="4" w:space="0"/>
              <w:right w:val="single" w:color="000000" w:sz="4" w:space="0"/>
            </w:tcBorders>
            <w:shd w:val="clear" w:color="auto" w:fill="auto"/>
            <w:vAlign w:val="center"/>
          </w:tcPr>
          <w:p w14:paraId="7747243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铝型材外壳24V低压线性灯，无频闪，400W24V变压器安装。</w:t>
            </w:r>
          </w:p>
        </w:tc>
        <w:tc>
          <w:tcPr>
            <w:tcW w:w="743" w:type="dxa"/>
            <w:tcBorders>
              <w:top w:val="nil"/>
              <w:left w:val="nil"/>
              <w:bottom w:val="single" w:color="000000" w:sz="4" w:space="0"/>
              <w:right w:val="single" w:color="000000" w:sz="4" w:space="0"/>
            </w:tcBorders>
            <w:shd w:val="clear" w:color="auto" w:fill="auto"/>
            <w:vAlign w:val="center"/>
          </w:tcPr>
          <w:p w14:paraId="65258D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15" w:type="dxa"/>
            <w:tcBorders>
              <w:top w:val="nil"/>
              <w:left w:val="nil"/>
              <w:bottom w:val="single" w:color="000000" w:sz="4" w:space="0"/>
              <w:right w:val="single" w:color="000000" w:sz="4" w:space="0"/>
            </w:tcBorders>
            <w:shd w:val="clear" w:color="auto" w:fill="auto"/>
            <w:noWrap/>
            <w:vAlign w:val="center"/>
          </w:tcPr>
          <w:p w14:paraId="24CE84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1BDCD92E">
        <w:trPr>
          <w:trHeight w:val="58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60388893">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765A6C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踢脚线</w:t>
            </w:r>
          </w:p>
        </w:tc>
        <w:tc>
          <w:tcPr>
            <w:tcW w:w="5782" w:type="dxa"/>
            <w:tcBorders>
              <w:top w:val="nil"/>
              <w:left w:val="nil"/>
              <w:bottom w:val="single" w:color="000000" w:sz="4" w:space="0"/>
              <w:right w:val="single" w:color="000000" w:sz="4" w:space="0"/>
            </w:tcBorders>
            <w:shd w:val="clear" w:color="auto" w:fill="auto"/>
            <w:vAlign w:val="center"/>
          </w:tcPr>
          <w:p w14:paraId="359328A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木质基层制作，U形80mm*10mm*0.6mm不锈钢踢脚线安装。</w:t>
            </w:r>
          </w:p>
        </w:tc>
        <w:tc>
          <w:tcPr>
            <w:tcW w:w="743" w:type="dxa"/>
            <w:tcBorders>
              <w:top w:val="nil"/>
              <w:left w:val="nil"/>
              <w:bottom w:val="single" w:color="000000" w:sz="4" w:space="0"/>
              <w:right w:val="single" w:color="000000" w:sz="4" w:space="0"/>
            </w:tcBorders>
            <w:shd w:val="clear" w:color="auto" w:fill="auto"/>
            <w:vAlign w:val="center"/>
          </w:tcPr>
          <w:p w14:paraId="707386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m</w:t>
            </w:r>
          </w:p>
        </w:tc>
        <w:tc>
          <w:tcPr>
            <w:tcW w:w="715" w:type="dxa"/>
            <w:tcBorders>
              <w:top w:val="nil"/>
              <w:left w:val="nil"/>
              <w:bottom w:val="single" w:color="000000" w:sz="4" w:space="0"/>
              <w:right w:val="single" w:color="000000" w:sz="4" w:space="0"/>
            </w:tcBorders>
            <w:shd w:val="clear" w:color="auto" w:fill="auto"/>
            <w:noWrap/>
            <w:vAlign w:val="center"/>
          </w:tcPr>
          <w:p w14:paraId="51E89E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r>
      <w:tr w14:paraId="5CC95431">
        <w:trPr>
          <w:trHeight w:val="41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64DE8AC2">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6C8553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地面拆除</w:t>
            </w:r>
          </w:p>
        </w:tc>
        <w:tc>
          <w:tcPr>
            <w:tcW w:w="5782" w:type="dxa"/>
            <w:tcBorders>
              <w:top w:val="nil"/>
              <w:left w:val="nil"/>
              <w:bottom w:val="single" w:color="000000" w:sz="4" w:space="0"/>
              <w:right w:val="single" w:color="000000" w:sz="4" w:space="0"/>
            </w:tcBorders>
            <w:shd w:val="clear" w:color="auto" w:fill="auto"/>
            <w:noWrap/>
            <w:vAlign w:val="center"/>
          </w:tcPr>
          <w:p w14:paraId="058B7A59">
            <w:pPr>
              <w:jc w:val="both"/>
              <w:rPr>
                <w:rFonts w:hint="eastAsia" w:ascii="仿宋" w:hAnsi="仿宋" w:eastAsia="仿宋" w:cs="仿宋"/>
                <w:i w:val="0"/>
                <w:iCs w:val="0"/>
                <w:color w:val="auto"/>
                <w:sz w:val="24"/>
                <w:szCs w:val="24"/>
                <w:highlight w:val="none"/>
                <w:u w:val="none"/>
              </w:rPr>
            </w:pPr>
          </w:p>
        </w:tc>
        <w:tc>
          <w:tcPr>
            <w:tcW w:w="743" w:type="dxa"/>
            <w:tcBorders>
              <w:top w:val="nil"/>
              <w:left w:val="nil"/>
              <w:bottom w:val="single" w:color="000000" w:sz="4" w:space="0"/>
              <w:right w:val="single" w:color="000000" w:sz="4" w:space="0"/>
            </w:tcBorders>
            <w:shd w:val="clear" w:color="auto" w:fill="auto"/>
            <w:noWrap/>
            <w:vAlign w:val="center"/>
          </w:tcPr>
          <w:p w14:paraId="50CF63AC">
            <w:pPr>
              <w:jc w:val="center"/>
              <w:rPr>
                <w:rFonts w:hint="eastAsia" w:ascii="仿宋" w:hAnsi="仿宋" w:eastAsia="仿宋" w:cs="仿宋"/>
                <w:i w:val="0"/>
                <w:iCs w:val="0"/>
                <w:color w:val="auto"/>
                <w:sz w:val="24"/>
                <w:szCs w:val="24"/>
                <w:highlight w:val="none"/>
                <w:u w:val="none"/>
              </w:rPr>
            </w:pPr>
          </w:p>
        </w:tc>
        <w:tc>
          <w:tcPr>
            <w:tcW w:w="715" w:type="dxa"/>
            <w:tcBorders>
              <w:top w:val="nil"/>
              <w:left w:val="nil"/>
              <w:bottom w:val="single" w:color="000000" w:sz="4" w:space="0"/>
              <w:right w:val="single" w:color="000000" w:sz="4" w:space="0"/>
            </w:tcBorders>
            <w:shd w:val="clear" w:color="auto" w:fill="auto"/>
            <w:noWrap/>
            <w:vAlign w:val="center"/>
          </w:tcPr>
          <w:p w14:paraId="093B5F59">
            <w:pPr>
              <w:jc w:val="center"/>
              <w:rPr>
                <w:rFonts w:hint="eastAsia" w:ascii="仿宋" w:hAnsi="仿宋" w:eastAsia="仿宋" w:cs="仿宋"/>
                <w:i w:val="0"/>
                <w:iCs w:val="0"/>
                <w:color w:val="auto"/>
                <w:sz w:val="24"/>
                <w:szCs w:val="24"/>
                <w:highlight w:val="none"/>
                <w:u w:val="none"/>
              </w:rPr>
            </w:pPr>
          </w:p>
        </w:tc>
      </w:tr>
      <w:tr w14:paraId="67C9BEA1">
        <w:trPr>
          <w:trHeight w:val="646"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73BC3091">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2F0C56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地面拆除</w:t>
            </w:r>
          </w:p>
        </w:tc>
        <w:tc>
          <w:tcPr>
            <w:tcW w:w="5782" w:type="dxa"/>
            <w:tcBorders>
              <w:top w:val="nil"/>
              <w:left w:val="nil"/>
              <w:bottom w:val="single" w:color="000000" w:sz="4" w:space="0"/>
              <w:right w:val="single" w:color="000000" w:sz="4" w:space="0"/>
            </w:tcBorders>
            <w:shd w:val="clear" w:color="auto" w:fill="auto"/>
            <w:noWrap/>
            <w:vAlign w:val="center"/>
          </w:tcPr>
          <w:p w14:paraId="4D5F3E6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拆除原地面瓷砖面层及水泥砂浆基层，建筑垃圾清运处理。</w:t>
            </w:r>
          </w:p>
        </w:tc>
        <w:tc>
          <w:tcPr>
            <w:tcW w:w="743" w:type="dxa"/>
            <w:tcBorders>
              <w:top w:val="nil"/>
              <w:left w:val="nil"/>
              <w:bottom w:val="single" w:color="000000" w:sz="4" w:space="0"/>
              <w:right w:val="single" w:color="000000" w:sz="4" w:space="0"/>
            </w:tcBorders>
            <w:shd w:val="clear" w:color="auto" w:fill="auto"/>
            <w:vAlign w:val="center"/>
          </w:tcPr>
          <w:p w14:paraId="70FC61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497D02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r>
      <w:tr w14:paraId="10B54C12">
        <w:trPr>
          <w:trHeight w:val="72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5E12FA28">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11FCC6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地板砖</w:t>
            </w:r>
          </w:p>
        </w:tc>
        <w:tc>
          <w:tcPr>
            <w:tcW w:w="5782" w:type="dxa"/>
            <w:tcBorders>
              <w:top w:val="nil"/>
              <w:left w:val="nil"/>
              <w:bottom w:val="single" w:color="000000" w:sz="4" w:space="0"/>
              <w:right w:val="single" w:color="000000" w:sz="4" w:space="0"/>
            </w:tcBorders>
            <w:shd w:val="clear" w:color="auto" w:fill="auto"/>
            <w:vAlign w:val="center"/>
          </w:tcPr>
          <w:p w14:paraId="5ABEB9D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800mm*800mm*10mm瓷面砖铺装，50mm水泥砂浆垫层，10mm结合层。包含辅料及人工。</w:t>
            </w:r>
          </w:p>
        </w:tc>
        <w:tc>
          <w:tcPr>
            <w:tcW w:w="743" w:type="dxa"/>
            <w:tcBorders>
              <w:top w:val="nil"/>
              <w:left w:val="nil"/>
              <w:bottom w:val="single" w:color="000000" w:sz="4" w:space="0"/>
              <w:right w:val="single" w:color="000000" w:sz="4" w:space="0"/>
            </w:tcBorders>
            <w:shd w:val="clear" w:color="auto" w:fill="auto"/>
            <w:vAlign w:val="center"/>
          </w:tcPr>
          <w:p w14:paraId="3A12F2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6633AB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r>
      <w:tr w14:paraId="127AC198">
        <w:trPr>
          <w:trHeight w:val="616"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585E0593">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62BE4F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美缝</w:t>
            </w:r>
          </w:p>
        </w:tc>
        <w:tc>
          <w:tcPr>
            <w:tcW w:w="5782" w:type="dxa"/>
            <w:tcBorders>
              <w:top w:val="nil"/>
              <w:left w:val="nil"/>
              <w:bottom w:val="single" w:color="000000" w:sz="4" w:space="0"/>
              <w:right w:val="single" w:color="000000" w:sz="4" w:space="0"/>
            </w:tcBorders>
            <w:shd w:val="clear" w:color="auto" w:fill="auto"/>
            <w:vAlign w:val="center"/>
          </w:tcPr>
          <w:p w14:paraId="7AFEC85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环氧彩砂美缝处理。</w:t>
            </w:r>
          </w:p>
        </w:tc>
        <w:tc>
          <w:tcPr>
            <w:tcW w:w="743" w:type="dxa"/>
            <w:tcBorders>
              <w:top w:val="nil"/>
              <w:left w:val="nil"/>
              <w:bottom w:val="single" w:color="000000" w:sz="4" w:space="0"/>
              <w:right w:val="single" w:color="000000" w:sz="4" w:space="0"/>
            </w:tcBorders>
            <w:shd w:val="clear" w:color="auto" w:fill="auto"/>
            <w:vAlign w:val="center"/>
          </w:tcPr>
          <w:p w14:paraId="5CFF89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417893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r>
      <w:tr w14:paraId="365226F5">
        <w:trPr>
          <w:trHeight w:val="72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5C10B0BE">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6D4483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电路改造</w:t>
            </w:r>
          </w:p>
        </w:tc>
        <w:tc>
          <w:tcPr>
            <w:tcW w:w="5782" w:type="dxa"/>
            <w:tcBorders>
              <w:top w:val="nil"/>
              <w:left w:val="nil"/>
              <w:bottom w:val="single" w:color="000000" w:sz="4" w:space="0"/>
              <w:right w:val="single" w:color="000000" w:sz="4" w:space="0"/>
            </w:tcBorders>
            <w:shd w:val="clear" w:color="auto" w:fill="auto"/>
            <w:vAlign w:val="center"/>
          </w:tcPr>
          <w:p w14:paraId="7E9732DE">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房间内强电线路铺装及开关、插座、筒灯、灯带的安装。本房间单独做强电盘，但不含主电入盘主线路；不包含弱电综合布线。</w:t>
            </w:r>
          </w:p>
        </w:tc>
        <w:tc>
          <w:tcPr>
            <w:tcW w:w="743" w:type="dxa"/>
            <w:tcBorders>
              <w:top w:val="nil"/>
              <w:left w:val="nil"/>
              <w:bottom w:val="single" w:color="000000" w:sz="4" w:space="0"/>
              <w:right w:val="single" w:color="000000" w:sz="4" w:space="0"/>
            </w:tcBorders>
            <w:shd w:val="clear" w:color="auto" w:fill="auto"/>
            <w:vAlign w:val="center"/>
          </w:tcPr>
          <w:p w14:paraId="4376C2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noWrap/>
            <w:vAlign w:val="center"/>
          </w:tcPr>
          <w:p w14:paraId="0AE791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r>
      <w:tr w14:paraId="7469D389">
        <w:trPr>
          <w:trHeight w:val="68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4E25D236">
            <w:pPr>
              <w:jc w:val="center"/>
              <w:rPr>
                <w:rFonts w:hint="eastAsia" w:ascii="仿宋" w:hAnsi="仿宋" w:eastAsia="仿宋" w:cs="仿宋"/>
                <w:i w:val="0"/>
                <w:iCs w:val="0"/>
                <w:color w:val="auto"/>
                <w:sz w:val="24"/>
                <w:szCs w:val="24"/>
                <w:highlight w:val="none"/>
                <w:u w:val="none"/>
              </w:rPr>
            </w:pPr>
          </w:p>
        </w:tc>
        <w:tc>
          <w:tcPr>
            <w:tcW w:w="1290" w:type="dxa"/>
            <w:tcBorders>
              <w:top w:val="nil"/>
              <w:left w:val="nil"/>
              <w:bottom w:val="single" w:color="000000" w:sz="4" w:space="0"/>
              <w:right w:val="single" w:color="000000" w:sz="4" w:space="0"/>
            </w:tcBorders>
            <w:shd w:val="clear" w:color="auto" w:fill="auto"/>
            <w:vAlign w:val="center"/>
          </w:tcPr>
          <w:p w14:paraId="6CDAE3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保洁</w:t>
            </w:r>
          </w:p>
        </w:tc>
        <w:tc>
          <w:tcPr>
            <w:tcW w:w="5782" w:type="dxa"/>
            <w:tcBorders>
              <w:top w:val="nil"/>
              <w:left w:val="nil"/>
              <w:bottom w:val="single" w:color="000000" w:sz="4" w:space="0"/>
              <w:right w:val="single" w:color="000000" w:sz="4" w:space="0"/>
            </w:tcBorders>
            <w:shd w:val="clear" w:color="auto" w:fill="auto"/>
            <w:vAlign w:val="center"/>
          </w:tcPr>
          <w:p w14:paraId="7A07B7FC">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专业保洁（施工结束由专业保洁公司保洁）。</w:t>
            </w:r>
          </w:p>
        </w:tc>
        <w:tc>
          <w:tcPr>
            <w:tcW w:w="743" w:type="dxa"/>
            <w:tcBorders>
              <w:top w:val="nil"/>
              <w:left w:val="nil"/>
              <w:bottom w:val="single" w:color="000000" w:sz="4" w:space="0"/>
              <w:right w:val="single" w:color="000000" w:sz="4" w:space="0"/>
            </w:tcBorders>
            <w:shd w:val="clear" w:color="auto" w:fill="auto"/>
            <w:vAlign w:val="center"/>
          </w:tcPr>
          <w:p w14:paraId="63BE48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715" w:type="dxa"/>
            <w:tcBorders>
              <w:top w:val="nil"/>
              <w:left w:val="nil"/>
              <w:bottom w:val="single" w:color="000000" w:sz="4" w:space="0"/>
              <w:right w:val="single" w:color="000000" w:sz="4" w:space="0"/>
            </w:tcBorders>
            <w:shd w:val="clear" w:color="auto" w:fill="auto"/>
            <w:vAlign w:val="center"/>
          </w:tcPr>
          <w:p w14:paraId="323918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r>
      <w:tr w14:paraId="506ECD4B">
        <w:trPr>
          <w:trHeight w:val="142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36FE72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290" w:type="dxa"/>
            <w:tcBorders>
              <w:top w:val="nil"/>
              <w:left w:val="nil"/>
              <w:bottom w:val="single" w:color="000000" w:sz="4" w:space="0"/>
              <w:right w:val="single" w:color="000000" w:sz="4" w:space="0"/>
            </w:tcBorders>
            <w:shd w:val="clear" w:color="auto" w:fill="auto"/>
            <w:vAlign w:val="center"/>
          </w:tcPr>
          <w:p w14:paraId="14288D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气象决策服务系统</w:t>
            </w:r>
          </w:p>
        </w:tc>
        <w:tc>
          <w:tcPr>
            <w:tcW w:w="5782" w:type="dxa"/>
            <w:tcBorders>
              <w:top w:val="nil"/>
              <w:left w:val="nil"/>
              <w:bottom w:val="single" w:color="000000" w:sz="4" w:space="0"/>
              <w:right w:val="single" w:color="000000" w:sz="4" w:space="0"/>
            </w:tcBorders>
            <w:shd w:val="clear" w:color="auto" w:fill="auto"/>
            <w:vAlign w:val="center"/>
          </w:tcPr>
          <w:p w14:paraId="715BD839">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可实现数据管理、综合观测、气候特征量管理、重要天气过程查询、灾害性天气个例库查询、预报预警制作等功能。（详见附件1）</w:t>
            </w:r>
          </w:p>
        </w:tc>
        <w:tc>
          <w:tcPr>
            <w:tcW w:w="743" w:type="dxa"/>
            <w:tcBorders>
              <w:top w:val="nil"/>
              <w:left w:val="nil"/>
              <w:bottom w:val="single" w:color="000000" w:sz="4" w:space="0"/>
              <w:right w:val="single" w:color="000000" w:sz="4" w:space="0"/>
            </w:tcBorders>
            <w:shd w:val="clear" w:color="auto" w:fill="auto"/>
            <w:vAlign w:val="center"/>
          </w:tcPr>
          <w:p w14:paraId="3E64DF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5" w:type="dxa"/>
            <w:tcBorders>
              <w:top w:val="nil"/>
              <w:left w:val="nil"/>
              <w:bottom w:val="single" w:color="000000" w:sz="4" w:space="0"/>
              <w:right w:val="single" w:color="000000" w:sz="4" w:space="0"/>
            </w:tcBorders>
            <w:shd w:val="clear" w:color="auto" w:fill="auto"/>
            <w:vAlign w:val="center"/>
          </w:tcPr>
          <w:p w14:paraId="46F1C7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2C8E11E7">
        <w:trPr>
          <w:trHeight w:val="28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14:paraId="49CEDAA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290" w:type="dxa"/>
            <w:tcBorders>
              <w:top w:val="nil"/>
              <w:left w:val="nil"/>
              <w:bottom w:val="single" w:color="000000" w:sz="4" w:space="0"/>
              <w:right w:val="single" w:color="000000" w:sz="4" w:space="0"/>
            </w:tcBorders>
            <w:shd w:val="clear" w:color="auto" w:fill="auto"/>
            <w:vAlign w:val="center"/>
          </w:tcPr>
          <w:p w14:paraId="023C87AA">
            <w:pPr>
              <w:jc w:val="center"/>
              <w:rPr>
                <w:rFonts w:hint="eastAsia" w:ascii="宋体" w:hAnsi="宋体" w:eastAsia="宋体" w:cs="宋体"/>
                <w:i w:val="0"/>
                <w:iCs w:val="0"/>
                <w:color w:val="auto"/>
                <w:sz w:val="22"/>
                <w:szCs w:val="22"/>
                <w:highlight w:val="none"/>
                <w:u w:val="none"/>
              </w:rPr>
            </w:pPr>
          </w:p>
        </w:tc>
        <w:tc>
          <w:tcPr>
            <w:tcW w:w="5782" w:type="dxa"/>
            <w:tcBorders>
              <w:top w:val="nil"/>
              <w:left w:val="nil"/>
              <w:bottom w:val="single" w:color="000000" w:sz="4" w:space="0"/>
              <w:right w:val="single" w:color="000000" w:sz="4" w:space="0"/>
            </w:tcBorders>
            <w:shd w:val="clear" w:color="auto" w:fill="auto"/>
            <w:noWrap/>
            <w:vAlign w:val="center"/>
          </w:tcPr>
          <w:p w14:paraId="51B3DA0E">
            <w:pPr>
              <w:rPr>
                <w:rFonts w:hint="eastAsia" w:ascii="宋体" w:hAnsi="宋体" w:eastAsia="宋体" w:cs="宋体"/>
                <w:i w:val="0"/>
                <w:iCs w:val="0"/>
                <w:color w:val="auto"/>
                <w:sz w:val="22"/>
                <w:szCs w:val="22"/>
                <w:highlight w:val="none"/>
                <w:u w:val="none"/>
              </w:rPr>
            </w:pPr>
          </w:p>
        </w:tc>
        <w:tc>
          <w:tcPr>
            <w:tcW w:w="743" w:type="dxa"/>
            <w:tcBorders>
              <w:top w:val="nil"/>
              <w:left w:val="nil"/>
              <w:bottom w:val="single" w:color="000000" w:sz="4" w:space="0"/>
              <w:right w:val="single" w:color="000000" w:sz="4" w:space="0"/>
            </w:tcBorders>
            <w:shd w:val="clear" w:color="auto" w:fill="auto"/>
            <w:noWrap/>
            <w:vAlign w:val="center"/>
          </w:tcPr>
          <w:p w14:paraId="7F3678E9">
            <w:pPr>
              <w:jc w:val="center"/>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shd w:val="clear" w:color="auto" w:fill="auto"/>
            <w:noWrap/>
            <w:vAlign w:val="center"/>
          </w:tcPr>
          <w:p w14:paraId="71573C52">
            <w:pPr>
              <w:jc w:val="center"/>
              <w:rPr>
                <w:rFonts w:hint="eastAsia" w:ascii="宋体" w:hAnsi="宋体" w:eastAsia="宋体" w:cs="宋体"/>
                <w:i w:val="0"/>
                <w:iCs w:val="0"/>
                <w:color w:val="auto"/>
                <w:sz w:val="22"/>
                <w:szCs w:val="22"/>
                <w:highlight w:val="none"/>
                <w:u w:val="none"/>
              </w:rPr>
            </w:pPr>
          </w:p>
        </w:tc>
      </w:tr>
    </w:tbl>
    <w:p w14:paraId="2B5321AF">
      <w:pPr>
        <w:spacing w:line="360" w:lineRule="auto"/>
        <w:ind w:firstLine="480" w:firstLineChars="200"/>
        <w:jc w:val="left"/>
        <w:rPr>
          <w:rFonts w:hint="default" w:ascii="宋体" w:hAnsi="宋体" w:cs="宋体"/>
          <w:color w:val="auto"/>
          <w:kern w:val="0"/>
          <w:sz w:val="24"/>
          <w:szCs w:val="24"/>
          <w:highlight w:val="none"/>
          <w:lang w:val="en-US" w:eastAsia="zh-CN"/>
        </w:rPr>
      </w:pPr>
    </w:p>
    <w:p w14:paraId="32F70577">
      <w:pPr>
        <w:pStyle w:val="3"/>
        <w:numPr>
          <w:ilvl w:val="0"/>
          <w:numId w:val="0"/>
        </w:numPr>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第六章 </w:t>
      </w:r>
      <w:r>
        <w:rPr>
          <w:rFonts w:hint="eastAsia" w:ascii="宋体" w:hAnsi="宋体" w:cs="宋体"/>
          <w:color w:val="auto"/>
          <w:highlight w:val="none"/>
        </w:rPr>
        <w:t>投标文件格式</w:t>
      </w:r>
      <w:bookmarkEnd w:id="154"/>
      <w:bookmarkEnd w:id="155"/>
    </w:p>
    <w:p w14:paraId="2B229F70">
      <w:pPr>
        <w:numPr>
          <w:ilvl w:val="0"/>
          <w:numId w:val="0"/>
        </w:numPr>
        <w:rPr>
          <w:rFonts w:hint="eastAsia"/>
          <w:color w:val="auto"/>
          <w:highlight w:val="none"/>
        </w:rPr>
      </w:pPr>
    </w:p>
    <w:bookmarkEnd w:id="27"/>
    <w:bookmarkEnd w:id="28"/>
    <w:bookmarkEnd w:id="29"/>
    <w:bookmarkEnd w:id="30"/>
    <w:bookmarkEnd w:id="31"/>
    <w:bookmarkEnd w:id="149"/>
    <w:bookmarkEnd w:id="150"/>
    <w:bookmarkEnd w:id="151"/>
    <w:p w14:paraId="49998457">
      <w:pPr>
        <w:pStyle w:val="14"/>
        <w:rPr>
          <w:rFonts w:hint="eastAsia" w:ascii="宋体" w:hAnsi="宋体" w:cs="宋体"/>
          <w:color w:val="auto"/>
          <w:highlight w:val="none"/>
        </w:rPr>
      </w:pPr>
    </w:p>
    <w:p w14:paraId="2D4BC295">
      <w:pPr>
        <w:widowControl/>
        <w:shd w:val="clear" w:color="auto" w:fill="FFFFFF"/>
        <w:autoSpaceDN w:val="0"/>
        <w:spacing w:line="360" w:lineRule="auto"/>
        <w:jc w:val="center"/>
        <w:rPr>
          <w:rFonts w:hint="eastAsia" w:ascii="宋体" w:hAnsi="宋体" w:cs="宋体"/>
          <w:color w:val="auto"/>
          <w:kern w:val="0"/>
          <w:sz w:val="44"/>
          <w:szCs w:val="44"/>
          <w:highlight w:val="none"/>
          <w:shd w:val="clear" w:color="auto" w:fill="FFFFFF"/>
        </w:rPr>
      </w:pPr>
      <w:r>
        <w:rPr>
          <w:rFonts w:hint="eastAsia" w:ascii="宋体" w:hAnsi="宋体" w:cs="宋体"/>
          <w:color w:val="auto"/>
          <w:kern w:val="0"/>
          <w:sz w:val="44"/>
          <w:szCs w:val="44"/>
          <w:highlight w:val="none"/>
          <w:shd w:val="clear" w:color="auto" w:fill="FFFFFF"/>
        </w:rPr>
        <w:t>三门峡市气象局三门峡市精准化气象</w:t>
      </w:r>
    </w:p>
    <w:p w14:paraId="1A76CE4C">
      <w:pPr>
        <w:widowControl/>
        <w:shd w:val="clear" w:color="auto" w:fill="FFFFFF"/>
        <w:autoSpaceDN w:val="0"/>
        <w:spacing w:line="360" w:lineRule="auto"/>
        <w:jc w:val="center"/>
        <w:rPr>
          <w:rFonts w:hint="eastAsia" w:ascii="宋体" w:hAnsi="宋体" w:cs="宋体"/>
          <w:color w:val="auto"/>
          <w:kern w:val="0"/>
          <w:sz w:val="44"/>
          <w:szCs w:val="44"/>
          <w:highlight w:val="none"/>
          <w:shd w:val="clear" w:color="auto" w:fill="FFFFFF"/>
        </w:rPr>
      </w:pPr>
      <w:r>
        <w:rPr>
          <w:rFonts w:hint="eastAsia" w:ascii="宋体" w:hAnsi="宋体" w:cs="宋体"/>
          <w:color w:val="auto"/>
          <w:kern w:val="0"/>
          <w:sz w:val="44"/>
          <w:szCs w:val="44"/>
          <w:highlight w:val="none"/>
          <w:shd w:val="clear" w:color="auto" w:fill="FFFFFF"/>
        </w:rPr>
        <w:t>防灾减灾工程项目</w:t>
      </w:r>
    </w:p>
    <w:p w14:paraId="6802F8C6">
      <w:pPr>
        <w:widowControl/>
        <w:shd w:val="clear" w:color="auto" w:fill="FFFFFF"/>
        <w:autoSpaceDN w:val="0"/>
        <w:spacing w:line="360" w:lineRule="auto"/>
        <w:jc w:val="center"/>
        <w:rPr>
          <w:rFonts w:hint="eastAsia" w:ascii="宋体" w:hAnsi="宋体" w:cs="宋体"/>
          <w:b/>
          <w:bCs/>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w:t>
      </w:r>
      <w:r>
        <w:rPr>
          <w:rFonts w:hint="eastAsia" w:ascii="宋体" w:hAnsi="宋体" w:cs="宋体"/>
          <w:b/>
          <w:bCs/>
          <w:color w:val="auto"/>
          <w:kern w:val="0"/>
          <w:sz w:val="24"/>
          <w:szCs w:val="24"/>
          <w:highlight w:val="none"/>
          <w:shd w:val="clear" w:color="auto" w:fill="FFFFFF"/>
        </w:rPr>
        <w:t>说明：请供应商使用此页格式作为所编写投标文件的封皮。</w:t>
      </w:r>
    </w:p>
    <w:p w14:paraId="550EA782">
      <w:pPr>
        <w:jc w:val="center"/>
        <w:rPr>
          <w:rFonts w:hint="eastAsia" w:ascii="宋体" w:hAnsi="宋体" w:cs="宋体"/>
          <w:b/>
          <w:bCs/>
          <w:color w:val="auto"/>
          <w:sz w:val="72"/>
          <w:szCs w:val="72"/>
          <w:highlight w:val="none"/>
        </w:rPr>
      </w:pPr>
    </w:p>
    <w:p w14:paraId="2E3D0F6D">
      <w:pPr>
        <w:rPr>
          <w:rFonts w:hint="eastAsia" w:ascii="宋体" w:hAnsi="宋体" w:cs="宋体"/>
          <w:color w:val="auto"/>
          <w:szCs w:val="22"/>
          <w:highlight w:val="none"/>
        </w:rPr>
      </w:pPr>
    </w:p>
    <w:p w14:paraId="7785A355">
      <w:pPr>
        <w:pStyle w:val="13"/>
        <w:rPr>
          <w:rFonts w:hint="eastAsia" w:ascii="宋体" w:hAnsi="宋体" w:eastAsia="宋体"/>
          <w:color w:val="auto"/>
          <w:highlight w:val="none"/>
        </w:rPr>
      </w:pPr>
    </w:p>
    <w:p w14:paraId="5CD7F2CE">
      <w:pPr>
        <w:pStyle w:val="14"/>
        <w:rPr>
          <w:rFonts w:hint="eastAsia" w:ascii="宋体" w:hAnsi="宋体" w:cs="宋体"/>
          <w:color w:val="auto"/>
          <w:highlight w:val="none"/>
        </w:rPr>
      </w:pPr>
    </w:p>
    <w:p w14:paraId="638ABDA6">
      <w:pPr>
        <w:rPr>
          <w:rFonts w:hint="eastAsia" w:ascii="宋体" w:hAnsi="宋体" w:cs="宋体"/>
          <w:color w:val="auto"/>
          <w:szCs w:val="22"/>
          <w:highlight w:val="none"/>
        </w:rPr>
      </w:pPr>
    </w:p>
    <w:p w14:paraId="5C9A69F6">
      <w:pPr>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投标文件</w:t>
      </w:r>
    </w:p>
    <w:p w14:paraId="2ADFE859">
      <w:pPr>
        <w:shd w:val="clear" w:color="auto" w:fill="FFFFFF"/>
        <w:snapToGrid w:val="0"/>
        <w:spacing w:line="360" w:lineRule="auto"/>
        <w:ind w:right="105" w:rightChars="50" w:firstLine="2402" w:firstLineChars="800"/>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采购项目编号：</w:t>
      </w:r>
      <w:r>
        <w:rPr>
          <w:rFonts w:hint="eastAsia" w:ascii="宋体" w:hAnsi="宋体" w:cs="宋体"/>
          <w:b/>
          <w:bCs/>
          <w:color w:val="auto"/>
          <w:sz w:val="30"/>
          <w:szCs w:val="30"/>
          <w:highlight w:val="none"/>
          <w:lang w:val="en-US" w:eastAsia="zh-CN"/>
        </w:rPr>
        <w:t xml:space="preserve"> </w:t>
      </w:r>
    </w:p>
    <w:p w14:paraId="6AE159F9">
      <w:pPr>
        <w:ind w:firstLine="2538" w:firstLineChars="846"/>
        <w:rPr>
          <w:rFonts w:hint="eastAsia" w:ascii="宋体" w:hAnsi="宋体" w:cs="宋体"/>
          <w:color w:val="auto"/>
          <w:sz w:val="30"/>
          <w:szCs w:val="30"/>
          <w:highlight w:val="none"/>
        </w:rPr>
      </w:pPr>
    </w:p>
    <w:p w14:paraId="624595C6">
      <w:pPr>
        <w:shd w:val="clear" w:color="auto" w:fill="FFFFFF"/>
        <w:snapToGrid w:val="0"/>
        <w:spacing w:line="360" w:lineRule="auto"/>
        <w:ind w:right="105" w:rightChars="50"/>
        <w:jc w:val="center"/>
        <w:rPr>
          <w:rFonts w:hint="eastAsia" w:ascii="宋体" w:hAnsi="宋体" w:cs="宋体"/>
          <w:b/>
          <w:bCs/>
          <w:color w:val="auto"/>
          <w:kern w:val="0"/>
          <w:sz w:val="24"/>
          <w:szCs w:val="24"/>
          <w:highlight w:val="none"/>
          <w:shd w:val="clear" w:color="auto" w:fill="FFFFFF"/>
        </w:rPr>
      </w:pPr>
    </w:p>
    <w:p w14:paraId="228FB18F">
      <w:pPr>
        <w:shd w:val="clear" w:color="auto" w:fill="FFFFFF"/>
        <w:snapToGrid w:val="0"/>
        <w:spacing w:line="360" w:lineRule="auto"/>
        <w:ind w:right="105" w:rightChars="50"/>
        <w:jc w:val="center"/>
        <w:rPr>
          <w:rFonts w:hint="eastAsia" w:ascii="宋体" w:hAnsi="宋体" w:cs="宋体"/>
          <w:b/>
          <w:bCs/>
          <w:color w:val="auto"/>
          <w:kern w:val="0"/>
          <w:sz w:val="24"/>
          <w:szCs w:val="24"/>
          <w:highlight w:val="none"/>
          <w:shd w:val="clear" w:color="auto" w:fill="FFFFFF"/>
        </w:rPr>
      </w:pPr>
    </w:p>
    <w:p w14:paraId="7D9B929D">
      <w:pPr>
        <w:pStyle w:val="13"/>
        <w:rPr>
          <w:rFonts w:hint="eastAsia" w:ascii="宋体" w:hAnsi="宋体" w:eastAsia="宋体"/>
          <w:color w:val="auto"/>
          <w:highlight w:val="none"/>
        </w:rPr>
      </w:pPr>
    </w:p>
    <w:p w14:paraId="54547ECE">
      <w:pPr>
        <w:pStyle w:val="14"/>
        <w:rPr>
          <w:rFonts w:hint="eastAsia" w:ascii="宋体" w:hAnsi="宋体" w:cs="宋体"/>
          <w:color w:val="auto"/>
          <w:highlight w:val="none"/>
        </w:rPr>
      </w:pPr>
    </w:p>
    <w:p w14:paraId="489182B9">
      <w:pPr>
        <w:rPr>
          <w:rFonts w:hint="eastAsia" w:ascii="宋体" w:hAnsi="宋体" w:cs="宋体"/>
          <w:color w:val="auto"/>
          <w:highlight w:val="none"/>
        </w:rPr>
      </w:pPr>
    </w:p>
    <w:p w14:paraId="1150BD8A">
      <w:pPr>
        <w:snapToGrid w:val="0"/>
        <w:spacing w:line="360" w:lineRule="auto"/>
        <w:rPr>
          <w:rFonts w:hint="eastAsia" w:ascii="宋体" w:hAnsi="宋体" w:cs="宋体"/>
          <w:b/>
          <w:bCs/>
          <w:color w:val="auto"/>
          <w:kern w:val="0"/>
          <w:sz w:val="32"/>
          <w:szCs w:val="32"/>
          <w:highlight w:val="none"/>
          <w:shd w:val="clear" w:color="auto" w:fill="FFFFFF"/>
        </w:rPr>
      </w:pPr>
    </w:p>
    <w:p w14:paraId="618411CD">
      <w:pPr>
        <w:rPr>
          <w:rFonts w:hint="eastAsia" w:ascii="宋体" w:hAnsi="宋体" w:cs="宋体"/>
          <w:color w:val="auto"/>
          <w:szCs w:val="22"/>
          <w:highlight w:val="none"/>
        </w:rPr>
      </w:pPr>
    </w:p>
    <w:p w14:paraId="22ABC7EE">
      <w:pPr>
        <w:shd w:val="clear" w:color="auto" w:fill="FFFFFF"/>
        <w:snapToGrid w:val="0"/>
        <w:spacing w:line="360" w:lineRule="auto"/>
        <w:ind w:right="105" w:rightChars="50"/>
        <w:rPr>
          <w:rFonts w:hint="eastAsia" w:ascii="宋体" w:hAnsi="宋体" w:cs="宋体"/>
          <w:b/>
          <w:bCs/>
          <w:color w:val="auto"/>
          <w:kern w:val="0"/>
          <w:sz w:val="32"/>
          <w:szCs w:val="32"/>
          <w:highlight w:val="none"/>
          <w:shd w:val="clear" w:color="auto" w:fill="FFFFFF"/>
        </w:rPr>
      </w:pPr>
    </w:p>
    <w:p w14:paraId="3321C2DD">
      <w:pPr>
        <w:widowControl/>
        <w:shd w:val="clear" w:color="auto" w:fill="FFFFFF"/>
        <w:autoSpaceDN w:val="0"/>
        <w:spacing w:line="360" w:lineRule="auto"/>
        <w:ind w:firstLine="1906" w:firstLineChars="595"/>
        <w:rPr>
          <w:rFonts w:hint="eastAsia" w:ascii="宋体" w:hAnsi="宋体" w:cs="宋体"/>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lang w:eastAsia="zh-CN"/>
        </w:rPr>
        <w:t>供应商</w:t>
      </w:r>
      <w:r>
        <w:rPr>
          <w:rFonts w:hint="eastAsia" w:ascii="宋体" w:hAnsi="宋体" w:cs="宋体"/>
          <w:b/>
          <w:bCs/>
          <w:color w:val="auto"/>
          <w:kern w:val="0"/>
          <w:sz w:val="32"/>
          <w:szCs w:val="32"/>
          <w:highlight w:val="none"/>
          <w:shd w:val="clear" w:color="auto" w:fill="FFFFFF"/>
        </w:rPr>
        <w:t>：（盖章）</w:t>
      </w:r>
    </w:p>
    <w:p w14:paraId="313D641D">
      <w:pPr>
        <w:widowControl/>
        <w:shd w:val="clear" w:color="auto" w:fill="FFFFFF"/>
        <w:tabs>
          <w:tab w:val="left" w:pos="360"/>
        </w:tabs>
        <w:autoSpaceDN w:val="0"/>
        <w:spacing w:line="360" w:lineRule="auto"/>
        <w:ind w:firstLine="1265" w:firstLineChars="395"/>
        <w:rPr>
          <w:rFonts w:hint="eastAsia" w:ascii="宋体" w:hAnsi="宋体" w:cs="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法定代表人：（签章）</w:t>
      </w:r>
    </w:p>
    <w:p w14:paraId="1B367F7C">
      <w:pPr>
        <w:widowControl/>
        <w:shd w:val="clear" w:color="auto" w:fill="FFFFFF"/>
        <w:autoSpaceDN w:val="0"/>
        <w:spacing w:line="360" w:lineRule="auto"/>
        <w:ind w:firstLine="1265" w:firstLineChars="395"/>
        <w:rPr>
          <w:rFonts w:hint="eastAsia" w:ascii="宋体" w:hAnsi="宋体" w:cs="宋体"/>
          <w:b/>
          <w:bCs/>
          <w:color w:val="auto"/>
          <w:sz w:val="44"/>
          <w:szCs w:val="44"/>
          <w:highlight w:val="none"/>
        </w:rPr>
      </w:pPr>
      <w:r>
        <w:rPr>
          <w:rFonts w:hint="eastAsia" w:ascii="宋体" w:hAnsi="宋体" w:cs="宋体"/>
          <w:b/>
          <w:bCs/>
          <w:color w:val="auto"/>
          <w:kern w:val="0"/>
          <w:sz w:val="32"/>
          <w:szCs w:val="32"/>
          <w:highlight w:val="none"/>
          <w:shd w:val="clear" w:color="auto" w:fill="FFFFFF"/>
        </w:rPr>
        <w:t xml:space="preserve">    日      期：</w:t>
      </w:r>
    </w:p>
    <w:p w14:paraId="14C56E73">
      <w:pPr>
        <w:widowControl/>
        <w:shd w:val="clear" w:color="auto" w:fill="FFFFFF"/>
        <w:autoSpaceDN w:val="0"/>
        <w:spacing w:line="360" w:lineRule="auto"/>
        <w:ind w:firstLine="829" w:firstLineChars="395"/>
        <w:rPr>
          <w:rFonts w:hint="eastAsia" w:ascii="宋体" w:hAnsi="宋体" w:cs="宋体"/>
          <w:color w:val="auto"/>
          <w:highlight w:val="none"/>
        </w:rPr>
      </w:pPr>
    </w:p>
    <w:p w14:paraId="752AE04E">
      <w:pPr>
        <w:spacing w:line="360" w:lineRule="auto"/>
        <w:ind w:firstLine="619" w:firstLineChars="295"/>
        <w:jc w:val="center"/>
        <w:rPr>
          <w:rFonts w:hint="eastAsia" w:ascii="宋体" w:hAnsi="宋体" w:cs="宋体"/>
          <w:color w:val="auto"/>
          <w:highlight w:val="none"/>
        </w:rPr>
      </w:pPr>
    </w:p>
    <w:p w14:paraId="08EC08D3">
      <w:pPr>
        <w:pStyle w:val="13"/>
        <w:rPr>
          <w:rFonts w:hint="eastAsia" w:ascii="宋体" w:hAnsi="宋体" w:eastAsia="宋体"/>
          <w:color w:val="auto"/>
          <w:highlight w:val="none"/>
        </w:rPr>
      </w:pPr>
    </w:p>
    <w:p w14:paraId="621B3D20">
      <w:pPr>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投标文件目录</w:t>
      </w:r>
    </w:p>
    <w:p w14:paraId="4A04D07D">
      <w:pPr>
        <w:keepNext/>
        <w:widowControl/>
        <w:spacing w:before="100" w:beforeAutospacing="1" w:after="100" w:afterAutospacing="1" w:line="240" w:lineRule="atLeast"/>
        <w:jc w:val="left"/>
        <w:textAlignment w:val="baseline"/>
        <w:outlineLvl w:val="1"/>
        <w:rPr>
          <w:rFonts w:hint="eastAsia" w:ascii="宋体" w:hAnsi="宋体" w:cs="宋体"/>
          <w:color w:val="auto"/>
          <w:sz w:val="24"/>
          <w:szCs w:val="24"/>
          <w:highlight w:val="none"/>
        </w:rPr>
      </w:pPr>
      <w:bookmarkStart w:id="156" w:name="_Toc26417"/>
      <w:r>
        <w:rPr>
          <w:rFonts w:hint="eastAsia" w:ascii="宋体" w:hAnsi="宋体" w:cs="宋体"/>
          <w:color w:val="auto"/>
          <w:sz w:val="24"/>
          <w:szCs w:val="24"/>
          <w:highlight w:val="none"/>
        </w:rPr>
        <w:t>一、法定代表人身份证明书</w:t>
      </w:r>
      <w:bookmarkEnd w:id="156"/>
    </w:p>
    <w:p w14:paraId="35BF1969">
      <w:pPr>
        <w:keepNext/>
        <w:widowControl/>
        <w:spacing w:before="100" w:beforeAutospacing="1" w:after="100" w:afterAutospacing="1" w:line="240" w:lineRule="atLeast"/>
        <w:jc w:val="left"/>
        <w:textAlignment w:val="baseline"/>
        <w:outlineLvl w:val="1"/>
        <w:rPr>
          <w:rFonts w:hint="eastAsia" w:ascii="宋体" w:hAnsi="宋体" w:cs="宋体"/>
          <w:color w:val="auto"/>
          <w:sz w:val="24"/>
          <w:szCs w:val="24"/>
          <w:highlight w:val="none"/>
        </w:rPr>
      </w:pPr>
      <w:bookmarkStart w:id="157" w:name="_Toc4462"/>
      <w:r>
        <w:rPr>
          <w:rFonts w:hint="eastAsia" w:ascii="宋体" w:hAnsi="宋体" w:cs="宋体"/>
          <w:color w:val="auto"/>
          <w:sz w:val="24"/>
          <w:szCs w:val="24"/>
          <w:highlight w:val="none"/>
        </w:rPr>
        <w:t>二、投标文件签署授权委托书</w:t>
      </w:r>
      <w:bookmarkEnd w:id="157"/>
    </w:p>
    <w:p w14:paraId="7F3EAE5A">
      <w:pPr>
        <w:keepNext/>
        <w:widowControl/>
        <w:spacing w:before="100" w:beforeAutospacing="1" w:after="100" w:afterAutospacing="1" w:line="240" w:lineRule="atLeast"/>
        <w:jc w:val="left"/>
        <w:textAlignment w:val="baseline"/>
        <w:outlineLvl w:val="1"/>
        <w:rPr>
          <w:rFonts w:hint="eastAsia" w:ascii="宋体" w:hAnsi="宋体" w:cs="宋体"/>
          <w:color w:val="auto"/>
          <w:sz w:val="24"/>
          <w:szCs w:val="24"/>
          <w:highlight w:val="none"/>
        </w:rPr>
      </w:pPr>
      <w:bookmarkStart w:id="158" w:name="_Toc14158"/>
      <w:r>
        <w:rPr>
          <w:rFonts w:hint="eastAsia" w:ascii="宋体" w:hAnsi="宋体" w:cs="宋体"/>
          <w:color w:val="auto"/>
          <w:sz w:val="24"/>
          <w:szCs w:val="24"/>
          <w:highlight w:val="none"/>
        </w:rPr>
        <w:t>三、投标函及投标函附录</w:t>
      </w:r>
      <w:bookmarkEnd w:id="158"/>
    </w:p>
    <w:p w14:paraId="22B3B167">
      <w:pPr>
        <w:keepNext/>
        <w:widowControl/>
        <w:spacing w:before="100" w:beforeAutospacing="1" w:after="100" w:afterAutospacing="1" w:line="240" w:lineRule="atLeast"/>
        <w:jc w:val="left"/>
        <w:textAlignment w:val="baseline"/>
        <w:outlineLvl w:val="1"/>
        <w:rPr>
          <w:rFonts w:hint="eastAsia" w:ascii="宋体" w:hAnsi="宋体" w:cs="宋体"/>
          <w:color w:val="auto"/>
          <w:sz w:val="24"/>
          <w:szCs w:val="24"/>
          <w:highlight w:val="none"/>
        </w:rPr>
      </w:pPr>
      <w:bookmarkStart w:id="159" w:name="_Toc31701"/>
      <w:r>
        <w:rPr>
          <w:rFonts w:hint="eastAsia" w:ascii="宋体" w:hAnsi="宋体" w:cs="宋体"/>
          <w:color w:val="auto"/>
          <w:sz w:val="24"/>
          <w:szCs w:val="24"/>
          <w:highlight w:val="none"/>
        </w:rPr>
        <w:t>四、服务方案</w:t>
      </w:r>
      <w:bookmarkEnd w:id="159"/>
    </w:p>
    <w:p w14:paraId="62A975E3">
      <w:pPr>
        <w:pStyle w:val="26"/>
        <w:rPr>
          <w:rFonts w:hint="eastAsia" w:ascii="宋体" w:hAnsi="宋体" w:cs="宋体"/>
          <w:color w:val="auto"/>
          <w:szCs w:val="24"/>
          <w:highlight w:val="none"/>
        </w:rPr>
      </w:pPr>
      <w:r>
        <w:rPr>
          <w:rFonts w:hint="eastAsia" w:ascii="宋体" w:hAnsi="宋体" w:cs="宋体"/>
          <w:color w:val="auto"/>
          <w:szCs w:val="24"/>
          <w:highlight w:val="none"/>
        </w:rPr>
        <w:t>五、资格审查资料</w:t>
      </w:r>
    </w:p>
    <w:p w14:paraId="1A1C6B85">
      <w:pPr>
        <w:keepNext/>
        <w:widowControl/>
        <w:spacing w:before="100" w:beforeAutospacing="1" w:after="100" w:afterAutospacing="1" w:line="240" w:lineRule="atLeast"/>
        <w:jc w:val="left"/>
        <w:textAlignment w:val="baseline"/>
        <w:outlineLvl w:val="1"/>
        <w:rPr>
          <w:rFonts w:hint="eastAsia" w:ascii="宋体" w:hAnsi="宋体" w:cs="宋体"/>
          <w:color w:val="auto"/>
          <w:sz w:val="24"/>
          <w:szCs w:val="24"/>
          <w:highlight w:val="none"/>
        </w:rPr>
      </w:pPr>
      <w:bookmarkStart w:id="160" w:name="_Toc24569"/>
      <w:r>
        <w:rPr>
          <w:rFonts w:hint="eastAsia" w:ascii="宋体" w:hAnsi="宋体" w:cs="宋体"/>
          <w:color w:val="auto"/>
          <w:sz w:val="24"/>
          <w:szCs w:val="24"/>
          <w:highlight w:val="none"/>
        </w:rPr>
        <w:t>六、中小企业声明函</w:t>
      </w:r>
      <w:bookmarkEnd w:id="160"/>
    </w:p>
    <w:p w14:paraId="4F558FED">
      <w:pPr>
        <w:keepNext/>
        <w:widowControl/>
        <w:spacing w:before="100" w:beforeAutospacing="1" w:after="100" w:afterAutospacing="1" w:line="240" w:lineRule="atLeast"/>
        <w:jc w:val="left"/>
        <w:textAlignment w:val="baseline"/>
        <w:outlineLvl w:val="1"/>
        <w:rPr>
          <w:rFonts w:hint="eastAsia" w:ascii="宋体" w:hAnsi="宋体" w:cs="宋体"/>
          <w:color w:val="auto"/>
          <w:sz w:val="24"/>
          <w:szCs w:val="24"/>
          <w:highlight w:val="none"/>
        </w:rPr>
      </w:pPr>
      <w:bookmarkStart w:id="161" w:name="_Toc25040"/>
      <w:r>
        <w:rPr>
          <w:rFonts w:hint="eastAsia" w:ascii="宋体" w:hAnsi="宋体" w:cs="宋体"/>
          <w:color w:val="auto"/>
          <w:sz w:val="24"/>
          <w:szCs w:val="24"/>
          <w:highlight w:val="none"/>
        </w:rPr>
        <w:t>七、投标承诺函</w:t>
      </w:r>
      <w:bookmarkEnd w:id="161"/>
    </w:p>
    <w:p w14:paraId="207F634C">
      <w:pPr>
        <w:keepNext/>
        <w:widowControl/>
        <w:spacing w:before="100" w:beforeAutospacing="1" w:after="100" w:afterAutospacing="1" w:line="240" w:lineRule="atLeast"/>
        <w:jc w:val="left"/>
        <w:textAlignment w:val="baseline"/>
        <w:outlineLvl w:val="1"/>
        <w:rPr>
          <w:rFonts w:hint="eastAsia" w:ascii="宋体" w:hAnsi="宋体" w:cs="宋体"/>
          <w:color w:val="auto"/>
          <w:sz w:val="24"/>
          <w:szCs w:val="24"/>
          <w:highlight w:val="none"/>
        </w:rPr>
      </w:pPr>
      <w:bookmarkStart w:id="162" w:name="_Toc18229"/>
      <w:r>
        <w:rPr>
          <w:rFonts w:hint="eastAsia" w:ascii="宋体" w:hAnsi="宋体" w:cs="宋体"/>
          <w:color w:val="auto"/>
          <w:sz w:val="24"/>
          <w:szCs w:val="24"/>
          <w:highlight w:val="none"/>
        </w:rPr>
        <w:t>八、其他资料</w:t>
      </w:r>
      <w:bookmarkEnd w:id="162"/>
    </w:p>
    <w:p w14:paraId="5211192C">
      <w:pPr>
        <w:jc w:val="center"/>
        <w:rPr>
          <w:rFonts w:hint="eastAsia" w:ascii="宋体" w:hAnsi="宋体" w:cs="宋体"/>
          <w:b/>
          <w:color w:val="auto"/>
          <w:sz w:val="28"/>
          <w:szCs w:val="28"/>
          <w:highlight w:val="none"/>
        </w:rPr>
      </w:pPr>
      <w:r>
        <w:rPr>
          <w:rFonts w:hint="eastAsia" w:ascii="宋体" w:hAnsi="宋体" w:cs="宋体"/>
          <w:b/>
          <w:bCs/>
          <w:color w:val="auto"/>
          <w:kern w:val="0"/>
          <w:sz w:val="24"/>
          <w:szCs w:val="24"/>
          <w:highlight w:val="none"/>
        </w:rPr>
        <w:br w:type="page"/>
      </w:r>
      <w:r>
        <w:rPr>
          <w:rFonts w:hint="eastAsia" w:ascii="宋体" w:hAnsi="宋体" w:cs="宋体"/>
          <w:b/>
          <w:color w:val="auto"/>
          <w:sz w:val="28"/>
          <w:szCs w:val="28"/>
          <w:highlight w:val="none"/>
        </w:rPr>
        <w:t>一、法定代表人身份证明书</w:t>
      </w:r>
    </w:p>
    <w:p w14:paraId="74FFA085">
      <w:pPr>
        <w:spacing w:line="440" w:lineRule="exact"/>
        <w:rPr>
          <w:rFonts w:hint="eastAsia" w:ascii="宋体" w:hAnsi="宋体" w:cs="宋体"/>
          <w:b/>
          <w:bCs/>
          <w:color w:val="auto"/>
          <w:sz w:val="32"/>
          <w:szCs w:val="32"/>
          <w:highlight w:val="none"/>
        </w:rPr>
      </w:pPr>
    </w:p>
    <w:p w14:paraId="0DBE11F8">
      <w:pPr>
        <w:spacing w:line="480" w:lineRule="auto"/>
        <w:ind w:firstLine="612"/>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14:paraId="4FC4101D">
      <w:pPr>
        <w:spacing w:line="480" w:lineRule="auto"/>
        <w:ind w:firstLine="61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单位性质：</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14:paraId="2FAB0B24">
      <w:pPr>
        <w:spacing w:line="480" w:lineRule="auto"/>
        <w:ind w:firstLine="61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14:paraId="4FD73F6A">
      <w:pPr>
        <w:spacing w:line="480" w:lineRule="auto"/>
        <w:ind w:firstLine="610"/>
        <w:rPr>
          <w:rFonts w:hint="eastAsia" w:ascii="宋体" w:hAnsi="宋体" w:cs="宋体"/>
          <w:color w:val="auto"/>
          <w:sz w:val="24"/>
          <w:szCs w:val="24"/>
          <w:highlight w:val="none"/>
        </w:rPr>
      </w:pPr>
      <w:r>
        <w:rPr>
          <w:rFonts w:hint="eastAsia" w:ascii="宋体" w:hAnsi="宋体" w:cs="宋体"/>
          <w:color w:val="auto"/>
          <w:sz w:val="24"/>
          <w:szCs w:val="24"/>
          <w:highlight w:val="none"/>
        </w:rPr>
        <w:t>成立时间：   年   月   日</w:t>
      </w:r>
    </w:p>
    <w:p w14:paraId="0FA8AF76">
      <w:pPr>
        <w:spacing w:line="480" w:lineRule="auto"/>
        <w:ind w:firstLine="61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经营期限：</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14:paraId="555FEF33">
      <w:pPr>
        <w:spacing w:line="480" w:lineRule="auto"/>
        <w:ind w:firstLine="61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姓名：性别：年龄：职务：</w:t>
      </w:r>
      <w:r>
        <w:rPr>
          <w:rFonts w:hint="eastAsia" w:ascii="宋体" w:hAnsi="宋体" w:cs="宋体"/>
          <w:color w:val="auto"/>
          <w:sz w:val="24"/>
          <w:szCs w:val="24"/>
          <w:highlight w:val="none"/>
          <w:u w:val="single"/>
        </w:rPr>
        <w:tab/>
      </w:r>
    </w:p>
    <w:p w14:paraId="5C684D3E">
      <w:pPr>
        <w:spacing w:line="480" w:lineRule="auto"/>
        <w:ind w:firstLine="610"/>
        <w:rPr>
          <w:rFonts w:hint="eastAsia"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供应商</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的法定代表人。</w:t>
      </w:r>
    </w:p>
    <w:p w14:paraId="28683BEF">
      <w:pPr>
        <w:spacing w:line="480" w:lineRule="auto"/>
        <w:ind w:firstLine="610"/>
        <w:rPr>
          <w:rFonts w:hint="eastAsia" w:ascii="宋体" w:hAnsi="宋体" w:cs="宋体"/>
          <w:color w:val="auto"/>
          <w:sz w:val="24"/>
          <w:szCs w:val="24"/>
          <w:highlight w:val="none"/>
        </w:rPr>
      </w:pPr>
    </w:p>
    <w:p w14:paraId="41D015B1">
      <w:pPr>
        <w:spacing w:line="480" w:lineRule="auto"/>
        <w:ind w:firstLine="1089" w:firstLineChars="454"/>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66DD0748">
      <w:pPr>
        <w:tabs>
          <w:tab w:val="left" w:pos="720"/>
          <w:tab w:val="left" w:pos="900"/>
        </w:tabs>
        <w:spacing w:line="480" w:lineRule="auto"/>
        <w:ind w:firstLine="5040" w:firstLineChars="2100"/>
        <w:rPr>
          <w:rFonts w:hint="eastAsia" w:ascii="宋体" w:hAnsi="宋体" w:cs="宋体"/>
          <w:color w:val="auto"/>
          <w:sz w:val="24"/>
          <w:szCs w:val="24"/>
          <w:highlight w:val="none"/>
        </w:rPr>
      </w:pPr>
    </w:p>
    <w:p w14:paraId="486D4925">
      <w:pPr>
        <w:wordWrap w:val="0"/>
        <w:spacing w:line="520" w:lineRule="exact"/>
        <w:ind w:firstLine="2400" w:firstLineChars="1000"/>
        <w:rPr>
          <w:rFonts w:hint="eastAsia" w:ascii="宋体" w:hAnsi="宋体" w:cs="宋体"/>
          <w:color w:val="auto"/>
          <w:sz w:val="24"/>
          <w:szCs w:val="22"/>
          <w:highlight w:val="none"/>
          <w:u w:val="single"/>
        </w:rPr>
      </w:pPr>
      <w:r>
        <w:rPr>
          <w:rFonts w:hint="eastAsia" w:ascii="宋体" w:hAnsi="宋体" w:cs="宋体"/>
          <w:color w:val="auto"/>
          <w:sz w:val="24"/>
          <w:szCs w:val="22"/>
          <w:highlight w:val="none"/>
        </w:rPr>
        <w:t xml:space="preserve">             </w:t>
      </w:r>
      <w:r>
        <w:rPr>
          <w:rFonts w:hint="eastAsia" w:ascii="宋体" w:hAnsi="宋体" w:cs="宋体"/>
          <w:color w:val="auto"/>
          <w:sz w:val="24"/>
          <w:szCs w:val="22"/>
          <w:highlight w:val="none"/>
          <w:lang w:eastAsia="zh-CN"/>
        </w:rPr>
        <w:t>供应商</w:t>
      </w:r>
      <w:r>
        <w:rPr>
          <w:rFonts w:hint="eastAsia" w:ascii="宋体" w:hAnsi="宋体" w:cs="宋体"/>
          <w:color w:val="auto"/>
          <w:sz w:val="24"/>
          <w:szCs w:val="22"/>
          <w:highlight w:val="none"/>
        </w:rPr>
        <w:t>（</w:t>
      </w:r>
      <w:r>
        <w:rPr>
          <w:rFonts w:hint="eastAsia" w:ascii="宋体" w:hAnsi="宋体" w:cs="宋体"/>
          <w:color w:val="auto"/>
          <w:sz w:val="24"/>
          <w:szCs w:val="24"/>
          <w:highlight w:val="none"/>
          <w:u w:val="single"/>
        </w:rPr>
        <w:t>盖章</w:t>
      </w:r>
      <w:r>
        <w:rPr>
          <w:rFonts w:hint="eastAsia" w:ascii="宋体" w:hAnsi="宋体" w:cs="宋体"/>
          <w:color w:val="auto"/>
          <w:sz w:val="24"/>
          <w:szCs w:val="22"/>
          <w:highlight w:val="none"/>
        </w:rPr>
        <w:t>）：</w:t>
      </w:r>
    </w:p>
    <w:p w14:paraId="239BF12D">
      <w:pPr>
        <w:spacing w:line="520" w:lineRule="exact"/>
        <w:ind w:firstLine="480" w:firstLineChars="200"/>
        <w:rPr>
          <w:rFonts w:hint="eastAsia" w:ascii="宋体" w:hAnsi="宋体" w:cs="宋体"/>
          <w:color w:val="auto"/>
          <w:sz w:val="24"/>
          <w:szCs w:val="22"/>
          <w:highlight w:val="none"/>
          <w:u w:val="single"/>
        </w:rPr>
      </w:pPr>
      <w:r>
        <w:rPr>
          <w:rFonts w:hint="eastAsia" w:ascii="宋体" w:hAnsi="宋体" w:cs="宋体"/>
          <w:color w:val="auto"/>
          <w:sz w:val="24"/>
          <w:szCs w:val="22"/>
          <w:highlight w:val="none"/>
        </w:rPr>
        <w:t xml:space="preserve">                             法定代表人（签章）： </w:t>
      </w:r>
    </w:p>
    <w:p w14:paraId="308011EE">
      <w:pPr>
        <w:spacing w:line="520" w:lineRule="exact"/>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                             日   期：年月日</w:t>
      </w:r>
    </w:p>
    <w:p w14:paraId="3C3CB559">
      <w:pPr>
        <w:spacing w:line="520" w:lineRule="exact"/>
        <w:rPr>
          <w:rFonts w:hint="eastAsia" w:ascii="宋体" w:hAnsi="宋体" w:cs="宋体"/>
          <w:color w:val="auto"/>
          <w:sz w:val="24"/>
          <w:szCs w:val="22"/>
          <w:highlight w:val="none"/>
        </w:rPr>
      </w:pPr>
    </w:p>
    <w:tbl>
      <w:tblPr>
        <w:tblStyle w:val="22"/>
        <w:tblW w:w="0" w:type="auto"/>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14:paraId="7CAEF16C">
        <w:trPr>
          <w:trHeight w:val="2573" w:hRule="atLeast"/>
        </w:trPr>
        <w:tc>
          <w:tcPr>
            <w:tcW w:w="7331" w:type="dxa"/>
            <w:vAlign w:val="center"/>
          </w:tcPr>
          <w:p w14:paraId="0005E1AA">
            <w:pPr>
              <w:jc w:val="center"/>
              <w:rPr>
                <w:rFonts w:hint="eastAsia" w:ascii="宋体" w:hAnsi="宋体" w:cs="宋体"/>
                <w:color w:val="auto"/>
                <w:sz w:val="28"/>
                <w:szCs w:val="22"/>
                <w:highlight w:val="none"/>
              </w:rPr>
            </w:pPr>
            <w:r>
              <w:rPr>
                <w:rFonts w:hint="eastAsia" w:ascii="宋体" w:hAnsi="宋体" w:cs="宋体"/>
                <w:color w:val="auto"/>
                <w:kern w:val="0"/>
                <w:sz w:val="28"/>
                <w:szCs w:val="28"/>
                <w:highlight w:val="none"/>
              </w:rPr>
              <w:t>法定代表人身份证复印件（或扫描件）</w:t>
            </w:r>
          </w:p>
        </w:tc>
      </w:tr>
    </w:tbl>
    <w:p w14:paraId="5E70C50E">
      <w:pPr>
        <w:spacing w:line="520" w:lineRule="exact"/>
        <w:rPr>
          <w:rFonts w:hint="eastAsia" w:ascii="宋体" w:hAnsi="宋体" w:cs="宋体"/>
          <w:color w:val="auto"/>
          <w:sz w:val="24"/>
          <w:szCs w:val="22"/>
          <w:highlight w:val="none"/>
        </w:rPr>
      </w:pPr>
    </w:p>
    <w:p w14:paraId="2744856D">
      <w:pPr>
        <w:pStyle w:val="13"/>
        <w:rPr>
          <w:rFonts w:hint="eastAsia" w:ascii="宋体" w:hAnsi="宋体" w:eastAsia="宋体"/>
          <w:color w:val="auto"/>
          <w:highlight w:val="none"/>
        </w:rPr>
      </w:pPr>
    </w:p>
    <w:p w14:paraId="0ABF6A30">
      <w:pPr>
        <w:pStyle w:val="14"/>
        <w:rPr>
          <w:rFonts w:hint="eastAsia" w:ascii="宋体" w:hAnsi="宋体" w:cs="宋体"/>
          <w:color w:val="auto"/>
          <w:highlight w:val="none"/>
        </w:rPr>
      </w:pPr>
    </w:p>
    <w:p w14:paraId="6C5960C4">
      <w:pPr>
        <w:pStyle w:val="14"/>
        <w:rPr>
          <w:rFonts w:hint="eastAsia" w:ascii="宋体" w:hAnsi="宋体" w:cs="宋体"/>
          <w:color w:val="auto"/>
          <w:highlight w:val="none"/>
        </w:rPr>
      </w:pPr>
    </w:p>
    <w:p w14:paraId="44D207CA">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3BE23B49">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二、投标文件签署授权委托书</w:t>
      </w:r>
    </w:p>
    <w:p w14:paraId="71093190">
      <w:pPr>
        <w:pStyle w:val="13"/>
        <w:rPr>
          <w:rFonts w:hint="eastAsia" w:ascii="宋体" w:hAnsi="宋体" w:eastAsia="宋体"/>
          <w:color w:val="auto"/>
          <w:highlight w:val="none"/>
        </w:rPr>
      </w:pPr>
    </w:p>
    <w:p w14:paraId="08BF5D8C">
      <w:pPr>
        <w:tabs>
          <w:tab w:val="left" w:pos="3240"/>
        </w:tabs>
        <w:spacing w:line="480" w:lineRule="auto"/>
        <w:ind w:firstLine="612"/>
        <w:rPr>
          <w:rFonts w:hint="eastAsia" w:ascii="宋体" w:hAnsi="宋体" w:cs="宋体"/>
          <w:color w:val="auto"/>
          <w:sz w:val="24"/>
          <w:szCs w:val="24"/>
          <w:highlight w:val="none"/>
        </w:rPr>
      </w:pPr>
      <w:r>
        <w:rPr>
          <w:rFonts w:hint="eastAsia" w:ascii="宋体" w:hAnsi="宋体" w:cs="宋体"/>
          <w:color w:val="auto"/>
          <w:sz w:val="24"/>
          <w:szCs w:val="24"/>
          <w:highlight w:val="none"/>
        </w:rPr>
        <w:t>本授权委托书声明：我</w:t>
      </w:r>
      <w:r>
        <w:rPr>
          <w:rFonts w:hint="eastAsia" w:ascii="宋体" w:hAnsi="宋体" w:cs="宋体"/>
          <w:color w:val="auto"/>
          <w:sz w:val="24"/>
          <w:szCs w:val="24"/>
          <w:highlight w:val="none"/>
          <w:u w:val="single"/>
        </w:rPr>
        <w:t>（法定代表人）</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供应商</w:t>
      </w:r>
      <w:r>
        <w:rPr>
          <w:rFonts w:hint="eastAsia" w:ascii="宋体" w:hAnsi="宋体" w:cs="宋体"/>
          <w:color w:val="auto"/>
          <w:sz w:val="24"/>
          <w:szCs w:val="24"/>
          <w:highlight w:val="none"/>
          <w:u w:val="single"/>
        </w:rPr>
        <w:t>名称）</w:t>
      </w:r>
      <w:r>
        <w:rPr>
          <w:rFonts w:hint="eastAsia" w:ascii="宋体" w:hAnsi="宋体" w:cs="宋体"/>
          <w:color w:val="auto"/>
          <w:sz w:val="24"/>
          <w:szCs w:val="24"/>
          <w:highlight w:val="none"/>
        </w:rPr>
        <w:t>的法定代表人，现授权委托</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rPr>
        <w:t>为我公司签署本项目的投标文件的法定代表人授权委托代理人，我承认代理人全权代表我所签署的</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包的投标文件的内容。同时授权委托该同志代表我公司参加本项目的投标、开标、合同谈判、处理有关事务等并有权签署有关文件。</w:t>
      </w:r>
    </w:p>
    <w:p w14:paraId="30747DA1">
      <w:pPr>
        <w:tabs>
          <w:tab w:val="left" w:pos="3240"/>
        </w:tabs>
        <w:spacing w:line="48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委托期限：</w:t>
      </w:r>
    </w:p>
    <w:p w14:paraId="0004650E">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代理人无转委托权，特此委托。</w:t>
      </w:r>
    </w:p>
    <w:p w14:paraId="43A57C37">
      <w:pPr>
        <w:spacing w:line="480" w:lineRule="auto"/>
        <w:ind w:firstLine="4320" w:firstLineChars="18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（盖章）     </w:t>
      </w:r>
    </w:p>
    <w:p w14:paraId="3E9B1150">
      <w:pPr>
        <w:spacing w:line="480" w:lineRule="auto"/>
        <w:ind w:firstLine="4320" w:firstLineChars="18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（签章）     </w:t>
      </w:r>
    </w:p>
    <w:p w14:paraId="5DF40EC4">
      <w:pPr>
        <w:spacing w:line="480" w:lineRule="auto"/>
        <w:ind w:firstLine="4320" w:firstLineChars="18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代理人（签字）：</w:t>
      </w:r>
    </w:p>
    <w:p w14:paraId="76E753D6">
      <w:pPr>
        <w:spacing w:line="480" w:lineRule="auto"/>
        <w:ind w:firstLine="4320" w:firstLineChars="18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身份证号码：</w:t>
      </w:r>
    </w:p>
    <w:p w14:paraId="23882265">
      <w:pPr>
        <w:spacing w:line="480" w:lineRule="auto"/>
        <w:ind w:firstLine="4320" w:firstLineChars="18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联系电话：</w:t>
      </w:r>
    </w:p>
    <w:p w14:paraId="389C34AA">
      <w:pPr>
        <w:spacing w:line="480" w:lineRule="auto"/>
        <w:ind w:firstLine="4320" w:firstLineChars="1800"/>
        <w:rPr>
          <w:rFonts w:hint="eastAsia" w:ascii="宋体" w:hAnsi="宋体" w:cs="宋体"/>
          <w:color w:val="auto"/>
          <w:sz w:val="24"/>
          <w:szCs w:val="24"/>
          <w:highlight w:val="none"/>
        </w:rPr>
      </w:pPr>
      <w:r>
        <w:rPr>
          <w:rFonts w:hint="eastAsia" w:ascii="宋体" w:hAnsi="宋体" w:cs="宋体"/>
          <w:color w:val="auto"/>
          <w:sz w:val="24"/>
          <w:szCs w:val="24"/>
          <w:highlight w:val="none"/>
        </w:rPr>
        <w:t>授权委托日期：    年   月   日</w:t>
      </w:r>
    </w:p>
    <w:p w14:paraId="5B9D2B88">
      <w:pPr>
        <w:rPr>
          <w:rFonts w:hint="eastAsia" w:ascii="宋体" w:hAnsi="宋体" w:cs="宋体"/>
          <w:color w:val="auto"/>
          <w:szCs w:val="22"/>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7"/>
      </w:tblGrid>
      <w:tr w14:paraId="30105736">
        <w:trPr>
          <w:trHeight w:val="1840" w:hRule="atLeast"/>
          <w:jc w:val="center"/>
        </w:trPr>
        <w:tc>
          <w:tcPr>
            <w:tcW w:w="6727" w:type="dxa"/>
            <w:vAlign w:val="center"/>
          </w:tcPr>
          <w:p w14:paraId="379BEF14">
            <w:pPr>
              <w:jc w:val="center"/>
              <w:rPr>
                <w:rFonts w:hint="eastAsia" w:ascii="宋体" w:hAnsi="宋体" w:cs="宋体"/>
                <w:color w:val="auto"/>
                <w:szCs w:val="22"/>
                <w:highlight w:val="none"/>
              </w:rPr>
            </w:pPr>
          </w:p>
          <w:p w14:paraId="742F909A">
            <w:pPr>
              <w:jc w:val="center"/>
              <w:rPr>
                <w:rFonts w:hint="eastAsia" w:ascii="宋体" w:hAnsi="宋体" w:cs="宋体"/>
                <w:color w:val="auto"/>
                <w:szCs w:val="22"/>
                <w:highlight w:val="none"/>
              </w:rPr>
            </w:pPr>
          </w:p>
          <w:p w14:paraId="5FCB68F1">
            <w:pPr>
              <w:ind w:firstLine="1540" w:firstLineChars="550"/>
              <w:rPr>
                <w:rFonts w:hint="eastAsia" w:ascii="宋体" w:hAnsi="宋体" w:cs="宋体"/>
                <w:color w:val="auto"/>
                <w:szCs w:val="22"/>
                <w:highlight w:val="none"/>
              </w:rPr>
            </w:pPr>
            <w:r>
              <w:rPr>
                <w:rFonts w:hint="eastAsia" w:ascii="宋体" w:hAnsi="宋体" w:cs="宋体"/>
                <w:color w:val="auto"/>
                <w:kern w:val="0"/>
                <w:sz w:val="28"/>
                <w:szCs w:val="28"/>
                <w:highlight w:val="none"/>
              </w:rPr>
              <w:t>委托代理人身份证复印件（或扫描件）</w:t>
            </w:r>
          </w:p>
          <w:p w14:paraId="1985CF47">
            <w:pPr>
              <w:jc w:val="center"/>
              <w:rPr>
                <w:rFonts w:hint="eastAsia" w:ascii="宋体" w:hAnsi="宋体" w:cs="宋体"/>
                <w:color w:val="auto"/>
                <w:szCs w:val="22"/>
                <w:highlight w:val="none"/>
              </w:rPr>
            </w:pPr>
          </w:p>
          <w:p w14:paraId="3D6D9595">
            <w:pPr>
              <w:rPr>
                <w:rFonts w:hint="eastAsia" w:ascii="宋体" w:hAnsi="宋体" w:cs="宋体"/>
                <w:color w:val="auto"/>
                <w:szCs w:val="22"/>
                <w:highlight w:val="none"/>
              </w:rPr>
            </w:pPr>
          </w:p>
        </w:tc>
      </w:tr>
    </w:tbl>
    <w:p w14:paraId="7DEE8389">
      <w:pPr>
        <w:rPr>
          <w:rFonts w:hint="eastAsia" w:ascii="宋体" w:hAnsi="宋体" w:cs="宋体"/>
          <w:color w:val="auto"/>
          <w:szCs w:val="22"/>
          <w:highlight w:val="none"/>
        </w:rPr>
      </w:pPr>
    </w:p>
    <w:p w14:paraId="42392591">
      <w:pPr>
        <w:rPr>
          <w:rFonts w:hint="eastAsia" w:ascii="宋体" w:hAnsi="宋体" w:cs="宋体"/>
          <w:color w:val="auto"/>
          <w:szCs w:val="22"/>
          <w:highlight w:val="none"/>
        </w:rPr>
      </w:pPr>
      <w:r>
        <w:rPr>
          <w:rFonts w:hint="eastAsia" w:ascii="宋体" w:hAnsi="宋体" w:cs="宋体"/>
          <w:bCs/>
          <w:color w:val="auto"/>
          <w:sz w:val="24"/>
          <w:szCs w:val="22"/>
          <w:highlight w:val="none"/>
        </w:rPr>
        <w:t>因本项目为电子标，委托代理人无法手写签字，可以电脑打印字体为准或以法定代表人签章为准。</w:t>
      </w:r>
    </w:p>
    <w:p w14:paraId="2562FCD3">
      <w:pPr>
        <w:jc w:val="center"/>
        <w:rPr>
          <w:rFonts w:hint="eastAsia" w:ascii="宋体" w:hAnsi="宋体" w:cs="宋体"/>
          <w:b/>
          <w:bCs/>
          <w:color w:val="auto"/>
          <w:sz w:val="32"/>
          <w:szCs w:val="32"/>
          <w:highlight w:val="none"/>
        </w:rPr>
      </w:pPr>
    </w:p>
    <w:p w14:paraId="4D479809">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189F9A0">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三、投标函及投标函附录</w:t>
      </w:r>
    </w:p>
    <w:p w14:paraId="053A5A34">
      <w:pPr>
        <w:keepNext/>
        <w:keepLines/>
        <w:numPr>
          <w:ilvl w:val="1"/>
          <w:numId w:val="0"/>
        </w:numPr>
        <w:spacing w:before="260" w:after="260" w:line="412" w:lineRule="auto"/>
        <w:jc w:val="center"/>
        <w:outlineLvl w:val="1"/>
        <w:rPr>
          <w:rFonts w:hint="eastAsia" w:ascii="宋体" w:hAnsi="宋体" w:cs="宋体"/>
          <w:b/>
          <w:color w:val="auto"/>
          <w:kern w:val="0"/>
          <w:sz w:val="28"/>
          <w:szCs w:val="28"/>
          <w:highlight w:val="none"/>
        </w:rPr>
      </w:pPr>
      <w:bookmarkStart w:id="163" w:name="_Toc13622"/>
      <w:r>
        <w:rPr>
          <w:rFonts w:hint="eastAsia" w:ascii="宋体" w:hAnsi="宋体" w:cs="宋体"/>
          <w:b/>
          <w:color w:val="auto"/>
          <w:kern w:val="0"/>
          <w:sz w:val="28"/>
          <w:szCs w:val="28"/>
          <w:highlight w:val="none"/>
        </w:rPr>
        <w:t>1.投标函</w:t>
      </w:r>
      <w:bookmarkEnd w:id="163"/>
    </w:p>
    <w:p w14:paraId="2AA31FA9">
      <w:pPr>
        <w:spacing w:line="360" w:lineRule="auto"/>
        <w:jc w:val="left"/>
        <w:rPr>
          <w:rFonts w:hint="eastAsia" w:ascii="宋体" w:hAnsi="宋体" w:cs="宋体"/>
          <w:color w:val="auto"/>
          <w:spacing w:val="24"/>
          <w:sz w:val="24"/>
          <w:szCs w:val="24"/>
          <w:highlight w:val="none"/>
        </w:rPr>
      </w:pPr>
      <w:r>
        <w:rPr>
          <w:rFonts w:hint="eastAsia" w:ascii="宋体" w:hAnsi="宋体" w:cs="宋体"/>
          <w:color w:val="auto"/>
          <w:spacing w:val="24"/>
          <w:sz w:val="24"/>
          <w:szCs w:val="24"/>
          <w:highlight w:val="none"/>
        </w:rPr>
        <w:t>致：</w:t>
      </w:r>
      <w:r>
        <w:rPr>
          <w:rFonts w:hint="eastAsia" w:ascii="宋体" w:hAnsi="宋体" w:cs="宋体"/>
          <w:color w:val="auto"/>
          <w:spacing w:val="24"/>
          <w:sz w:val="24"/>
          <w:szCs w:val="24"/>
          <w:highlight w:val="none"/>
          <w:u w:val="single"/>
        </w:rPr>
        <w:t>（采购人）</w:t>
      </w:r>
    </w:p>
    <w:p w14:paraId="4F0254A9">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根据已收到贵方的</w:t>
      </w:r>
      <w:r>
        <w:rPr>
          <w:rFonts w:hint="eastAsia" w:ascii="宋体" w:hAnsi="宋体" w:cs="宋体"/>
          <w:color w:val="auto"/>
          <w:sz w:val="24"/>
          <w:szCs w:val="24"/>
          <w:highlight w:val="none"/>
          <w:u w:val="single"/>
        </w:rPr>
        <w:t>（项目名称） 包</w:t>
      </w:r>
      <w:r>
        <w:rPr>
          <w:rFonts w:hint="eastAsia" w:ascii="宋体" w:hAnsi="宋体" w:cs="宋体"/>
          <w:color w:val="auto"/>
          <w:sz w:val="24"/>
          <w:szCs w:val="24"/>
          <w:highlight w:val="none"/>
        </w:rPr>
        <w:t>的招标文件，遵照《中华人民共和国政府采购法》等有关规定，我单位经研究上述招标文件的投标须知、合同条款、技术参数及其它有关文件后，我方愿以人民币（大写）：元（小写：元）的投标报价，为,承包上述项目服务</w:t>
      </w:r>
      <w:r>
        <w:rPr>
          <w:rFonts w:hint="eastAsia" w:ascii="宋体" w:hAnsi="宋体" w:cs="宋体"/>
          <w:color w:val="auto"/>
          <w:sz w:val="24"/>
          <w:szCs w:val="24"/>
          <w:highlight w:val="none"/>
          <w:shd w:val="clear" w:color="auto" w:fill="FFFFFF"/>
        </w:rPr>
        <w:t>。</w:t>
      </w:r>
    </w:p>
    <w:p w14:paraId="2776AF10">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0F26C039">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2、我方承认投标函附表是我方投标函的组成部分。</w:t>
      </w:r>
    </w:p>
    <w:p w14:paraId="5CA9022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3、如我方中标，我方承诺在收到中标通知书后，在中标通知书规定的期限内，根据招标文件、我方的投标文件及有关澄清承诺书的要求，与采购人订立书面合同，并按照合同约定承担完成合同的责任和义务。</w:t>
      </w:r>
    </w:p>
    <w:p w14:paraId="5AC47BE4">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4、我方同意自本项目招标文件中规定的投标有效期内有效，并承诺在投标有效期内不修改、撤销投标文件。</w:t>
      </w:r>
    </w:p>
    <w:p w14:paraId="3ED1BEFB">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5、我方完全理解贵方不一定接受投标报价最低的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为中标供应商的行为。</w:t>
      </w:r>
    </w:p>
    <w:p w14:paraId="0F988545">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6、我方在此声明，所递交的投标文件及有关资料内容完整、真实和准确。</w:t>
      </w:r>
    </w:p>
    <w:p w14:paraId="693D52A0">
      <w:pPr>
        <w:spacing w:line="360" w:lineRule="auto"/>
        <w:rPr>
          <w:rFonts w:hint="eastAsia" w:ascii="宋体" w:hAnsi="宋体" w:cs="宋体"/>
          <w:color w:val="auto"/>
          <w:spacing w:val="24"/>
          <w:szCs w:val="24"/>
          <w:highlight w:val="none"/>
        </w:rPr>
      </w:pPr>
    </w:p>
    <w:p w14:paraId="7097A48E">
      <w:pPr>
        <w:spacing w:line="360" w:lineRule="auto"/>
        <w:rPr>
          <w:rFonts w:hint="eastAsia" w:ascii="宋体" w:hAnsi="宋体" w:cs="宋体"/>
          <w:color w:val="auto"/>
          <w:spacing w:val="24"/>
          <w:szCs w:val="24"/>
          <w:highlight w:val="none"/>
        </w:rPr>
      </w:pPr>
    </w:p>
    <w:p w14:paraId="0490D307">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(盖章)：</w:t>
      </w:r>
    </w:p>
    <w:p w14:paraId="42FC5556">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法定代表人或其委托代理人(签字或盖章)：</w:t>
      </w:r>
    </w:p>
    <w:p w14:paraId="65629B02">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日期：年月日</w:t>
      </w:r>
    </w:p>
    <w:p w14:paraId="12E1829B">
      <w:pPr>
        <w:spacing w:line="360" w:lineRule="auto"/>
        <w:rPr>
          <w:rFonts w:hint="eastAsia" w:ascii="宋体" w:hAnsi="宋体" w:cs="宋体"/>
          <w:b/>
          <w:bCs/>
          <w:color w:val="auto"/>
          <w:sz w:val="32"/>
          <w:szCs w:val="32"/>
          <w:highlight w:val="none"/>
        </w:rPr>
      </w:pPr>
    </w:p>
    <w:p w14:paraId="0C5EBB42">
      <w:pPr>
        <w:jc w:val="center"/>
        <w:rPr>
          <w:rFonts w:hint="eastAsia" w:ascii="宋体" w:hAnsi="宋体" w:cs="宋体"/>
          <w:b/>
          <w:bCs/>
          <w:color w:val="auto"/>
          <w:sz w:val="28"/>
          <w:szCs w:val="28"/>
          <w:highlight w:val="none"/>
        </w:rPr>
      </w:pPr>
    </w:p>
    <w:p w14:paraId="67AAA3A5">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05C36D8">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2、投标函附表</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227"/>
      </w:tblGrid>
      <w:tr w14:paraId="54A7E327">
        <w:trPr>
          <w:cantSplit/>
          <w:trHeight w:val="718" w:hRule="exact"/>
        </w:trPr>
        <w:tc>
          <w:tcPr>
            <w:tcW w:w="2552" w:type="dxa"/>
            <w:vAlign w:val="center"/>
          </w:tcPr>
          <w:p w14:paraId="1CB0E1B3">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227" w:type="dxa"/>
            <w:vAlign w:val="center"/>
          </w:tcPr>
          <w:p w14:paraId="48CF52CA">
            <w:pPr>
              <w:spacing w:line="400" w:lineRule="exact"/>
              <w:rPr>
                <w:rFonts w:hint="eastAsia" w:ascii="宋体" w:hAnsi="宋体" w:cs="宋体"/>
                <w:color w:val="auto"/>
                <w:sz w:val="24"/>
                <w:szCs w:val="24"/>
                <w:highlight w:val="none"/>
              </w:rPr>
            </w:pPr>
          </w:p>
        </w:tc>
      </w:tr>
      <w:tr w14:paraId="067EF14B">
        <w:trPr>
          <w:cantSplit/>
          <w:trHeight w:val="700" w:hRule="exact"/>
        </w:trPr>
        <w:tc>
          <w:tcPr>
            <w:tcW w:w="2552" w:type="dxa"/>
            <w:vAlign w:val="center"/>
          </w:tcPr>
          <w:p w14:paraId="47C22BDB">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6227" w:type="dxa"/>
            <w:vAlign w:val="center"/>
          </w:tcPr>
          <w:p w14:paraId="7F193E7B">
            <w:pPr>
              <w:spacing w:line="400" w:lineRule="exact"/>
              <w:rPr>
                <w:rFonts w:hint="eastAsia" w:ascii="宋体" w:hAnsi="宋体" w:cs="宋体"/>
                <w:color w:val="auto"/>
                <w:sz w:val="24"/>
                <w:szCs w:val="24"/>
                <w:highlight w:val="none"/>
              </w:rPr>
            </w:pPr>
          </w:p>
        </w:tc>
      </w:tr>
      <w:tr w14:paraId="47A29DE8">
        <w:trPr>
          <w:cantSplit/>
          <w:trHeight w:val="710" w:hRule="exact"/>
        </w:trPr>
        <w:tc>
          <w:tcPr>
            <w:tcW w:w="2552" w:type="dxa"/>
            <w:vAlign w:val="center"/>
          </w:tcPr>
          <w:p w14:paraId="1D857F84">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227" w:type="dxa"/>
            <w:vAlign w:val="center"/>
          </w:tcPr>
          <w:p w14:paraId="2579AB05">
            <w:pPr>
              <w:spacing w:line="400" w:lineRule="exact"/>
              <w:rPr>
                <w:rFonts w:hint="eastAsia" w:ascii="宋体" w:hAnsi="宋体" w:cs="宋体"/>
                <w:color w:val="auto"/>
                <w:sz w:val="24"/>
                <w:szCs w:val="24"/>
                <w:highlight w:val="none"/>
              </w:rPr>
            </w:pPr>
          </w:p>
        </w:tc>
      </w:tr>
      <w:tr w14:paraId="7F2C5132">
        <w:trPr>
          <w:cantSplit/>
          <w:trHeight w:val="1143" w:hRule="exact"/>
        </w:trPr>
        <w:tc>
          <w:tcPr>
            <w:tcW w:w="2552" w:type="dxa"/>
            <w:vAlign w:val="center"/>
          </w:tcPr>
          <w:p w14:paraId="4490A4DF">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6227" w:type="dxa"/>
            <w:vAlign w:val="center"/>
          </w:tcPr>
          <w:p w14:paraId="7C11E5CF">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大写：     </w:t>
            </w:r>
          </w:p>
          <w:p w14:paraId="55AA3E7E">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小写：    元</w:t>
            </w:r>
          </w:p>
        </w:tc>
      </w:tr>
      <w:tr w14:paraId="03BB1596">
        <w:trPr>
          <w:cantSplit/>
          <w:trHeight w:val="753" w:hRule="exact"/>
        </w:trPr>
        <w:tc>
          <w:tcPr>
            <w:tcW w:w="2552" w:type="dxa"/>
            <w:vAlign w:val="center"/>
          </w:tcPr>
          <w:p w14:paraId="6233DACE">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服务期限</w:t>
            </w:r>
          </w:p>
        </w:tc>
        <w:tc>
          <w:tcPr>
            <w:tcW w:w="6227" w:type="dxa"/>
            <w:vAlign w:val="center"/>
          </w:tcPr>
          <w:p w14:paraId="7A5E038C">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合同签订后12个月内完成系统开发和项目建设</w:t>
            </w:r>
          </w:p>
        </w:tc>
      </w:tr>
      <w:tr w14:paraId="29B0A33A">
        <w:trPr>
          <w:cantSplit/>
          <w:trHeight w:val="753" w:hRule="exact"/>
        </w:trPr>
        <w:tc>
          <w:tcPr>
            <w:tcW w:w="2552" w:type="dxa"/>
            <w:vAlign w:val="center"/>
          </w:tcPr>
          <w:p w14:paraId="3B37DB8E">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质量要求</w:t>
            </w:r>
          </w:p>
        </w:tc>
        <w:tc>
          <w:tcPr>
            <w:tcW w:w="6227" w:type="dxa"/>
            <w:vAlign w:val="center"/>
          </w:tcPr>
          <w:p w14:paraId="68EEBC09">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合格，符合国家及行业标准，并满足采购人要求</w:t>
            </w:r>
          </w:p>
        </w:tc>
      </w:tr>
      <w:tr w14:paraId="1FDF00A3">
        <w:trPr>
          <w:cantSplit/>
          <w:trHeight w:val="753" w:hRule="exact"/>
        </w:trPr>
        <w:tc>
          <w:tcPr>
            <w:tcW w:w="2552" w:type="dxa"/>
            <w:vAlign w:val="center"/>
          </w:tcPr>
          <w:p w14:paraId="4E08B748">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质保期</w:t>
            </w:r>
          </w:p>
        </w:tc>
        <w:tc>
          <w:tcPr>
            <w:tcW w:w="6227" w:type="dxa"/>
            <w:vAlign w:val="center"/>
          </w:tcPr>
          <w:p w14:paraId="46937F70">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项目验收合格之日起叁年</w:t>
            </w:r>
          </w:p>
        </w:tc>
      </w:tr>
      <w:tr w14:paraId="53B098F4">
        <w:trPr>
          <w:cantSplit/>
          <w:trHeight w:val="753" w:hRule="exact"/>
        </w:trPr>
        <w:tc>
          <w:tcPr>
            <w:tcW w:w="2552" w:type="dxa"/>
            <w:vAlign w:val="center"/>
          </w:tcPr>
          <w:p w14:paraId="7872A881">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227" w:type="dxa"/>
            <w:vAlign w:val="center"/>
          </w:tcPr>
          <w:p w14:paraId="61B76528">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自投标文件递交截止之日起60日历天</w:t>
            </w:r>
          </w:p>
        </w:tc>
      </w:tr>
      <w:tr w14:paraId="3F404CA2">
        <w:trPr>
          <w:cantSplit/>
          <w:trHeight w:val="972" w:hRule="exact"/>
        </w:trPr>
        <w:tc>
          <w:tcPr>
            <w:tcW w:w="2552" w:type="dxa"/>
            <w:vAlign w:val="center"/>
          </w:tcPr>
          <w:p w14:paraId="38E8B849">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6227" w:type="dxa"/>
            <w:vAlign w:val="center"/>
          </w:tcPr>
          <w:p w14:paraId="52F294B9">
            <w:pPr>
              <w:spacing w:line="400" w:lineRule="exact"/>
              <w:jc w:val="center"/>
              <w:rPr>
                <w:rFonts w:hint="eastAsia" w:ascii="宋体" w:hAnsi="宋体" w:cs="宋体"/>
                <w:color w:val="auto"/>
                <w:sz w:val="24"/>
                <w:szCs w:val="24"/>
                <w:highlight w:val="none"/>
              </w:rPr>
            </w:pPr>
          </w:p>
        </w:tc>
      </w:tr>
    </w:tbl>
    <w:p w14:paraId="20C8AB02">
      <w:pPr>
        <w:snapToGrid w:val="0"/>
        <w:spacing w:line="580" w:lineRule="exact"/>
        <w:ind w:left="-18" w:leftChars="-22" w:right="-817" w:rightChars="-389" w:hanging="28" w:hangingChars="12"/>
        <w:rPr>
          <w:rFonts w:hint="eastAsia" w:ascii="宋体" w:hAnsi="宋体" w:cs="宋体"/>
          <w:color w:val="auto"/>
          <w:sz w:val="24"/>
          <w:szCs w:val="24"/>
          <w:highlight w:val="none"/>
        </w:rPr>
      </w:pPr>
    </w:p>
    <w:p w14:paraId="4D55427E">
      <w:pPr>
        <w:spacing w:line="360" w:lineRule="auto"/>
        <w:ind w:firstLine="3360" w:firstLineChars="1400"/>
        <w:rPr>
          <w:rFonts w:hint="eastAsia" w:ascii="宋体" w:hAnsi="宋体" w:cs="宋体"/>
          <w:color w:val="auto"/>
          <w:sz w:val="24"/>
          <w:szCs w:val="24"/>
          <w:highlight w:val="none"/>
        </w:rPr>
      </w:pPr>
    </w:p>
    <w:p w14:paraId="5AE4C2A6">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(盖章)：</w:t>
      </w:r>
    </w:p>
    <w:p w14:paraId="150C4335">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法定代表人或其委托代理人(签字或盖章)：</w:t>
      </w:r>
    </w:p>
    <w:p w14:paraId="127B071F">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日期：年月日</w:t>
      </w:r>
    </w:p>
    <w:p w14:paraId="21CD7ED2">
      <w:pPr>
        <w:rPr>
          <w:rFonts w:hint="eastAsia" w:ascii="宋体" w:hAnsi="宋体" w:cs="宋体"/>
          <w:color w:val="auto"/>
          <w:highlight w:val="none"/>
        </w:rPr>
      </w:pPr>
    </w:p>
    <w:p w14:paraId="63870864">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6E01383">
      <w:pPr>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3、分部分项报价表</w:t>
      </w:r>
    </w:p>
    <w:p w14:paraId="1D700CB4">
      <w:pPr>
        <w:rPr>
          <w:rFonts w:hint="eastAsia" w:ascii="宋体" w:hAnsi="宋体" w:cs="宋体"/>
          <w:b/>
          <w:bCs/>
          <w:color w:val="auto"/>
          <w:sz w:val="28"/>
          <w:szCs w:val="28"/>
          <w:highlight w:val="none"/>
        </w:rPr>
      </w:pPr>
    </w:p>
    <w:tbl>
      <w:tblPr>
        <w:tblStyle w:val="22"/>
        <w:tblW w:w="921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1900"/>
        <w:gridCol w:w="3000"/>
        <w:gridCol w:w="943"/>
        <w:gridCol w:w="1085"/>
        <w:gridCol w:w="786"/>
        <w:gridCol w:w="729"/>
      </w:tblGrid>
      <w:tr w14:paraId="54CE8FA6">
        <w:trPr>
          <w:trHeight w:val="3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7A7E">
            <w:pPr>
              <w:keepNext w:val="0"/>
              <w:keepLines w:val="0"/>
              <w:widowControl/>
              <w:suppressLineNumbers w:val="0"/>
              <w:jc w:val="both"/>
              <w:textAlignment w:val="center"/>
              <w:rPr>
                <w:rFonts w:hint="eastAsia" w:ascii="黑体" w:hAnsi="宋体" w:eastAsia="黑体" w:cs="黑体"/>
                <w:i w:val="0"/>
                <w:iCs w:val="0"/>
                <w:color w:val="auto"/>
                <w:sz w:val="24"/>
                <w:szCs w:val="24"/>
                <w:highlight w:val="none"/>
                <w:u w:val="none"/>
                <w:lang w:val="en-US" w:eastAsia="zh-CN"/>
              </w:rPr>
            </w:pPr>
            <w:r>
              <w:rPr>
                <w:rFonts w:hint="eastAsia" w:ascii="黑体" w:hAnsi="宋体" w:eastAsia="黑体" w:cs="黑体"/>
                <w:i w:val="0"/>
                <w:iCs w:val="0"/>
                <w:color w:val="auto"/>
                <w:sz w:val="24"/>
                <w:szCs w:val="24"/>
                <w:highlight w:val="none"/>
                <w:u w:val="none"/>
                <w:lang w:val="en-US" w:eastAsia="zh-CN"/>
              </w:rPr>
              <w:t>序号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CBF0">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项目名称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E247">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设备参数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BFBA">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DFEC">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数量</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9202">
            <w:pPr>
              <w:keepNext w:val="0"/>
              <w:keepLines w:val="0"/>
              <w:widowControl/>
              <w:suppressLineNumbers w:val="0"/>
              <w:jc w:val="both"/>
              <w:textAlignment w:val="center"/>
              <w:rPr>
                <w:rFonts w:hint="default" w:ascii="黑体" w:hAnsi="宋体" w:eastAsia="黑体" w:cs="黑体"/>
                <w:i w:val="0"/>
                <w:iCs w:val="0"/>
                <w:color w:val="auto"/>
                <w:kern w:val="0"/>
                <w:sz w:val="24"/>
                <w:szCs w:val="24"/>
                <w:highlight w:val="none"/>
                <w:u w:val="none"/>
                <w:lang w:val="en-US" w:eastAsia="zh-CN" w:bidi="ar"/>
              </w:rPr>
            </w:pPr>
            <w:r>
              <w:rPr>
                <w:rFonts w:hint="eastAsia" w:ascii="黑体" w:hAnsi="宋体" w:eastAsia="黑体" w:cs="黑体"/>
                <w:i w:val="0"/>
                <w:iCs w:val="0"/>
                <w:color w:val="auto"/>
                <w:kern w:val="0"/>
                <w:sz w:val="24"/>
                <w:szCs w:val="24"/>
                <w:highlight w:val="none"/>
                <w:u w:val="none"/>
                <w:lang w:val="en-US" w:eastAsia="zh-CN" w:bidi="ar"/>
              </w:rPr>
              <w:t>单价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CD8B">
            <w:pPr>
              <w:keepNext w:val="0"/>
              <w:keepLines w:val="0"/>
              <w:widowControl/>
              <w:suppressLineNumbers w:val="0"/>
              <w:jc w:val="center"/>
              <w:textAlignment w:val="center"/>
              <w:rPr>
                <w:rFonts w:hint="default" w:ascii="黑体" w:hAnsi="宋体" w:eastAsia="黑体" w:cs="黑体"/>
                <w:i w:val="0"/>
                <w:iCs w:val="0"/>
                <w:color w:val="auto"/>
                <w:kern w:val="0"/>
                <w:sz w:val="24"/>
                <w:szCs w:val="24"/>
                <w:highlight w:val="none"/>
                <w:u w:val="none"/>
                <w:lang w:val="en-US" w:eastAsia="zh-CN" w:bidi="ar"/>
              </w:rPr>
            </w:pPr>
            <w:r>
              <w:rPr>
                <w:rFonts w:hint="eastAsia" w:ascii="黑体" w:hAnsi="宋体" w:eastAsia="黑体" w:cs="黑体"/>
                <w:i w:val="0"/>
                <w:iCs w:val="0"/>
                <w:color w:val="auto"/>
                <w:kern w:val="0"/>
                <w:sz w:val="24"/>
                <w:szCs w:val="24"/>
                <w:highlight w:val="none"/>
                <w:u w:val="none"/>
                <w:lang w:val="en-US" w:eastAsia="zh-CN" w:bidi="ar"/>
              </w:rPr>
              <w:t>总价</w:t>
            </w:r>
          </w:p>
        </w:tc>
      </w:tr>
      <w:tr w14:paraId="07368D68">
        <w:trPr>
          <w:trHeight w:val="3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A208">
            <w:pPr>
              <w:keepNext w:val="0"/>
              <w:keepLines w:val="0"/>
              <w:widowControl/>
              <w:suppressLineNumbers w:val="0"/>
              <w:jc w:val="both"/>
              <w:textAlignment w:val="center"/>
              <w:rPr>
                <w:rFonts w:hint="eastAsia" w:ascii="黑体" w:hAnsi="宋体" w:eastAsia="黑体" w:cs="黑体"/>
                <w:i w:val="0"/>
                <w:iCs w:val="0"/>
                <w:color w:val="auto"/>
                <w:sz w:val="24"/>
                <w:szCs w:val="24"/>
                <w:highlight w:val="none"/>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BD2F">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9790">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5F90">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FC28">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0F53">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F7D3">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r>
      <w:tr w14:paraId="71578368">
        <w:trPr>
          <w:trHeight w:val="3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E4D9">
            <w:pPr>
              <w:keepNext w:val="0"/>
              <w:keepLines w:val="0"/>
              <w:widowControl/>
              <w:suppressLineNumbers w:val="0"/>
              <w:jc w:val="both"/>
              <w:textAlignment w:val="center"/>
              <w:rPr>
                <w:rFonts w:hint="eastAsia" w:ascii="黑体" w:hAnsi="宋体" w:eastAsia="黑体" w:cs="黑体"/>
                <w:i w:val="0"/>
                <w:iCs w:val="0"/>
                <w:color w:val="auto"/>
                <w:sz w:val="24"/>
                <w:szCs w:val="24"/>
                <w:highlight w:val="none"/>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5793">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72FB">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E240">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0E4F">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825A">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D3F">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r>
      <w:tr w14:paraId="05E96647">
        <w:trPr>
          <w:trHeight w:val="3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3B26">
            <w:pPr>
              <w:keepNext w:val="0"/>
              <w:keepLines w:val="0"/>
              <w:widowControl/>
              <w:suppressLineNumbers w:val="0"/>
              <w:jc w:val="both"/>
              <w:textAlignment w:val="center"/>
              <w:rPr>
                <w:rFonts w:hint="eastAsia" w:ascii="黑体" w:hAnsi="宋体" w:eastAsia="黑体" w:cs="黑体"/>
                <w:i w:val="0"/>
                <w:iCs w:val="0"/>
                <w:color w:val="auto"/>
                <w:sz w:val="24"/>
                <w:szCs w:val="24"/>
                <w:highlight w:val="none"/>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5130">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4BA9">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9D7B">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008A">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9BCB">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BE9A">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r>
      <w:tr w14:paraId="37AEB555">
        <w:trPr>
          <w:trHeight w:val="3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DA3A">
            <w:pPr>
              <w:keepNext w:val="0"/>
              <w:keepLines w:val="0"/>
              <w:widowControl/>
              <w:suppressLineNumbers w:val="0"/>
              <w:jc w:val="both"/>
              <w:textAlignment w:val="center"/>
              <w:rPr>
                <w:rFonts w:hint="eastAsia" w:ascii="黑体" w:hAnsi="宋体" w:eastAsia="黑体" w:cs="黑体"/>
                <w:i w:val="0"/>
                <w:iCs w:val="0"/>
                <w:color w:val="auto"/>
                <w:sz w:val="24"/>
                <w:szCs w:val="24"/>
                <w:highlight w:val="none"/>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E376">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E280">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BB32">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A434">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BC7A">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7147">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r>
      <w:tr w14:paraId="7E0BA4BC">
        <w:trPr>
          <w:trHeight w:val="3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78D2">
            <w:pPr>
              <w:keepNext w:val="0"/>
              <w:keepLines w:val="0"/>
              <w:widowControl/>
              <w:suppressLineNumbers w:val="0"/>
              <w:jc w:val="both"/>
              <w:textAlignment w:val="center"/>
              <w:rPr>
                <w:rFonts w:hint="eastAsia" w:ascii="黑体" w:hAnsi="宋体" w:eastAsia="黑体" w:cs="黑体"/>
                <w:i w:val="0"/>
                <w:iCs w:val="0"/>
                <w:color w:val="auto"/>
                <w:sz w:val="24"/>
                <w:szCs w:val="24"/>
                <w:highlight w:val="none"/>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59C6">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09C6">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45A9">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FF67">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5987">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024B">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r>
      <w:tr w14:paraId="7F40DCD1">
        <w:trPr>
          <w:trHeight w:val="3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02AC">
            <w:pPr>
              <w:keepNext w:val="0"/>
              <w:keepLines w:val="0"/>
              <w:widowControl/>
              <w:suppressLineNumbers w:val="0"/>
              <w:jc w:val="both"/>
              <w:textAlignment w:val="center"/>
              <w:rPr>
                <w:rFonts w:hint="eastAsia" w:ascii="黑体" w:hAnsi="宋体" w:eastAsia="黑体" w:cs="黑体"/>
                <w:i w:val="0"/>
                <w:iCs w:val="0"/>
                <w:color w:val="auto"/>
                <w:sz w:val="24"/>
                <w:szCs w:val="24"/>
                <w:highlight w:val="none"/>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0E67">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1773">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B668">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76FE">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B58E">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EBC9">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r>
      <w:tr w14:paraId="729D1F74">
        <w:trPr>
          <w:trHeight w:val="3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8AF">
            <w:pPr>
              <w:keepNext w:val="0"/>
              <w:keepLines w:val="0"/>
              <w:widowControl/>
              <w:suppressLineNumbers w:val="0"/>
              <w:jc w:val="both"/>
              <w:textAlignment w:val="center"/>
              <w:rPr>
                <w:rFonts w:hint="eastAsia" w:ascii="黑体" w:hAnsi="宋体" w:eastAsia="黑体" w:cs="黑体"/>
                <w:i w:val="0"/>
                <w:iCs w:val="0"/>
                <w:color w:val="auto"/>
                <w:sz w:val="24"/>
                <w:szCs w:val="24"/>
                <w:highlight w:val="none"/>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C7EC">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401C">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1F85">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A215">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3340">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7124">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r>
      <w:tr w14:paraId="2B9D7035">
        <w:trPr>
          <w:trHeight w:val="3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A61B">
            <w:pPr>
              <w:keepNext w:val="0"/>
              <w:keepLines w:val="0"/>
              <w:widowControl/>
              <w:suppressLineNumbers w:val="0"/>
              <w:jc w:val="both"/>
              <w:textAlignment w:val="center"/>
              <w:rPr>
                <w:rFonts w:hint="eastAsia" w:ascii="黑体" w:hAnsi="宋体" w:eastAsia="黑体" w:cs="黑体"/>
                <w:i w:val="0"/>
                <w:iCs w:val="0"/>
                <w:color w:val="auto"/>
                <w:sz w:val="24"/>
                <w:szCs w:val="24"/>
                <w:highlight w:val="none"/>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2CC5">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8611">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4D99">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50A7">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B254">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C977">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r>
      <w:tr w14:paraId="5E7EB05D">
        <w:trPr>
          <w:trHeight w:val="3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4F01">
            <w:pPr>
              <w:keepNext w:val="0"/>
              <w:keepLines w:val="0"/>
              <w:widowControl/>
              <w:suppressLineNumbers w:val="0"/>
              <w:jc w:val="both"/>
              <w:textAlignment w:val="center"/>
              <w:rPr>
                <w:rFonts w:hint="eastAsia" w:ascii="黑体" w:hAnsi="宋体" w:eastAsia="黑体" w:cs="黑体"/>
                <w:i w:val="0"/>
                <w:iCs w:val="0"/>
                <w:color w:val="auto"/>
                <w:sz w:val="24"/>
                <w:szCs w:val="24"/>
                <w:highlight w:val="none"/>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C44A">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379C">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8A86">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A46B">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F928">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D6EF">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r>
      <w:tr w14:paraId="3E4BFDDD">
        <w:trPr>
          <w:trHeight w:val="3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4A29">
            <w:pPr>
              <w:keepNext w:val="0"/>
              <w:keepLines w:val="0"/>
              <w:widowControl/>
              <w:suppressLineNumbers w:val="0"/>
              <w:jc w:val="both"/>
              <w:textAlignment w:val="center"/>
              <w:rPr>
                <w:rFonts w:hint="eastAsia" w:ascii="黑体" w:hAnsi="宋体" w:eastAsia="黑体" w:cs="黑体"/>
                <w:i w:val="0"/>
                <w:iCs w:val="0"/>
                <w:color w:val="auto"/>
                <w:sz w:val="24"/>
                <w:szCs w:val="24"/>
                <w:highlight w:val="none"/>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B491">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289E">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524C">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87E2">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38D8">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0059">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r>
      <w:tr w14:paraId="233DF174">
        <w:trPr>
          <w:trHeight w:val="3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0FB3">
            <w:pPr>
              <w:keepNext w:val="0"/>
              <w:keepLines w:val="0"/>
              <w:widowControl/>
              <w:suppressLineNumbers w:val="0"/>
              <w:jc w:val="both"/>
              <w:textAlignment w:val="center"/>
              <w:rPr>
                <w:rFonts w:hint="default" w:ascii="黑体" w:hAnsi="宋体" w:eastAsia="黑体" w:cs="黑体"/>
                <w:i w:val="0"/>
                <w:iCs w:val="0"/>
                <w:color w:val="auto"/>
                <w:sz w:val="24"/>
                <w:szCs w:val="24"/>
                <w:highlight w:val="none"/>
                <w:u w:val="none"/>
                <w:lang w:val="en-US" w:eastAsia="zh-CN"/>
              </w:rPr>
            </w:pPr>
            <w:r>
              <w:rPr>
                <w:rFonts w:hint="eastAsia" w:ascii="黑体" w:hAnsi="宋体" w:eastAsia="黑体" w:cs="黑体"/>
                <w:i w:val="0"/>
                <w:iCs w:val="0"/>
                <w:color w:val="auto"/>
                <w:sz w:val="24"/>
                <w:szCs w:val="24"/>
                <w:highlight w:val="none"/>
                <w:u w:val="none"/>
                <w:lang w:val="en-US" w:eastAsia="zh-CN"/>
              </w:rPr>
              <w:t>合计</w:t>
            </w:r>
          </w:p>
        </w:tc>
        <w:tc>
          <w:tcPr>
            <w:tcW w:w="84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5C92B9">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p>
        </w:tc>
      </w:tr>
    </w:tbl>
    <w:p w14:paraId="32A34319">
      <w:pPr>
        <w:rPr>
          <w:rFonts w:hint="eastAsia" w:ascii="宋体" w:hAnsi="宋体" w:cs="宋体"/>
          <w:b/>
          <w:bCs/>
          <w:color w:val="auto"/>
          <w:sz w:val="28"/>
          <w:szCs w:val="28"/>
          <w:highlight w:val="none"/>
        </w:rPr>
      </w:pPr>
    </w:p>
    <w:p w14:paraId="50077AC6">
      <w:pPr>
        <w:rPr>
          <w:rFonts w:hint="eastAsia" w:ascii="宋体" w:hAnsi="宋体" w:cs="宋体"/>
          <w:b/>
          <w:bCs/>
          <w:color w:val="auto"/>
          <w:sz w:val="28"/>
          <w:szCs w:val="28"/>
          <w:highlight w:val="none"/>
        </w:rPr>
      </w:pPr>
    </w:p>
    <w:p w14:paraId="5BFF993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供应商(盖章)：</w:t>
      </w:r>
    </w:p>
    <w:p w14:paraId="6B37D58F">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法定代表人或其委托代理人(签字或盖章)：</w:t>
      </w:r>
    </w:p>
    <w:p w14:paraId="0230FB6B">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日期：年月日</w:t>
      </w:r>
    </w:p>
    <w:p w14:paraId="430027D6">
      <w:pPr>
        <w:rPr>
          <w:rFonts w:hint="eastAsia" w:ascii="宋体" w:hAnsi="宋体" w:cs="宋体"/>
          <w:b/>
          <w:bCs/>
          <w:color w:val="auto"/>
          <w:sz w:val="28"/>
          <w:szCs w:val="28"/>
          <w:highlight w:val="none"/>
        </w:rPr>
      </w:pPr>
    </w:p>
    <w:p w14:paraId="3AEC1A98">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E59D6D1">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四、服务方案</w:t>
      </w:r>
    </w:p>
    <w:p w14:paraId="6792FEBE">
      <w:pPr>
        <w:pStyle w:val="13"/>
        <w:rPr>
          <w:rFonts w:hint="eastAsia" w:ascii="宋体" w:hAnsi="宋体" w:eastAsia="宋体"/>
          <w:color w:val="auto"/>
          <w:highlight w:val="none"/>
        </w:rPr>
      </w:pPr>
    </w:p>
    <w:p w14:paraId="0D43B1AB">
      <w:pPr>
        <w:pStyle w:val="13"/>
        <w:rPr>
          <w:rFonts w:hint="eastAsia" w:ascii="宋体" w:hAnsi="宋体" w:eastAsia="宋体"/>
          <w:color w:val="auto"/>
          <w:highlight w:val="none"/>
        </w:rPr>
      </w:pPr>
      <w:r>
        <w:rPr>
          <w:rFonts w:hint="eastAsia" w:ascii="宋体" w:hAnsi="宋体" w:eastAsia="宋体"/>
          <w:color w:val="auto"/>
          <w:highlight w:val="none"/>
        </w:rPr>
        <w:t>（格式自拟）</w:t>
      </w:r>
    </w:p>
    <w:p w14:paraId="79039D26">
      <w:pPr>
        <w:spacing w:line="520" w:lineRule="exact"/>
        <w:jc w:val="center"/>
        <w:rPr>
          <w:rFonts w:hint="eastAsia" w:ascii="宋体" w:hAnsi="宋体" w:cs="宋体"/>
          <w:b/>
          <w:bCs/>
          <w:color w:val="auto"/>
          <w:sz w:val="28"/>
          <w:szCs w:val="28"/>
          <w:highlight w:val="none"/>
        </w:rPr>
      </w:pPr>
    </w:p>
    <w:p w14:paraId="1AB0A535">
      <w:pPr>
        <w:spacing w:line="360" w:lineRule="auto"/>
        <w:rPr>
          <w:rFonts w:hint="eastAsia" w:ascii="宋体" w:hAnsi="宋体" w:cs="宋体"/>
          <w:color w:val="auto"/>
          <w:sz w:val="24"/>
          <w:szCs w:val="22"/>
          <w:highlight w:val="none"/>
        </w:rPr>
      </w:pPr>
    </w:p>
    <w:p w14:paraId="05BE9309">
      <w:pPr>
        <w:spacing w:line="360" w:lineRule="auto"/>
        <w:rPr>
          <w:rFonts w:hint="eastAsia" w:ascii="宋体" w:hAnsi="宋体" w:cs="宋体"/>
          <w:color w:val="auto"/>
          <w:sz w:val="24"/>
          <w:szCs w:val="22"/>
          <w:highlight w:val="none"/>
        </w:rPr>
      </w:pPr>
    </w:p>
    <w:p w14:paraId="7B1B7D42">
      <w:pPr>
        <w:spacing w:line="360" w:lineRule="auto"/>
        <w:rPr>
          <w:rFonts w:hint="eastAsia" w:ascii="宋体" w:hAnsi="宋体" w:cs="宋体"/>
          <w:color w:val="auto"/>
          <w:sz w:val="24"/>
          <w:szCs w:val="22"/>
          <w:highlight w:val="none"/>
        </w:rPr>
      </w:pPr>
    </w:p>
    <w:p w14:paraId="68A147A2">
      <w:pPr>
        <w:spacing w:line="360" w:lineRule="auto"/>
        <w:ind w:firstLine="3720" w:firstLineChars="1550"/>
        <w:rPr>
          <w:rFonts w:hint="eastAsia" w:ascii="宋体" w:hAnsi="宋体" w:cs="宋体"/>
          <w:color w:val="auto"/>
          <w:sz w:val="24"/>
          <w:szCs w:val="24"/>
          <w:highlight w:val="none"/>
        </w:rPr>
      </w:pPr>
    </w:p>
    <w:p w14:paraId="0E45F908">
      <w:pPr>
        <w:spacing w:line="360" w:lineRule="auto"/>
        <w:ind w:firstLine="3720" w:firstLineChars="1550"/>
        <w:rPr>
          <w:rFonts w:hint="eastAsia" w:ascii="宋体" w:hAnsi="宋体" w:cs="宋体"/>
          <w:color w:val="auto"/>
          <w:sz w:val="24"/>
          <w:szCs w:val="24"/>
          <w:highlight w:val="none"/>
        </w:rPr>
      </w:pPr>
    </w:p>
    <w:p w14:paraId="2D6F5FF4">
      <w:pPr>
        <w:spacing w:line="360" w:lineRule="auto"/>
        <w:ind w:firstLine="3720" w:firstLineChars="1550"/>
        <w:rPr>
          <w:rFonts w:hint="eastAsia" w:ascii="宋体" w:hAnsi="宋体" w:cs="宋体"/>
          <w:color w:val="auto"/>
          <w:sz w:val="24"/>
          <w:szCs w:val="24"/>
          <w:highlight w:val="none"/>
        </w:rPr>
      </w:pPr>
    </w:p>
    <w:p w14:paraId="24C0E863">
      <w:pPr>
        <w:snapToGrid w:val="0"/>
        <w:spacing w:line="360" w:lineRule="auto"/>
        <w:ind w:firstLine="240" w:firstLineChars="100"/>
        <w:rPr>
          <w:rFonts w:hint="eastAsia" w:ascii="宋体" w:hAnsi="宋体" w:cs="宋体"/>
          <w:color w:val="auto"/>
          <w:kern w:val="0"/>
          <w:sz w:val="24"/>
          <w:szCs w:val="24"/>
          <w:highlight w:val="none"/>
        </w:rPr>
      </w:pPr>
    </w:p>
    <w:p w14:paraId="179FE227">
      <w:pPr>
        <w:widowControl/>
        <w:spacing w:after="120" w:line="360" w:lineRule="auto"/>
        <w:ind w:left="420" w:leftChars="200" w:firstLine="480" w:firstLineChars="200"/>
        <w:jc w:val="center"/>
        <w:rPr>
          <w:rFonts w:hint="eastAsia" w:ascii="宋体" w:hAnsi="宋体" w:cs="宋体"/>
          <w:color w:val="auto"/>
          <w:sz w:val="24"/>
          <w:szCs w:val="24"/>
          <w:highlight w:val="none"/>
        </w:rPr>
      </w:pPr>
    </w:p>
    <w:p w14:paraId="6BB3B0E1">
      <w:pPr>
        <w:rPr>
          <w:rFonts w:hint="eastAsia" w:ascii="宋体" w:hAnsi="宋体" w:cs="宋体"/>
          <w:color w:val="auto"/>
          <w:sz w:val="24"/>
          <w:szCs w:val="24"/>
          <w:highlight w:val="none"/>
        </w:rPr>
      </w:pPr>
    </w:p>
    <w:p w14:paraId="6795A936">
      <w:pPr>
        <w:spacing w:line="360" w:lineRule="auto"/>
        <w:rPr>
          <w:rFonts w:hint="eastAsia" w:ascii="宋体" w:hAnsi="宋体" w:cs="宋体"/>
          <w:color w:val="auto"/>
          <w:sz w:val="24"/>
          <w:szCs w:val="22"/>
          <w:highlight w:val="none"/>
        </w:rPr>
      </w:pPr>
    </w:p>
    <w:p w14:paraId="73897805">
      <w:pPr>
        <w:spacing w:line="360" w:lineRule="auto"/>
        <w:ind w:firstLine="3120" w:firstLineChars="1300"/>
        <w:rPr>
          <w:rFonts w:hint="eastAsia" w:ascii="宋体" w:hAnsi="宋体" w:cs="宋体"/>
          <w:color w:val="auto"/>
          <w:sz w:val="24"/>
          <w:szCs w:val="22"/>
          <w:highlight w:val="none"/>
        </w:rPr>
      </w:pPr>
    </w:p>
    <w:p w14:paraId="7BCE5E3C">
      <w:pPr>
        <w:spacing w:line="360" w:lineRule="auto"/>
        <w:ind w:firstLine="2730" w:firstLineChars="1300"/>
        <w:rPr>
          <w:rFonts w:hint="eastAsia" w:ascii="宋体" w:hAnsi="宋体" w:cs="宋体"/>
          <w:color w:val="auto"/>
          <w:highlight w:val="none"/>
        </w:rPr>
      </w:pPr>
    </w:p>
    <w:p w14:paraId="37021EE8">
      <w:pPr>
        <w:rPr>
          <w:rFonts w:hint="eastAsia" w:ascii="宋体" w:hAnsi="宋体" w:cs="宋体"/>
          <w:color w:val="auto"/>
          <w:highlight w:val="none"/>
        </w:rPr>
      </w:pPr>
    </w:p>
    <w:p w14:paraId="67686E8A">
      <w:pPr>
        <w:pStyle w:val="13"/>
        <w:rPr>
          <w:rFonts w:hint="eastAsia" w:ascii="宋体" w:hAnsi="宋体" w:eastAsia="宋体"/>
          <w:color w:val="auto"/>
          <w:highlight w:val="none"/>
        </w:rPr>
      </w:pPr>
    </w:p>
    <w:p w14:paraId="2C65902E">
      <w:pPr>
        <w:pStyle w:val="14"/>
        <w:rPr>
          <w:rFonts w:hint="eastAsia" w:ascii="宋体" w:hAnsi="宋体" w:cs="宋体"/>
          <w:color w:val="auto"/>
          <w:highlight w:val="none"/>
        </w:rPr>
      </w:pPr>
    </w:p>
    <w:p w14:paraId="4F590BB4">
      <w:pPr>
        <w:rPr>
          <w:rFonts w:hint="eastAsia" w:ascii="宋体" w:hAnsi="宋体" w:cs="宋体"/>
          <w:color w:val="auto"/>
          <w:highlight w:val="none"/>
        </w:rPr>
      </w:pPr>
    </w:p>
    <w:p w14:paraId="2622CDD0">
      <w:pPr>
        <w:pStyle w:val="13"/>
        <w:rPr>
          <w:rFonts w:hint="eastAsia" w:ascii="宋体" w:hAnsi="宋体" w:eastAsia="宋体"/>
          <w:color w:val="auto"/>
          <w:highlight w:val="none"/>
        </w:rPr>
      </w:pPr>
    </w:p>
    <w:p w14:paraId="203E5ABD">
      <w:pPr>
        <w:pStyle w:val="14"/>
        <w:rPr>
          <w:rFonts w:hint="eastAsia" w:ascii="宋体" w:hAnsi="宋体" w:cs="宋体"/>
          <w:color w:val="auto"/>
          <w:highlight w:val="none"/>
        </w:rPr>
      </w:pPr>
    </w:p>
    <w:p w14:paraId="132BC4A7">
      <w:pPr>
        <w:rPr>
          <w:rFonts w:hint="eastAsia" w:ascii="宋体" w:hAnsi="宋体" w:cs="宋体"/>
          <w:color w:val="auto"/>
          <w:highlight w:val="none"/>
        </w:rPr>
      </w:pPr>
    </w:p>
    <w:p w14:paraId="1123F2CB">
      <w:pPr>
        <w:rPr>
          <w:rFonts w:hint="eastAsia" w:ascii="宋体" w:hAnsi="宋体" w:cs="宋体"/>
          <w:color w:val="auto"/>
          <w:highlight w:val="none"/>
        </w:rPr>
      </w:pPr>
    </w:p>
    <w:p w14:paraId="2B260B19">
      <w:pPr>
        <w:rPr>
          <w:rFonts w:hint="eastAsia" w:ascii="宋体" w:hAnsi="宋体" w:cs="宋体"/>
          <w:b/>
          <w:bCs/>
          <w:color w:val="auto"/>
          <w:sz w:val="28"/>
          <w:szCs w:val="28"/>
          <w:highlight w:val="none"/>
        </w:rPr>
      </w:pPr>
    </w:p>
    <w:p w14:paraId="6D847E25">
      <w:pPr>
        <w:pStyle w:val="13"/>
        <w:rPr>
          <w:rFonts w:hint="eastAsia" w:ascii="宋体" w:hAnsi="宋体" w:eastAsia="宋体"/>
          <w:color w:val="auto"/>
          <w:highlight w:val="none"/>
        </w:rPr>
      </w:pPr>
    </w:p>
    <w:p w14:paraId="0EE836E6">
      <w:pPr>
        <w:pStyle w:val="14"/>
        <w:rPr>
          <w:rFonts w:hint="eastAsia" w:ascii="宋体" w:hAnsi="宋体" w:cs="宋体"/>
          <w:color w:val="auto"/>
          <w:highlight w:val="none"/>
        </w:rPr>
      </w:pPr>
    </w:p>
    <w:p w14:paraId="7D8EC6EE">
      <w:pPr>
        <w:rPr>
          <w:rFonts w:hint="eastAsia" w:ascii="宋体" w:hAnsi="宋体" w:cs="宋体"/>
          <w:color w:val="auto"/>
          <w:highlight w:val="none"/>
        </w:rPr>
      </w:pPr>
    </w:p>
    <w:p w14:paraId="69728D32">
      <w:pPr>
        <w:pStyle w:val="13"/>
        <w:rPr>
          <w:rFonts w:hint="eastAsia" w:ascii="宋体" w:hAnsi="宋体" w:eastAsia="宋体"/>
          <w:color w:val="auto"/>
          <w:highlight w:val="none"/>
        </w:rPr>
      </w:pPr>
    </w:p>
    <w:p w14:paraId="6A9FB75D">
      <w:pPr>
        <w:pStyle w:val="14"/>
        <w:rPr>
          <w:rFonts w:hint="eastAsia" w:ascii="宋体" w:hAnsi="宋体" w:cs="宋体"/>
          <w:color w:val="auto"/>
          <w:highlight w:val="none"/>
        </w:rPr>
      </w:pPr>
    </w:p>
    <w:p w14:paraId="0C4A62D3">
      <w:pPr>
        <w:rPr>
          <w:rFonts w:hint="eastAsia" w:ascii="宋体" w:hAnsi="宋体" w:cs="宋体"/>
          <w:color w:val="auto"/>
          <w:highlight w:val="none"/>
        </w:rPr>
      </w:pPr>
    </w:p>
    <w:p w14:paraId="1CBDEBAE">
      <w:pPr>
        <w:pStyle w:val="13"/>
        <w:rPr>
          <w:rFonts w:hint="eastAsia" w:ascii="宋体" w:hAnsi="宋体" w:eastAsia="宋体"/>
          <w:color w:val="auto"/>
          <w:highlight w:val="none"/>
        </w:rPr>
      </w:pPr>
    </w:p>
    <w:p w14:paraId="0543794E">
      <w:pPr>
        <w:spacing w:line="360" w:lineRule="auto"/>
        <w:jc w:val="center"/>
        <w:rPr>
          <w:rFonts w:hint="eastAsia" w:ascii="宋体" w:hAnsi="宋体" w:cs="宋体"/>
          <w:b/>
          <w:bCs/>
          <w:color w:val="auto"/>
          <w:sz w:val="28"/>
          <w:szCs w:val="28"/>
          <w:highlight w:val="none"/>
        </w:rPr>
      </w:pPr>
    </w:p>
    <w:p w14:paraId="72799B7D">
      <w:pPr>
        <w:spacing w:line="360" w:lineRule="auto"/>
        <w:jc w:val="center"/>
        <w:rPr>
          <w:rFonts w:hint="eastAsia" w:ascii="宋体" w:hAnsi="宋体" w:cs="宋体"/>
          <w:b/>
          <w:bCs/>
          <w:color w:val="auto"/>
          <w:sz w:val="28"/>
          <w:szCs w:val="28"/>
          <w:highlight w:val="none"/>
        </w:rPr>
      </w:pPr>
    </w:p>
    <w:p w14:paraId="1C8672E3">
      <w:pPr>
        <w:pStyle w:val="2"/>
        <w:rPr>
          <w:rFonts w:hint="eastAsia"/>
          <w:color w:val="auto"/>
          <w:highlight w:val="none"/>
        </w:rPr>
      </w:pPr>
    </w:p>
    <w:p w14:paraId="6E59DB87">
      <w:pPr>
        <w:rPr>
          <w:rFonts w:hint="eastAsia"/>
          <w:color w:val="auto"/>
          <w:highlight w:val="none"/>
        </w:rPr>
      </w:pPr>
    </w:p>
    <w:p w14:paraId="3D074070">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五、资格审查资料</w:t>
      </w:r>
    </w:p>
    <w:p w14:paraId="5A3FD470">
      <w:pPr>
        <w:snapToGrid w:val="0"/>
        <w:spacing w:line="276" w:lineRule="auto"/>
        <w:ind w:left="846" w:leftChars="-72" w:right="168" w:rightChars="80" w:hanging="997" w:hangingChars="415"/>
        <w:rPr>
          <w:rFonts w:hint="eastAsia" w:ascii="宋体" w:hAnsi="宋体" w:cs="宋体"/>
          <w:b/>
          <w:bCs/>
          <w:color w:val="auto"/>
          <w:sz w:val="24"/>
          <w:szCs w:val="24"/>
          <w:highlight w:val="none"/>
        </w:rPr>
      </w:pPr>
    </w:p>
    <w:p w14:paraId="0872EF38">
      <w:pPr>
        <w:rPr>
          <w:rFonts w:hint="eastAsia" w:ascii="宋体" w:hAnsi="宋体" w:cs="宋体"/>
          <w:b/>
          <w:color w:val="auto"/>
          <w:sz w:val="24"/>
          <w:szCs w:val="24"/>
          <w:highlight w:val="none"/>
        </w:rPr>
      </w:pPr>
      <w:r>
        <w:rPr>
          <w:rFonts w:hint="eastAsia" w:ascii="宋体" w:hAnsi="宋体" w:cs="宋体"/>
          <w:b/>
          <w:color w:val="auto"/>
          <w:sz w:val="24"/>
          <w:szCs w:val="24"/>
          <w:highlight w:val="none"/>
        </w:rPr>
        <w:t>5.1供应商基本情况表</w:t>
      </w:r>
    </w:p>
    <w:p w14:paraId="3C4FFC0E">
      <w:pPr>
        <w:autoSpaceDE w:val="0"/>
        <w:autoSpaceDN w:val="0"/>
        <w:adjustRightInd w:val="0"/>
        <w:spacing w:line="420" w:lineRule="exact"/>
        <w:jc w:val="center"/>
        <w:rPr>
          <w:rFonts w:hint="eastAsia" w:ascii="宋体" w:hAnsi="宋体" w:cs="宋体"/>
          <w:color w:val="auto"/>
          <w:kern w:val="0"/>
          <w:sz w:val="24"/>
          <w:szCs w:val="22"/>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9"/>
        <w:gridCol w:w="1134"/>
        <w:gridCol w:w="1842"/>
        <w:gridCol w:w="10"/>
        <w:gridCol w:w="1266"/>
        <w:gridCol w:w="2107"/>
      </w:tblGrid>
      <w:tr w14:paraId="4CD6F056">
        <w:trPr>
          <w:trHeight w:val="526"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3856E37">
            <w:pPr>
              <w:topLinePunct/>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10E2189D">
            <w:pPr>
              <w:topLinePunct/>
              <w:spacing w:line="440" w:lineRule="exact"/>
              <w:ind w:firstLine="480"/>
              <w:jc w:val="center"/>
              <w:rPr>
                <w:rFonts w:hint="eastAsia" w:ascii="宋体" w:hAnsi="宋体" w:cs="宋体"/>
                <w:color w:val="auto"/>
                <w:sz w:val="24"/>
                <w:szCs w:val="24"/>
                <w:highlight w:val="none"/>
              </w:rPr>
            </w:pPr>
          </w:p>
        </w:tc>
      </w:tr>
      <w:tr w14:paraId="3EE717FF">
        <w:trPr>
          <w:trHeight w:val="572"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CCF0102">
            <w:pPr>
              <w:topLinePunct/>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2986" w:type="dxa"/>
            <w:gridSpan w:val="3"/>
            <w:tcBorders>
              <w:top w:val="single" w:color="auto" w:sz="4" w:space="0"/>
              <w:left w:val="single" w:color="auto" w:sz="4" w:space="0"/>
              <w:bottom w:val="single" w:color="auto" w:sz="4" w:space="0"/>
              <w:right w:val="single" w:color="auto" w:sz="4" w:space="0"/>
            </w:tcBorders>
            <w:vAlign w:val="center"/>
          </w:tcPr>
          <w:p w14:paraId="5C66ADE6">
            <w:pPr>
              <w:topLinePunct/>
              <w:spacing w:line="440" w:lineRule="exact"/>
              <w:ind w:firstLine="480"/>
              <w:jc w:val="center"/>
              <w:rPr>
                <w:rFonts w:hint="eastAsia" w:ascii="宋体" w:hAnsi="宋体" w:cs="宋体"/>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6A2A3A47">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107" w:type="dxa"/>
            <w:tcBorders>
              <w:top w:val="single" w:color="auto" w:sz="4" w:space="0"/>
              <w:left w:val="single" w:color="auto" w:sz="4" w:space="0"/>
              <w:bottom w:val="single" w:color="auto" w:sz="4" w:space="0"/>
              <w:right w:val="single" w:color="auto" w:sz="4" w:space="0"/>
            </w:tcBorders>
            <w:vAlign w:val="center"/>
          </w:tcPr>
          <w:p w14:paraId="710A9AF2">
            <w:pPr>
              <w:topLinePunct/>
              <w:spacing w:line="440" w:lineRule="exact"/>
              <w:ind w:firstLine="480"/>
              <w:jc w:val="center"/>
              <w:rPr>
                <w:rFonts w:hint="eastAsia" w:ascii="宋体" w:hAnsi="宋体" w:cs="宋体"/>
                <w:color w:val="auto"/>
                <w:sz w:val="24"/>
                <w:szCs w:val="24"/>
                <w:highlight w:val="none"/>
              </w:rPr>
            </w:pPr>
          </w:p>
        </w:tc>
      </w:tr>
      <w:tr w14:paraId="33CBF5BB">
        <w:trPr>
          <w:cantSplit/>
          <w:trHeight w:val="567" w:hRule="atLeast"/>
          <w:jc w:val="center"/>
        </w:trPr>
        <w:tc>
          <w:tcPr>
            <w:tcW w:w="2269" w:type="dxa"/>
            <w:vMerge w:val="restart"/>
            <w:tcBorders>
              <w:top w:val="single" w:color="auto" w:sz="4" w:space="0"/>
              <w:left w:val="single" w:color="auto" w:sz="4" w:space="0"/>
              <w:bottom w:val="single" w:color="auto" w:sz="4" w:space="0"/>
              <w:right w:val="single" w:color="auto" w:sz="4" w:space="0"/>
            </w:tcBorders>
            <w:vAlign w:val="center"/>
          </w:tcPr>
          <w:p w14:paraId="429062A2">
            <w:pPr>
              <w:topLinePunct/>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3824C841">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6233290">
            <w:pPr>
              <w:topLinePunct/>
              <w:spacing w:line="440" w:lineRule="exact"/>
              <w:ind w:firstLine="480"/>
              <w:jc w:val="center"/>
              <w:rPr>
                <w:rFonts w:hint="eastAsia" w:ascii="宋体" w:hAnsi="宋体" w:cs="宋体"/>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3F57AD0F">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p>
        </w:tc>
        <w:tc>
          <w:tcPr>
            <w:tcW w:w="2107" w:type="dxa"/>
            <w:tcBorders>
              <w:top w:val="single" w:color="auto" w:sz="4" w:space="0"/>
              <w:left w:val="single" w:color="auto" w:sz="4" w:space="0"/>
              <w:bottom w:val="single" w:color="auto" w:sz="4" w:space="0"/>
              <w:right w:val="single" w:color="auto" w:sz="4" w:space="0"/>
            </w:tcBorders>
            <w:vAlign w:val="center"/>
          </w:tcPr>
          <w:p w14:paraId="2196DDE9">
            <w:pPr>
              <w:topLinePunct/>
              <w:spacing w:line="440" w:lineRule="exact"/>
              <w:ind w:firstLine="480"/>
              <w:jc w:val="center"/>
              <w:rPr>
                <w:rFonts w:hint="eastAsia" w:ascii="宋体" w:hAnsi="宋体" w:cs="宋体"/>
                <w:color w:val="auto"/>
                <w:sz w:val="24"/>
                <w:szCs w:val="24"/>
                <w:highlight w:val="none"/>
              </w:rPr>
            </w:pPr>
          </w:p>
        </w:tc>
      </w:tr>
      <w:tr w14:paraId="6E6F2864">
        <w:trPr>
          <w:cantSplit/>
          <w:trHeight w:val="575" w:hRule="atLeast"/>
          <w:jc w:val="center"/>
        </w:trPr>
        <w:tc>
          <w:tcPr>
            <w:tcW w:w="2269" w:type="dxa"/>
            <w:vMerge w:val="continue"/>
            <w:tcBorders>
              <w:top w:val="single" w:color="auto" w:sz="4" w:space="0"/>
              <w:left w:val="single" w:color="auto" w:sz="4" w:space="0"/>
              <w:bottom w:val="single" w:color="auto" w:sz="4" w:space="0"/>
              <w:right w:val="single" w:color="auto" w:sz="4" w:space="0"/>
            </w:tcBorders>
            <w:vAlign w:val="center"/>
          </w:tcPr>
          <w:p w14:paraId="329EE8B7">
            <w:pPr>
              <w:topLinePunct/>
              <w:spacing w:line="440" w:lineRule="exact"/>
              <w:ind w:firstLine="480"/>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5528FE5">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邮箱</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670EBF">
            <w:pPr>
              <w:topLinePunct/>
              <w:spacing w:line="440" w:lineRule="exact"/>
              <w:ind w:firstLine="480"/>
              <w:jc w:val="center"/>
              <w:rPr>
                <w:rFonts w:hint="eastAsia" w:ascii="宋体" w:hAnsi="宋体" w:cs="宋体"/>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5BAD84F6">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网 址</w:t>
            </w:r>
          </w:p>
        </w:tc>
        <w:tc>
          <w:tcPr>
            <w:tcW w:w="2107" w:type="dxa"/>
            <w:tcBorders>
              <w:top w:val="single" w:color="auto" w:sz="4" w:space="0"/>
              <w:left w:val="single" w:color="auto" w:sz="4" w:space="0"/>
              <w:bottom w:val="single" w:color="auto" w:sz="4" w:space="0"/>
              <w:right w:val="single" w:color="auto" w:sz="4" w:space="0"/>
            </w:tcBorders>
            <w:vAlign w:val="center"/>
          </w:tcPr>
          <w:p w14:paraId="2AD2A776">
            <w:pPr>
              <w:topLinePunct/>
              <w:spacing w:line="440" w:lineRule="exact"/>
              <w:ind w:firstLine="480"/>
              <w:jc w:val="center"/>
              <w:rPr>
                <w:rFonts w:hint="eastAsia" w:ascii="宋体" w:hAnsi="宋体" w:cs="宋体"/>
                <w:color w:val="auto"/>
                <w:sz w:val="24"/>
                <w:szCs w:val="24"/>
                <w:highlight w:val="none"/>
              </w:rPr>
            </w:pPr>
          </w:p>
        </w:tc>
      </w:tr>
      <w:tr w14:paraId="551EA4F7">
        <w:trPr>
          <w:trHeight w:val="5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96D6BF4">
            <w:pPr>
              <w:topLinePunct/>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35D35193">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842" w:type="dxa"/>
            <w:tcBorders>
              <w:top w:val="single" w:color="auto" w:sz="4" w:space="0"/>
              <w:left w:val="single" w:color="auto" w:sz="4" w:space="0"/>
              <w:bottom w:val="single" w:color="auto" w:sz="4" w:space="0"/>
              <w:right w:val="single" w:color="auto" w:sz="4" w:space="0"/>
            </w:tcBorders>
            <w:vAlign w:val="center"/>
          </w:tcPr>
          <w:p w14:paraId="06ED3764">
            <w:pPr>
              <w:topLinePunct/>
              <w:spacing w:line="440" w:lineRule="exact"/>
              <w:ind w:firstLine="480"/>
              <w:jc w:val="center"/>
              <w:rPr>
                <w:rFonts w:hint="eastAsia" w:ascii="宋体" w:hAnsi="宋体" w:cs="宋体"/>
                <w:color w:val="auto"/>
                <w:sz w:val="24"/>
                <w:szCs w:val="24"/>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572B9A4">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2107" w:type="dxa"/>
            <w:tcBorders>
              <w:top w:val="single" w:color="auto" w:sz="4" w:space="0"/>
              <w:left w:val="single" w:color="auto" w:sz="4" w:space="0"/>
              <w:bottom w:val="single" w:color="auto" w:sz="4" w:space="0"/>
              <w:right w:val="single" w:color="auto" w:sz="4" w:space="0"/>
            </w:tcBorders>
            <w:vAlign w:val="center"/>
          </w:tcPr>
          <w:p w14:paraId="2D4898E7">
            <w:pPr>
              <w:topLinePunct/>
              <w:spacing w:line="440" w:lineRule="exact"/>
              <w:ind w:firstLine="480"/>
              <w:jc w:val="center"/>
              <w:rPr>
                <w:rFonts w:hint="eastAsia" w:ascii="宋体" w:hAnsi="宋体" w:cs="宋体"/>
                <w:color w:val="auto"/>
                <w:sz w:val="24"/>
                <w:szCs w:val="24"/>
                <w:highlight w:val="none"/>
              </w:rPr>
            </w:pPr>
          </w:p>
        </w:tc>
      </w:tr>
      <w:tr w14:paraId="322D8114">
        <w:trPr>
          <w:trHeight w:val="584"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3AB89C6">
            <w:pPr>
              <w:topLinePunct/>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2976" w:type="dxa"/>
            <w:gridSpan w:val="2"/>
            <w:tcBorders>
              <w:top w:val="single" w:color="auto" w:sz="4" w:space="0"/>
              <w:left w:val="single" w:color="auto" w:sz="4" w:space="0"/>
              <w:bottom w:val="single" w:color="auto" w:sz="4" w:space="0"/>
              <w:right w:val="single" w:color="auto" w:sz="4" w:space="0"/>
            </w:tcBorders>
            <w:vAlign w:val="center"/>
          </w:tcPr>
          <w:p w14:paraId="36D135F1">
            <w:pPr>
              <w:topLinePunct/>
              <w:spacing w:line="440" w:lineRule="exact"/>
              <w:ind w:firstLine="480"/>
              <w:jc w:val="center"/>
              <w:rPr>
                <w:rFonts w:hint="eastAsia" w:ascii="宋体" w:hAnsi="宋体" w:cs="宋体"/>
                <w:color w:val="auto"/>
                <w:sz w:val="24"/>
                <w:szCs w:val="24"/>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30F1D32">
            <w:pPr>
              <w:topLinePunct/>
              <w:spacing w:line="440" w:lineRule="exact"/>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员工总人数</w:t>
            </w:r>
          </w:p>
        </w:tc>
        <w:tc>
          <w:tcPr>
            <w:tcW w:w="2107" w:type="dxa"/>
            <w:tcBorders>
              <w:top w:val="single" w:color="auto" w:sz="4" w:space="0"/>
              <w:left w:val="single" w:color="auto" w:sz="4" w:space="0"/>
              <w:bottom w:val="single" w:color="auto" w:sz="4" w:space="0"/>
              <w:right w:val="single" w:color="auto" w:sz="4" w:space="0"/>
            </w:tcBorders>
            <w:vAlign w:val="center"/>
          </w:tcPr>
          <w:p w14:paraId="45DFB4F2">
            <w:pPr>
              <w:topLinePunct/>
              <w:spacing w:line="440" w:lineRule="exact"/>
              <w:ind w:firstLine="120" w:firstLineChars="50"/>
              <w:jc w:val="center"/>
              <w:rPr>
                <w:rFonts w:hint="eastAsia" w:ascii="宋体" w:hAnsi="宋体" w:cs="宋体"/>
                <w:color w:val="auto"/>
                <w:sz w:val="24"/>
                <w:szCs w:val="24"/>
                <w:highlight w:val="none"/>
              </w:rPr>
            </w:pPr>
          </w:p>
        </w:tc>
      </w:tr>
      <w:tr w14:paraId="3ED3BA8C">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6BDBBF4">
            <w:pPr>
              <w:topLinePunct/>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07E03166">
            <w:pPr>
              <w:topLinePunct/>
              <w:spacing w:line="440" w:lineRule="exact"/>
              <w:ind w:firstLine="480"/>
              <w:jc w:val="center"/>
              <w:rPr>
                <w:rFonts w:hint="eastAsia" w:ascii="宋体" w:hAnsi="宋体" w:cs="宋体"/>
                <w:color w:val="auto"/>
                <w:sz w:val="24"/>
                <w:szCs w:val="24"/>
                <w:highlight w:val="none"/>
              </w:rPr>
            </w:pPr>
          </w:p>
        </w:tc>
      </w:tr>
      <w:tr w14:paraId="6D3BC2B3">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BA851F1">
            <w:pPr>
              <w:topLinePunct/>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注册资本</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635C7685">
            <w:pPr>
              <w:topLinePunct/>
              <w:spacing w:line="440" w:lineRule="exact"/>
              <w:ind w:firstLine="480"/>
              <w:jc w:val="center"/>
              <w:rPr>
                <w:rFonts w:hint="eastAsia" w:ascii="宋体" w:hAnsi="宋体" w:cs="宋体"/>
                <w:color w:val="auto"/>
                <w:sz w:val="24"/>
                <w:szCs w:val="24"/>
                <w:highlight w:val="none"/>
              </w:rPr>
            </w:pPr>
          </w:p>
        </w:tc>
      </w:tr>
      <w:tr w14:paraId="4DB4F781">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8A94CEF">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基本账户开户银行</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01F922B4">
            <w:pPr>
              <w:topLinePunct/>
              <w:spacing w:line="440" w:lineRule="exact"/>
              <w:ind w:firstLine="480"/>
              <w:jc w:val="center"/>
              <w:rPr>
                <w:rFonts w:hint="eastAsia" w:ascii="宋体" w:hAnsi="宋体" w:cs="宋体"/>
                <w:color w:val="auto"/>
                <w:sz w:val="24"/>
                <w:szCs w:val="24"/>
                <w:highlight w:val="none"/>
              </w:rPr>
            </w:pPr>
          </w:p>
        </w:tc>
      </w:tr>
      <w:tr w14:paraId="38640CAB">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287FED6">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基本账户银行账号</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26482299">
            <w:pPr>
              <w:topLinePunct/>
              <w:spacing w:line="440" w:lineRule="exact"/>
              <w:ind w:firstLine="480"/>
              <w:jc w:val="center"/>
              <w:rPr>
                <w:rFonts w:hint="eastAsia" w:ascii="宋体" w:hAnsi="宋体" w:cs="宋体"/>
                <w:color w:val="auto"/>
                <w:sz w:val="24"/>
                <w:szCs w:val="24"/>
                <w:highlight w:val="none"/>
              </w:rPr>
            </w:pPr>
          </w:p>
        </w:tc>
      </w:tr>
      <w:tr w14:paraId="486A2102">
        <w:trPr>
          <w:trHeight w:val="543" w:hRule="atLeast"/>
          <w:jc w:val="center"/>
        </w:trPr>
        <w:tc>
          <w:tcPr>
            <w:tcW w:w="2269" w:type="dxa"/>
            <w:tcBorders>
              <w:top w:val="single" w:color="auto" w:sz="4" w:space="0"/>
              <w:left w:val="single" w:color="auto" w:sz="4" w:space="0"/>
              <w:right w:val="single" w:color="auto" w:sz="4" w:space="0"/>
            </w:tcBorders>
            <w:vAlign w:val="center"/>
          </w:tcPr>
          <w:p w14:paraId="7146C1BA">
            <w:pPr>
              <w:topLinePunct/>
              <w:spacing w:line="44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359" w:type="dxa"/>
            <w:gridSpan w:val="5"/>
            <w:tcBorders>
              <w:top w:val="single" w:color="auto" w:sz="4" w:space="0"/>
              <w:left w:val="single" w:color="auto" w:sz="4" w:space="0"/>
              <w:right w:val="single" w:color="auto" w:sz="4" w:space="0"/>
            </w:tcBorders>
            <w:vAlign w:val="center"/>
          </w:tcPr>
          <w:p w14:paraId="4282F2F5">
            <w:pPr>
              <w:topLinePunct/>
              <w:spacing w:line="440" w:lineRule="exact"/>
              <w:ind w:firstLine="480"/>
              <w:rPr>
                <w:rFonts w:hint="eastAsia" w:ascii="宋体" w:hAnsi="宋体" w:cs="宋体"/>
                <w:color w:val="auto"/>
                <w:sz w:val="24"/>
                <w:szCs w:val="24"/>
                <w:highlight w:val="none"/>
              </w:rPr>
            </w:pPr>
          </w:p>
          <w:p w14:paraId="34AF7A8B">
            <w:pPr>
              <w:topLinePunct/>
              <w:spacing w:line="440" w:lineRule="exact"/>
              <w:ind w:firstLine="480"/>
              <w:rPr>
                <w:rFonts w:hint="eastAsia" w:ascii="宋体" w:hAnsi="宋体" w:cs="宋体"/>
                <w:color w:val="auto"/>
                <w:sz w:val="24"/>
                <w:szCs w:val="24"/>
                <w:highlight w:val="none"/>
              </w:rPr>
            </w:pPr>
          </w:p>
          <w:p w14:paraId="4AFD02A8">
            <w:pPr>
              <w:topLinePunct/>
              <w:spacing w:line="440" w:lineRule="exact"/>
              <w:ind w:firstLine="480"/>
              <w:rPr>
                <w:rFonts w:hint="eastAsia" w:ascii="宋体" w:hAnsi="宋体" w:cs="宋体"/>
                <w:color w:val="auto"/>
                <w:sz w:val="24"/>
                <w:szCs w:val="24"/>
                <w:highlight w:val="none"/>
              </w:rPr>
            </w:pPr>
          </w:p>
          <w:p w14:paraId="675BD0E7">
            <w:pPr>
              <w:topLinePunct/>
              <w:spacing w:line="440" w:lineRule="exact"/>
              <w:ind w:firstLine="480"/>
              <w:rPr>
                <w:rFonts w:hint="eastAsia" w:ascii="宋体" w:hAnsi="宋体" w:cs="宋体"/>
                <w:color w:val="auto"/>
                <w:sz w:val="24"/>
                <w:szCs w:val="24"/>
                <w:highlight w:val="none"/>
              </w:rPr>
            </w:pPr>
          </w:p>
        </w:tc>
      </w:tr>
      <w:tr w14:paraId="6AAA86B8">
        <w:trPr>
          <w:trHeight w:val="732"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A812391">
            <w:pPr>
              <w:topLinePunct/>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373E4359">
            <w:pPr>
              <w:topLinePunct/>
              <w:spacing w:line="440" w:lineRule="exact"/>
              <w:ind w:firstLine="480"/>
              <w:jc w:val="center"/>
              <w:rPr>
                <w:rFonts w:hint="eastAsia" w:ascii="宋体" w:hAnsi="宋体" w:cs="宋体"/>
                <w:color w:val="auto"/>
                <w:sz w:val="24"/>
                <w:szCs w:val="24"/>
                <w:highlight w:val="none"/>
              </w:rPr>
            </w:pPr>
          </w:p>
        </w:tc>
      </w:tr>
    </w:tbl>
    <w:p w14:paraId="2AFF356F">
      <w:pPr>
        <w:tabs>
          <w:tab w:val="left" w:pos="8782"/>
        </w:tabs>
        <w:snapToGrid w:val="0"/>
        <w:ind w:left="503" w:leftChars="50" w:right="-38" w:hanging="398" w:hangingChars="166"/>
        <w:rPr>
          <w:rFonts w:hint="eastAsia" w:ascii="宋体" w:hAnsi="宋体" w:cs="宋体"/>
          <w:color w:val="auto"/>
          <w:sz w:val="24"/>
          <w:szCs w:val="24"/>
          <w:highlight w:val="none"/>
        </w:rPr>
      </w:pPr>
    </w:p>
    <w:p w14:paraId="1BB1AF14">
      <w:pPr>
        <w:tabs>
          <w:tab w:val="left" w:pos="8782"/>
        </w:tabs>
        <w:snapToGrid w:val="0"/>
        <w:ind w:left="501" w:leftChars="107" w:right="-38" w:hanging="276" w:hangingChars="115"/>
        <w:rPr>
          <w:rFonts w:hint="eastAsia" w:ascii="宋体" w:hAnsi="宋体" w:cs="宋体"/>
          <w:color w:val="auto"/>
          <w:sz w:val="24"/>
          <w:szCs w:val="24"/>
          <w:highlight w:val="none"/>
        </w:rPr>
      </w:pPr>
      <w:r>
        <w:rPr>
          <w:rFonts w:hint="eastAsia" w:ascii="宋体" w:hAnsi="宋体" w:cs="宋体"/>
          <w:color w:val="auto"/>
          <w:sz w:val="24"/>
          <w:szCs w:val="24"/>
          <w:highlight w:val="none"/>
        </w:rPr>
        <w:t>注：供应商应提供表中所列营业执照等相关资料。</w:t>
      </w:r>
    </w:p>
    <w:p w14:paraId="0A965E3F">
      <w:pPr>
        <w:rPr>
          <w:rFonts w:hint="eastAsia" w:ascii="宋体" w:hAnsi="宋体" w:cs="宋体"/>
          <w:b/>
          <w:color w:val="auto"/>
          <w:sz w:val="24"/>
          <w:szCs w:val="24"/>
          <w:highlight w:val="none"/>
        </w:rPr>
      </w:pPr>
    </w:p>
    <w:p w14:paraId="45AA5168">
      <w:pPr>
        <w:rPr>
          <w:rFonts w:hint="eastAsia" w:ascii="宋体" w:hAnsi="宋体" w:cs="宋体"/>
          <w:b/>
          <w:color w:val="auto"/>
          <w:sz w:val="24"/>
          <w:szCs w:val="24"/>
          <w:highlight w:val="none"/>
        </w:rPr>
      </w:pPr>
    </w:p>
    <w:p w14:paraId="3201D74D">
      <w:pPr>
        <w:spacing w:line="400" w:lineRule="atLeast"/>
        <w:ind w:firstLine="2760" w:firstLineChars="1150"/>
        <w:rPr>
          <w:rFonts w:hint="eastAsia" w:ascii="宋体" w:hAnsi="宋体" w:cs="宋体"/>
          <w:color w:val="auto"/>
          <w:sz w:val="24"/>
          <w:szCs w:val="24"/>
          <w:highlight w:val="none"/>
        </w:rPr>
      </w:pPr>
    </w:p>
    <w:p w14:paraId="0BAD7A9F">
      <w:pPr>
        <w:spacing w:line="400" w:lineRule="atLeast"/>
        <w:ind w:firstLine="2760" w:firstLineChars="1150"/>
        <w:rPr>
          <w:rFonts w:hint="eastAsia" w:ascii="宋体" w:hAnsi="宋体" w:cs="宋体"/>
          <w:color w:val="auto"/>
          <w:sz w:val="24"/>
          <w:szCs w:val="24"/>
          <w:highlight w:val="none"/>
        </w:rPr>
      </w:pPr>
    </w:p>
    <w:p w14:paraId="1945CA7B">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(盖章)：</w:t>
      </w:r>
    </w:p>
    <w:p w14:paraId="25758450">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法定代表人或其委托代理人(签字或盖章)：</w:t>
      </w:r>
    </w:p>
    <w:p w14:paraId="2861AA4F">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日期：年月日</w:t>
      </w:r>
    </w:p>
    <w:p w14:paraId="45CF69D9">
      <w:pPr>
        <w:spacing w:line="360" w:lineRule="auto"/>
        <w:rPr>
          <w:rFonts w:hint="eastAsia" w:ascii="宋体" w:hAnsi="宋体" w:cs="宋体"/>
          <w:b/>
          <w:bCs/>
          <w:color w:val="auto"/>
          <w:sz w:val="24"/>
          <w:szCs w:val="24"/>
          <w:highlight w:val="none"/>
        </w:rPr>
      </w:pPr>
    </w:p>
    <w:p w14:paraId="411C78CF">
      <w:pPr>
        <w:spacing w:line="360" w:lineRule="auto"/>
        <w:rPr>
          <w:rFonts w:hint="eastAsia" w:ascii="宋体" w:hAnsi="宋体" w:cs="宋体"/>
          <w:b/>
          <w:bCs/>
          <w:color w:val="auto"/>
          <w:sz w:val="24"/>
          <w:szCs w:val="24"/>
          <w:highlight w:val="none"/>
        </w:rPr>
      </w:pPr>
    </w:p>
    <w:p w14:paraId="7C5361E8">
      <w:pPr>
        <w:pStyle w:val="13"/>
        <w:rPr>
          <w:rFonts w:hint="eastAsia" w:ascii="宋体" w:hAnsi="宋体" w:eastAsia="宋体"/>
          <w:color w:val="auto"/>
          <w:highlight w:val="none"/>
        </w:rPr>
      </w:pPr>
    </w:p>
    <w:p w14:paraId="25DFF0C7">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5.2资格证明文件</w:t>
      </w:r>
    </w:p>
    <w:p w14:paraId="4026F6DC">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TW"/>
        </w:rPr>
        <w:t>具有独立承担民事责任的能力(供应商提供有效的法人证书或者其他组织的营业执照等证明文件或自然人的身份证明)。</w:t>
      </w:r>
    </w:p>
    <w:p w14:paraId="734BE701">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TW"/>
        </w:rPr>
        <w:t>具有履行合同所必需的设备和专业技术能力(提供承诺书，格式自拟)。</w:t>
      </w:r>
    </w:p>
    <w:p w14:paraId="1354CDD8">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TW"/>
        </w:rPr>
        <w:t>供应商参加政府采购活动前三年内在经营活动中没有重大违法、违纪行为(提供加盖公章的书面声明，格式自拟)。</w:t>
      </w:r>
    </w:p>
    <w:p w14:paraId="748AD7A0">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zh-TW" w:eastAsia="zh-CN"/>
        </w:rPr>
        <w:t>供应商</w:t>
      </w:r>
      <w:r>
        <w:rPr>
          <w:rFonts w:hint="eastAsia" w:ascii="宋体" w:hAnsi="宋体" w:cs="宋体"/>
          <w:color w:val="auto"/>
          <w:sz w:val="24"/>
          <w:szCs w:val="24"/>
          <w:highlight w:val="none"/>
          <w:lang w:val="zh-TW"/>
        </w:rPr>
        <w:t>自行出具本企业无商业贿赂和不正当竞争行为承诺书。</w:t>
      </w:r>
    </w:p>
    <w:p w14:paraId="0ACB0831">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TW"/>
        </w:rPr>
        <w:t>根据《关于在政府采购活动中查询及使用信用记录有关问题的通知》(财库[2016]125号)和豫财购【2016】15号的规定， 对列入失信被执行人、重大税收违法失信主体、政府采购严重违 法失信行为记录名单的供应商，拒绝参与本项目政府采购活动。 【提供信用查询的方法：首先供应商自行提供信用查询结果，附 在投标文件内，查询日期不得早于公告发布日期。采购人或采购 代理机构在开标结束后对“信用中国、中国政府采购网”网上即时查询信用项，采购人或采购代理机构即时查询信用结果作为最终 审查依据】。</w:t>
      </w:r>
    </w:p>
    <w:p w14:paraId="2E4664B1">
      <w:pPr>
        <w:wordWrap w:val="0"/>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【查询渠道：1.“信用中国”网站 (</w:t>
      </w:r>
      <w:r>
        <w:rPr>
          <w:rFonts w:hint="eastAsia" w:ascii="宋体" w:hAnsi="宋体" w:cs="宋体"/>
          <w:color w:val="auto"/>
          <w:sz w:val="24"/>
          <w:szCs w:val="24"/>
          <w:highlight w:val="none"/>
          <w:lang w:val="zh-TW"/>
        </w:rPr>
        <w:fldChar w:fldCharType="begin"/>
      </w:r>
      <w:r>
        <w:rPr>
          <w:rFonts w:hint="eastAsia" w:ascii="宋体" w:hAnsi="宋体" w:cs="宋体"/>
          <w:color w:val="auto"/>
          <w:sz w:val="24"/>
          <w:szCs w:val="24"/>
          <w:highlight w:val="none"/>
          <w:lang w:val="zh-TW"/>
        </w:rPr>
        <w:instrText xml:space="preserve"> HYPERLINK "https://www.creditchina.gov.cn," </w:instrText>
      </w:r>
      <w:r>
        <w:rPr>
          <w:rFonts w:hint="eastAsia" w:ascii="宋体" w:hAnsi="宋体" w:cs="宋体"/>
          <w:color w:val="auto"/>
          <w:sz w:val="24"/>
          <w:szCs w:val="24"/>
          <w:highlight w:val="none"/>
          <w:lang w:val="zh-TW"/>
        </w:rPr>
        <w:fldChar w:fldCharType="separate"/>
      </w:r>
      <w:r>
        <w:rPr>
          <w:rFonts w:hint="eastAsia" w:ascii="宋体" w:hAnsi="宋体" w:cs="宋体"/>
          <w:color w:val="auto"/>
          <w:sz w:val="24"/>
          <w:szCs w:val="24"/>
          <w:highlight w:val="none"/>
          <w:lang w:val="zh-TW"/>
        </w:rPr>
        <w:t>www.creditchina.gov.cn,</w:t>
      </w:r>
      <w:r>
        <w:rPr>
          <w:rFonts w:hint="eastAsia" w:ascii="宋体" w:hAnsi="宋体" w:cs="宋体"/>
          <w:color w:val="auto"/>
          <w:sz w:val="24"/>
          <w:szCs w:val="24"/>
          <w:highlight w:val="none"/>
          <w:lang w:val="zh-TW"/>
        </w:rPr>
        <w:fldChar w:fldCharType="end"/>
      </w:r>
      <w:r>
        <w:rPr>
          <w:rFonts w:hint="eastAsia" w:ascii="宋体" w:hAnsi="宋体" w:cs="宋体"/>
          <w:color w:val="auto"/>
          <w:sz w:val="24"/>
          <w:szCs w:val="24"/>
          <w:highlight w:val="none"/>
          <w:lang w:val="zh-TW"/>
        </w:rPr>
        <w:t>查询内容为：重大税收违法失信主体)、“中国执行信息公开网” 网站(</w:t>
      </w:r>
      <w:r>
        <w:rPr>
          <w:rFonts w:hint="eastAsia" w:ascii="宋体" w:hAnsi="宋体" w:cs="宋体"/>
          <w:color w:val="auto"/>
          <w:sz w:val="24"/>
          <w:szCs w:val="24"/>
          <w:highlight w:val="none"/>
          <w:lang w:val="zh-TW"/>
        </w:rPr>
        <w:fldChar w:fldCharType="begin"/>
      </w:r>
      <w:r>
        <w:rPr>
          <w:rFonts w:hint="eastAsia" w:ascii="宋体" w:hAnsi="宋体" w:cs="宋体"/>
          <w:color w:val="auto"/>
          <w:sz w:val="24"/>
          <w:szCs w:val="24"/>
          <w:highlight w:val="none"/>
          <w:lang w:val="zh-TW"/>
        </w:rPr>
        <w:instrText xml:space="preserve"> HYPERLINK "http://zxgk.court.gov.cn" </w:instrText>
      </w:r>
      <w:r>
        <w:rPr>
          <w:rFonts w:hint="eastAsia" w:ascii="宋体" w:hAnsi="宋体" w:cs="宋体"/>
          <w:color w:val="auto"/>
          <w:sz w:val="24"/>
          <w:szCs w:val="24"/>
          <w:highlight w:val="none"/>
          <w:lang w:val="zh-TW"/>
        </w:rPr>
        <w:fldChar w:fldCharType="separate"/>
      </w:r>
      <w:r>
        <w:rPr>
          <w:rFonts w:hint="eastAsia" w:ascii="宋体" w:hAnsi="宋体" w:cs="宋体"/>
          <w:color w:val="auto"/>
          <w:sz w:val="24"/>
          <w:szCs w:val="24"/>
          <w:highlight w:val="none"/>
          <w:lang w:val="zh-TW"/>
        </w:rPr>
        <w:t>http://zxgk.court.gov.cn</w:t>
      </w:r>
      <w:r>
        <w:rPr>
          <w:rFonts w:hint="eastAsia" w:ascii="宋体" w:hAnsi="宋体" w:cs="宋体"/>
          <w:color w:val="auto"/>
          <w:sz w:val="24"/>
          <w:szCs w:val="24"/>
          <w:highlight w:val="none"/>
          <w:lang w:val="zh-TW"/>
        </w:rPr>
        <w:fldChar w:fldCharType="end"/>
      </w:r>
      <w:r>
        <w:rPr>
          <w:rFonts w:hint="eastAsia" w:ascii="宋体" w:hAnsi="宋体" w:cs="宋体"/>
          <w:color w:val="auto"/>
          <w:sz w:val="24"/>
          <w:szCs w:val="24"/>
          <w:highlight w:val="none"/>
          <w:lang w:val="zh-TW"/>
        </w:rPr>
        <w:t>,查询内容为：失信被执行人)2.中国政府采购网(</w:t>
      </w:r>
      <w:r>
        <w:rPr>
          <w:rFonts w:hint="eastAsia" w:ascii="宋体" w:hAnsi="宋体" w:cs="宋体"/>
          <w:color w:val="auto"/>
          <w:sz w:val="24"/>
          <w:szCs w:val="24"/>
          <w:highlight w:val="none"/>
          <w:lang w:val="zh-TW"/>
        </w:rPr>
        <w:fldChar w:fldCharType="begin"/>
      </w:r>
      <w:r>
        <w:rPr>
          <w:rFonts w:hint="eastAsia" w:ascii="宋体" w:hAnsi="宋体" w:cs="宋体"/>
          <w:color w:val="auto"/>
          <w:sz w:val="24"/>
          <w:szCs w:val="24"/>
          <w:highlight w:val="none"/>
          <w:lang w:val="zh-TW"/>
        </w:rPr>
        <w:instrText xml:space="preserve"> HYPERLINK "https://www.ccgp.gov.cn" </w:instrText>
      </w:r>
      <w:r>
        <w:rPr>
          <w:rFonts w:hint="eastAsia" w:ascii="宋体" w:hAnsi="宋体" w:cs="宋体"/>
          <w:color w:val="auto"/>
          <w:sz w:val="24"/>
          <w:szCs w:val="24"/>
          <w:highlight w:val="none"/>
          <w:lang w:val="zh-TW"/>
        </w:rPr>
        <w:fldChar w:fldCharType="separate"/>
      </w:r>
      <w:r>
        <w:rPr>
          <w:rFonts w:hint="eastAsia" w:ascii="宋体" w:hAnsi="宋体" w:cs="宋体"/>
          <w:color w:val="auto"/>
          <w:sz w:val="24"/>
          <w:szCs w:val="24"/>
          <w:highlight w:val="none"/>
          <w:lang w:val="zh-TW"/>
        </w:rPr>
        <w:t>www.ccgp.gov.cn</w:t>
      </w:r>
      <w:r>
        <w:rPr>
          <w:rFonts w:hint="eastAsia" w:ascii="宋体" w:hAnsi="宋体" w:cs="宋体"/>
          <w:color w:val="auto"/>
          <w:sz w:val="24"/>
          <w:szCs w:val="24"/>
          <w:highlight w:val="none"/>
          <w:lang w:val="zh-TW"/>
        </w:rPr>
        <w:fldChar w:fldCharType="end"/>
      </w:r>
      <w:r>
        <w:rPr>
          <w:rFonts w:hint="eastAsia" w:ascii="宋体" w:hAnsi="宋体" w:cs="宋体"/>
          <w:color w:val="auto"/>
          <w:sz w:val="24"/>
          <w:szCs w:val="24"/>
          <w:highlight w:val="none"/>
          <w:lang w:val="zh-TW"/>
        </w:rPr>
        <w:t>, 查询内容为：政府采购严重违法失信行为记录名单)】</w:t>
      </w:r>
    </w:p>
    <w:p w14:paraId="05B4C4D3">
      <w:pPr>
        <w:wordWrap w:val="0"/>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TW"/>
        </w:rPr>
        <w:t>单位负责人为同一人或者存在直接控股、管理关系的不同供应商，不得参加同一合同项下的政府采购活动。提供国家企业信用信息公示系统的企业信用信息公示报告或承诺书(格式自拟)。</w:t>
      </w:r>
    </w:p>
    <w:p w14:paraId="102FF9FB">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val="zh-TW"/>
        </w:rPr>
        <w:t>本项目不接受联合体投标。</w:t>
      </w:r>
    </w:p>
    <w:p w14:paraId="48B1F6AE">
      <w:pPr>
        <w:rPr>
          <w:rFonts w:hint="eastAsia" w:ascii="宋体" w:hAnsi="宋体" w:eastAsia="宋体"/>
          <w:color w:val="auto"/>
          <w:highlight w:val="none"/>
        </w:rPr>
      </w:pPr>
      <w:r>
        <w:rPr>
          <w:rFonts w:hint="eastAsia" w:ascii="宋体" w:hAnsi="宋体" w:eastAsia="宋体"/>
          <w:color w:val="auto"/>
          <w:highlight w:val="none"/>
        </w:rPr>
        <w:br w:type="page"/>
      </w:r>
    </w:p>
    <w:p w14:paraId="424B6890">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w:t>
      </w:r>
    </w:p>
    <w:p w14:paraId="370D9477">
      <w:pPr>
        <w:widowControl/>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无商业贿赂和不正当竞争行为承诺书</w:t>
      </w:r>
    </w:p>
    <w:p w14:paraId="2045F2CE">
      <w:pPr>
        <w:widowControl/>
        <w:spacing w:line="480" w:lineRule="exact"/>
        <w:jc w:val="left"/>
        <w:rPr>
          <w:rFonts w:hint="eastAsia" w:ascii="宋体" w:hAnsi="宋体" w:cs="宋体"/>
          <w:color w:val="auto"/>
          <w:sz w:val="24"/>
          <w:szCs w:val="24"/>
          <w:highlight w:val="none"/>
        </w:rPr>
      </w:pPr>
    </w:p>
    <w:p w14:paraId="37DFE315">
      <w:pPr>
        <w:widowControl/>
        <w:spacing w:line="48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我公司承诺：</w:t>
      </w:r>
    </w:p>
    <w:p w14:paraId="02DE7343">
      <w:pPr>
        <w:widowControl/>
        <w:spacing w:line="48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一、我公司自成立以来，在参与政府采购活动中，从无商业贿赂和不正当竞争行为。</w:t>
      </w:r>
    </w:p>
    <w:p w14:paraId="26D4B44C">
      <w:pPr>
        <w:widowControl/>
        <w:spacing w:line="48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二、公平竞争参加本次采购活动。</w:t>
      </w:r>
    </w:p>
    <w:p w14:paraId="4D046912">
      <w:pPr>
        <w:widowControl/>
        <w:spacing w:line="48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46D107DE">
      <w:pPr>
        <w:widowControl/>
        <w:spacing w:line="48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2695D6C4">
      <w:pPr>
        <w:widowControl/>
        <w:spacing w:line="48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五、若出现上述行为，与投标的工作人员愿意接受按照国家法律法规等有关规定给子的处罚。</w:t>
      </w:r>
    </w:p>
    <w:p w14:paraId="42A52337">
      <w:pPr>
        <w:widowControl/>
        <w:spacing w:line="48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15EF1580">
      <w:pPr>
        <w:spacing w:after="120"/>
        <w:ind w:firstLine="200" w:firstLineChars="100"/>
        <w:rPr>
          <w:rFonts w:hint="eastAsia" w:ascii="宋体" w:hAnsi="宋体" w:cs="宋体"/>
          <w:color w:val="auto"/>
          <w:kern w:val="0"/>
          <w:sz w:val="20"/>
          <w:highlight w:val="none"/>
        </w:rPr>
      </w:pPr>
    </w:p>
    <w:p w14:paraId="3AE59ECE">
      <w:pPr>
        <w:spacing w:after="120"/>
        <w:ind w:firstLine="200" w:firstLineChars="100"/>
        <w:rPr>
          <w:rFonts w:hint="eastAsia" w:ascii="宋体" w:hAnsi="宋体" w:cs="宋体"/>
          <w:color w:val="auto"/>
          <w:kern w:val="0"/>
          <w:sz w:val="20"/>
          <w:highlight w:val="none"/>
        </w:rPr>
      </w:pPr>
    </w:p>
    <w:p w14:paraId="2F682901">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(盖章)：</w:t>
      </w:r>
    </w:p>
    <w:p w14:paraId="30E9E690">
      <w:pPr>
        <w:spacing w:line="360" w:lineRule="auto"/>
        <w:ind w:firstLine="4200" w:firstLineChars="17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法定代表人或其委托代理人(签字或盖章)：</w:t>
      </w:r>
    </w:p>
    <w:p w14:paraId="301B9C97">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日期：年月日</w:t>
      </w:r>
    </w:p>
    <w:p w14:paraId="572F7D6E">
      <w:pPr>
        <w:spacing w:line="480" w:lineRule="auto"/>
        <w:jc w:val="left"/>
        <w:rPr>
          <w:rFonts w:hint="eastAsia" w:ascii="宋体" w:hAnsi="宋体" w:cs="宋体"/>
          <w:b/>
          <w:bCs/>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p>
    <w:p w14:paraId="643358B2">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满足《中华人民共和国政府采购法》第二十二条规定的承诺书</w:t>
      </w:r>
    </w:p>
    <w:p w14:paraId="37C4F31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致（采购单位）：</w:t>
      </w:r>
    </w:p>
    <w:p w14:paraId="3FC2223D">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4605EE45">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一、我单位全称为    ，注册地点为，统一社会信用代码为， 法定代表人（主要负责人）为 ， 联系方式为 。</w:t>
      </w:r>
    </w:p>
    <w:p w14:paraId="14F4BBEC">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二、我单位具有良好的商业信誉和健全的财务会计制度。</w:t>
      </w:r>
    </w:p>
    <w:p w14:paraId="77026A6A">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三、我单位具有履行合同所必需的设备和专业技术能力。</w:t>
      </w:r>
    </w:p>
    <w:p w14:paraId="3CC4BA0B">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四、我单位有依法缴纳税收和社会保障资金的良好记录。</w:t>
      </w:r>
    </w:p>
    <w:p w14:paraId="4BF85AD3">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五、我单位参加政府采购活动前三年内，在经营活动中没有重大违法记录。（重大违法记录，是指供应商因违法经营受到刑事处罚或者责令停产停业、吊销许可证或者执照、较大数额罚款等行政处罚。）</w:t>
      </w:r>
    </w:p>
    <w:p w14:paraId="1E202F31">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六、我单位具备法律、行政法规规定的其他条件。</w:t>
      </w:r>
    </w:p>
    <w:p w14:paraId="5DF55C2C">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4FAED62B">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(盖章)：</w:t>
      </w:r>
    </w:p>
    <w:p w14:paraId="3CF09EAD">
      <w:pPr>
        <w:spacing w:line="360" w:lineRule="auto"/>
        <w:ind w:firstLine="4200" w:firstLineChars="17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法定代表人或其委托代理人(签字或盖章)：</w:t>
      </w:r>
    </w:p>
    <w:p w14:paraId="1A871BCD">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日期：年月日</w:t>
      </w:r>
    </w:p>
    <w:p w14:paraId="17CC77E0">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注：1.供应商须在投标文件中按此模板提供承诺函，未提供视为未实质性响应招标文件要求，按无效投标处理。</w:t>
      </w:r>
    </w:p>
    <w:p w14:paraId="6F6DDB56">
      <w:pPr>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2.供应商的法定代表人（主要负责人）或者授权代表的签字或盖章应真实、有效。</w:t>
      </w:r>
    </w:p>
    <w:p w14:paraId="18DF26A2">
      <w:pPr>
        <w:spacing w:line="480" w:lineRule="auto"/>
        <w:jc w:val="center"/>
        <w:rPr>
          <w:rFonts w:hint="eastAsia" w:ascii="宋体" w:hAnsi="宋体" w:cs="宋体"/>
          <w:color w:val="auto"/>
          <w:sz w:val="24"/>
          <w:szCs w:val="24"/>
          <w:highlight w:val="none"/>
        </w:rPr>
      </w:pPr>
    </w:p>
    <w:p w14:paraId="3B878163">
      <w:pPr>
        <w:pStyle w:val="14"/>
        <w:rPr>
          <w:rFonts w:hint="eastAsia"/>
        </w:rPr>
      </w:pPr>
    </w:p>
    <w:p w14:paraId="50A2615F">
      <w:pPr>
        <w:spacing w:line="480" w:lineRule="auto"/>
        <w:ind w:left="-40" w:leftChars="-19" w:right="452" w:firstLine="118" w:firstLineChars="49"/>
        <w:jc w:val="left"/>
        <w:rPr>
          <w:rFonts w:hint="eastAsia" w:ascii="宋体" w:hAnsi="宋体" w:cs="宋体"/>
          <w:b/>
          <w:color w:val="auto"/>
          <w:sz w:val="24"/>
          <w:szCs w:val="24"/>
          <w:highlight w:val="none"/>
        </w:rPr>
      </w:pPr>
    </w:p>
    <w:p w14:paraId="3427EE5C">
      <w:pPr>
        <w:spacing w:line="480" w:lineRule="auto"/>
        <w:ind w:left="-40" w:leftChars="-19" w:right="452" w:firstLine="118" w:firstLineChars="49"/>
        <w:jc w:val="left"/>
        <w:rPr>
          <w:rFonts w:hint="eastAsia" w:ascii="宋体" w:hAnsi="宋体" w:cs="宋体"/>
          <w:b/>
          <w:color w:val="auto"/>
          <w:sz w:val="24"/>
          <w:szCs w:val="24"/>
          <w:highlight w:val="none"/>
        </w:rPr>
      </w:pPr>
    </w:p>
    <w:p w14:paraId="4CA237AD">
      <w:pPr>
        <w:spacing w:line="480" w:lineRule="auto"/>
        <w:ind w:left="-40" w:leftChars="-19" w:right="452" w:firstLine="118" w:firstLineChars="49"/>
        <w:jc w:val="left"/>
        <w:rPr>
          <w:rFonts w:hint="eastAsia" w:ascii="宋体" w:hAnsi="宋体" w:cs="宋体"/>
          <w:b/>
          <w:color w:val="auto"/>
          <w:sz w:val="24"/>
          <w:szCs w:val="24"/>
          <w:highlight w:val="none"/>
        </w:rPr>
      </w:pPr>
    </w:p>
    <w:p w14:paraId="3D768B3D">
      <w:pPr>
        <w:spacing w:line="480" w:lineRule="auto"/>
        <w:ind w:left="-40" w:leftChars="-19" w:right="452" w:firstLine="118" w:firstLineChars="49"/>
        <w:jc w:val="left"/>
        <w:rPr>
          <w:rFonts w:hint="eastAsia" w:ascii="宋体" w:hAnsi="宋体" w:cs="宋体"/>
          <w:b/>
          <w:color w:val="auto"/>
          <w:sz w:val="24"/>
          <w:szCs w:val="24"/>
          <w:highlight w:val="none"/>
        </w:rPr>
      </w:pPr>
    </w:p>
    <w:p w14:paraId="7E0947FB">
      <w:pPr>
        <w:spacing w:line="480" w:lineRule="auto"/>
        <w:ind w:left="-40" w:leftChars="-19" w:right="452" w:firstLine="118" w:firstLineChars="49"/>
        <w:jc w:val="left"/>
        <w:rPr>
          <w:rFonts w:hint="eastAsia" w:ascii="宋体" w:hAnsi="宋体" w:cs="宋体"/>
          <w:b/>
          <w:color w:val="auto"/>
          <w:sz w:val="24"/>
          <w:szCs w:val="24"/>
          <w:highlight w:val="none"/>
        </w:rPr>
      </w:pPr>
    </w:p>
    <w:p w14:paraId="0F8214D7">
      <w:pPr>
        <w:rPr>
          <w:rFonts w:hint="eastAsia" w:ascii="宋体" w:hAnsi="宋体" w:cs="宋体"/>
          <w:b/>
          <w:color w:val="auto"/>
          <w:sz w:val="24"/>
          <w:szCs w:val="24"/>
          <w:highlight w:val="none"/>
        </w:rPr>
      </w:pPr>
    </w:p>
    <w:p w14:paraId="6BFC059D">
      <w:pPr>
        <w:spacing w:line="480" w:lineRule="auto"/>
        <w:ind w:left="-40" w:leftChars="-19" w:right="452" w:firstLine="118" w:firstLineChars="49"/>
        <w:jc w:val="center"/>
        <w:rPr>
          <w:rFonts w:hint="eastAsia" w:ascii="宋体" w:hAnsi="宋体" w:cs="宋体"/>
          <w:b/>
          <w:color w:val="auto"/>
          <w:spacing w:val="6"/>
          <w:sz w:val="24"/>
          <w:szCs w:val="24"/>
          <w:highlight w:val="none"/>
        </w:rPr>
      </w:pPr>
      <w:r>
        <w:rPr>
          <w:rFonts w:hint="eastAsia" w:ascii="宋体" w:hAnsi="宋体" w:cs="宋体"/>
          <w:b/>
          <w:color w:val="auto"/>
          <w:sz w:val="24"/>
          <w:szCs w:val="24"/>
          <w:highlight w:val="none"/>
        </w:rPr>
        <w:t>5.3</w:t>
      </w:r>
      <w:r>
        <w:rPr>
          <w:rFonts w:hint="eastAsia" w:ascii="宋体" w:hAnsi="宋体" w:cs="宋体"/>
          <w:b/>
          <w:color w:val="auto"/>
          <w:spacing w:val="6"/>
          <w:sz w:val="24"/>
          <w:szCs w:val="24"/>
          <w:highlight w:val="none"/>
        </w:rPr>
        <w:t>供应商2022年以来类似项目业绩</w:t>
      </w:r>
    </w:p>
    <w:p w14:paraId="3E7045CE">
      <w:pPr>
        <w:spacing w:line="360" w:lineRule="auto"/>
        <w:ind w:left="-30" w:leftChars="-95" w:right="452" w:hanging="169" w:hangingChars="67"/>
        <w:jc w:val="center"/>
        <w:rPr>
          <w:rFonts w:hint="eastAsia" w:ascii="宋体" w:hAnsi="宋体" w:cs="宋体"/>
          <w:b/>
          <w:color w:val="auto"/>
          <w:spacing w:val="6"/>
          <w:sz w:val="24"/>
          <w:szCs w:val="24"/>
          <w:highlight w:val="none"/>
        </w:rPr>
      </w:pPr>
      <w:r>
        <w:rPr>
          <w:rFonts w:hint="eastAsia" w:ascii="宋体" w:hAnsi="宋体" w:cs="宋体"/>
          <w:b/>
          <w:color w:val="auto"/>
          <w:spacing w:val="6"/>
          <w:sz w:val="24"/>
          <w:szCs w:val="24"/>
          <w:highlight w:val="none"/>
        </w:rPr>
        <w:t>供应商2022年以来类似项目业绩一览表</w:t>
      </w:r>
    </w:p>
    <w:tbl>
      <w:tblPr>
        <w:tblStyle w:val="22"/>
        <w:tblW w:w="83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29"/>
        <w:gridCol w:w="1357"/>
        <w:gridCol w:w="1666"/>
        <w:gridCol w:w="1418"/>
        <w:gridCol w:w="1123"/>
        <w:gridCol w:w="1579"/>
      </w:tblGrid>
      <w:tr w14:paraId="6F259572">
        <w:trPr>
          <w:cantSplit/>
          <w:trHeight w:val="893" w:hRule="atLeast"/>
          <w:jc w:val="center"/>
        </w:trPr>
        <w:tc>
          <w:tcPr>
            <w:tcW w:w="1229" w:type="dxa"/>
            <w:tcBorders>
              <w:top w:val="single" w:color="auto" w:sz="4" w:space="0"/>
              <w:left w:val="single" w:color="auto" w:sz="4" w:space="0"/>
              <w:bottom w:val="single" w:color="auto" w:sz="6" w:space="0"/>
              <w:right w:val="single" w:color="auto" w:sz="6" w:space="0"/>
            </w:tcBorders>
            <w:vAlign w:val="center"/>
          </w:tcPr>
          <w:p w14:paraId="7432CDB8">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357" w:type="dxa"/>
            <w:tcBorders>
              <w:top w:val="single" w:color="auto" w:sz="4" w:space="0"/>
              <w:left w:val="single" w:color="auto" w:sz="6" w:space="0"/>
              <w:bottom w:val="single" w:color="auto" w:sz="6" w:space="0"/>
              <w:right w:val="single" w:color="auto" w:sz="6" w:space="0"/>
            </w:tcBorders>
            <w:vAlign w:val="center"/>
          </w:tcPr>
          <w:p w14:paraId="5C0AFC89">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666" w:type="dxa"/>
            <w:tcBorders>
              <w:top w:val="single" w:color="auto" w:sz="4" w:space="0"/>
              <w:left w:val="single" w:color="auto" w:sz="6" w:space="0"/>
              <w:bottom w:val="single" w:color="auto" w:sz="6" w:space="0"/>
              <w:right w:val="single" w:color="auto" w:sz="6" w:space="0"/>
            </w:tcBorders>
            <w:vAlign w:val="center"/>
          </w:tcPr>
          <w:p w14:paraId="2C86F4CE">
            <w:pPr>
              <w:spacing w:line="400" w:lineRule="exact"/>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合同金额</w:t>
            </w:r>
          </w:p>
        </w:tc>
        <w:tc>
          <w:tcPr>
            <w:tcW w:w="1418" w:type="dxa"/>
            <w:tcBorders>
              <w:top w:val="single" w:color="auto" w:sz="4" w:space="0"/>
              <w:left w:val="single" w:color="auto" w:sz="6" w:space="0"/>
              <w:bottom w:val="single" w:color="auto" w:sz="6" w:space="0"/>
              <w:right w:val="single" w:color="auto" w:sz="4" w:space="0"/>
            </w:tcBorders>
            <w:vAlign w:val="center"/>
          </w:tcPr>
          <w:p w14:paraId="506A3EEE">
            <w:pPr>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完成</w:t>
            </w:r>
          </w:p>
          <w:p w14:paraId="16FCFDDD">
            <w:pPr>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项目质量</w:t>
            </w:r>
          </w:p>
        </w:tc>
        <w:tc>
          <w:tcPr>
            <w:tcW w:w="1123" w:type="dxa"/>
            <w:tcBorders>
              <w:top w:val="single" w:color="auto" w:sz="4" w:space="0"/>
              <w:left w:val="single" w:color="auto" w:sz="4" w:space="0"/>
              <w:bottom w:val="single" w:color="auto" w:sz="6" w:space="0"/>
              <w:right w:val="single" w:color="auto" w:sz="6" w:space="0"/>
            </w:tcBorders>
            <w:vAlign w:val="center"/>
          </w:tcPr>
          <w:p w14:paraId="02A3D31E">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完成日期</w:t>
            </w:r>
          </w:p>
        </w:tc>
        <w:tc>
          <w:tcPr>
            <w:tcW w:w="1579" w:type="dxa"/>
            <w:tcBorders>
              <w:top w:val="single" w:color="auto" w:sz="4" w:space="0"/>
              <w:left w:val="single" w:color="auto" w:sz="4" w:space="0"/>
              <w:bottom w:val="single" w:color="auto" w:sz="6" w:space="0"/>
              <w:right w:val="single" w:color="auto" w:sz="4" w:space="0"/>
            </w:tcBorders>
            <w:vAlign w:val="center"/>
          </w:tcPr>
          <w:p w14:paraId="61E6D27B">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528253E4">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0FE32250">
            <w:pPr>
              <w:spacing w:line="400" w:lineRule="exact"/>
              <w:jc w:val="center"/>
              <w:rPr>
                <w:rFonts w:hint="eastAsia" w:ascii="宋体" w:hAnsi="宋体" w:cs="宋体"/>
                <w:color w:val="auto"/>
                <w:sz w:val="24"/>
                <w:szCs w:val="24"/>
                <w:highlight w:val="none"/>
              </w:rPr>
            </w:pPr>
          </w:p>
        </w:tc>
        <w:tc>
          <w:tcPr>
            <w:tcW w:w="1357" w:type="dxa"/>
            <w:tcBorders>
              <w:top w:val="single" w:color="auto" w:sz="6" w:space="0"/>
              <w:left w:val="single" w:color="auto" w:sz="6" w:space="0"/>
              <w:bottom w:val="single" w:color="auto" w:sz="6" w:space="0"/>
              <w:right w:val="single" w:color="auto" w:sz="6" w:space="0"/>
            </w:tcBorders>
            <w:vAlign w:val="center"/>
          </w:tcPr>
          <w:p w14:paraId="17A8201F">
            <w:pPr>
              <w:spacing w:line="400" w:lineRule="exact"/>
              <w:jc w:val="center"/>
              <w:rPr>
                <w:rFonts w:hint="eastAsia" w:ascii="宋体" w:hAnsi="宋体" w:cs="宋体"/>
                <w:color w:val="auto"/>
                <w:sz w:val="24"/>
                <w:szCs w:val="24"/>
                <w:highlight w:val="none"/>
              </w:rPr>
            </w:pPr>
          </w:p>
        </w:tc>
        <w:tc>
          <w:tcPr>
            <w:tcW w:w="1666" w:type="dxa"/>
            <w:tcBorders>
              <w:top w:val="single" w:color="auto" w:sz="6" w:space="0"/>
              <w:left w:val="single" w:color="auto" w:sz="6" w:space="0"/>
              <w:bottom w:val="single" w:color="auto" w:sz="6" w:space="0"/>
              <w:right w:val="single" w:color="auto" w:sz="6" w:space="0"/>
            </w:tcBorders>
            <w:vAlign w:val="center"/>
          </w:tcPr>
          <w:p w14:paraId="27E4FC90">
            <w:pPr>
              <w:spacing w:line="400" w:lineRule="exact"/>
              <w:jc w:val="center"/>
              <w:rPr>
                <w:rFonts w:hint="eastAsia" w:ascii="宋体" w:hAnsi="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4" w:space="0"/>
            </w:tcBorders>
            <w:vAlign w:val="center"/>
          </w:tcPr>
          <w:p w14:paraId="16B9D5BD">
            <w:pPr>
              <w:spacing w:line="400" w:lineRule="exact"/>
              <w:jc w:val="center"/>
              <w:rPr>
                <w:rFonts w:hint="eastAsia" w:ascii="宋体" w:hAnsi="宋体" w:cs="宋体"/>
                <w:color w:val="auto"/>
                <w:sz w:val="24"/>
                <w:szCs w:val="24"/>
                <w:highlight w:val="none"/>
              </w:rPr>
            </w:pPr>
          </w:p>
        </w:tc>
        <w:tc>
          <w:tcPr>
            <w:tcW w:w="1123" w:type="dxa"/>
            <w:tcBorders>
              <w:top w:val="single" w:color="auto" w:sz="6" w:space="0"/>
              <w:left w:val="single" w:color="auto" w:sz="4" w:space="0"/>
              <w:bottom w:val="single" w:color="auto" w:sz="6" w:space="0"/>
              <w:right w:val="single" w:color="auto" w:sz="6" w:space="0"/>
            </w:tcBorders>
            <w:vAlign w:val="center"/>
          </w:tcPr>
          <w:p w14:paraId="72497AB0">
            <w:pPr>
              <w:spacing w:line="400" w:lineRule="exact"/>
              <w:jc w:val="center"/>
              <w:rPr>
                <w:rFonts w:hint="eastAsia" w:ascii="宋体" w:hAnsi="宋体" w:cs="宋体"/>
                <w:color w:val="auto"/>
                <w:sz w:val="24"/>
                <w:szCs w:val="24"/>
                <w:highlight w:val="none"/>
              </w:rPr>
            </w:pPr>
          </w:p>
        </w:tc>
        <w:tc>
          <w:tcPr>
            <w:tcW w:w="1579" w:type="dxa"/>
            <w:tcBorders>
              <w:top w:val="single" w:color="auto" w:sz="6" w:space="0"/>
              <w:left w:val="single" w:color="auto" w:sz="4" w:space="0"/>
              <w:bottom w:val="single" w:color="auto" w:sz="6" w:space="0"/>
              <w:right w:val="single" w:color="auto" w:sz="4" w:space="0"/>
            </w:tcBorders>
            <w:vAlign w:val="center"/>
          </w:tcPr>
          <w:p w14:paraId="07F4B9A3">
            <w:pPr>
              <w:spacing w:line="400" w:lineRule="exact"/>
              <w:jc w:val="center"/>
              <w:rPr>
                <w:rFonts w:hint="eastAsia" w:ascii="宋体" w:hAnsi="宋体" w:cs="宋体"/>
                <w:color w:val="auto"/>
                <w:sz w:val="24"/>
                <w:szCs w:val="24"/>
                <w:highlight w:val="none"/>
              </w:rPr>
            </w:pPr>
          </w:p>
        </w:tc>
      </w:tr>
      <w:tr w14:paraId="05BE5504">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6CD93C13">
            <w:pPr>
              <w:spacing w:line="400" w:lineRule="exact"/>
              <w:jc w:val="center"/>
              <w:rPr>
                <w:rFonts w:hint="eastAsia" w:ascii="宋体" w:hAnsi="宋体" w:cs="宋体"/>
                <w:color w:val="auto"/>
                <w:sz w:val="24"/>
                <w:szCs w:val="24"/>
                <w:highlight w:val="none"/>
              </w:rPr>
            </w:pPr>
          </w:p>
        </w:tc>
        <w:tc>
          <w:tcPr>
            <w:tcW w:w="1357" w:type="dxa"/>
            <w:tcBorders>
              <w:top w:val="single" w:color="auto" w:sz="6" w:space="0"/>
              <w:left w:val="single" w:color="auto" w:sz="6" w:space="0"/>
              <w:bottom w:val="single" w:color="auto" w:sz="6" w:space="0"/>
              <w:right w:val="single" w:color="auto" w:sz="6" w:space="0"/>
            </w:tcBorders>
            <w:vAlign w:val="center"/>
          </w:tcPr>
          <w:p w14:paraId="64E29478">
            <w:pPr>
              <w:spacing w:line="400" w:lineRule="exact"/>
              <w:jc w:val="center"/>
              <w:rPr>
                <w:rFonts w:hint="eastAsia" w:ascii="宋体" w:hAnsi="宋体" w:cs="宋体"/>
                <w:color w:val="auto"/>
                <w:sz w:val="24"/>
                <w:szCs w:val="24"/>
                <w:highlight w:val="none"/>
              </w:rPr>
            </w:pPr>
          </w:p>
        </w:tc>
        <w:tc>
          <w:tcPr>
            <w:tcW w:w="1666" w:type="dxa"/>
            <w:tcBorders>
              <w:top w:val="single" w:color="auto" w:sz="6" w:space="0"/>
              <w:left w:val="single" w:color="auto" w:sz="6" w:space="0"/>
              <w:bottom w:val="single" w:color="auto" w:sz="6" w:space="0"/>
              <w:right w:val="single" w:color="auto" w:sz="6" w:space="0"/>
            </w:tcBorders>
            <w:vAlign w:val="center"/>
          </w:tcPr>
          <w:p w14:paraId="6366AB44">
            <w:pPr>
              <w:spacing w:line="400" w:lineRule="exact"/>
              <w:jc w:val="center"/>
              <w:rPr>
                <w:rFonts w:hint="eastAsia" w:ascii="宋体" w:hAnsi="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4" w:space="0"/>
            </w:tcBorders>
            <w:vAlign w:val="center"/>
          </w:tcPr>
          <w:p w14:paraId="74C52A37">
            <w:pPr>
              <w:spacing w:line="400" w:lineRule="exact"/>
              <w:jc w:val="center"/>
              <w:rPr>
                <w:rFonts w:hint="eastAsia" w:ascii="宋体" w:hAnsi="宋体" w:cs="宋体"/>
                <w:color w:val="auto"/>
                <w:sz w:val="24"/>
                <w:szCs w:val="24"/>
                <w:highlight w:val="none"/>
              </w:rPr>
            </w:pPr>
          </w:p>
        </w:tc>
        <w:tc>
          <w:tcPr>
            <w:tcW w:w="1123" w:type="dxa"/>
            <w:tcBorders>
              <w:top w:val="single" w:color="auto" w:sz="6" w:space="0"/>
              <w:left w:val="single" w:color="auto" w:sz="4" w:space="0"/>
              <w:bottom w:val="single" w:color="auto" w:sz="6" w:space="0"/>
              <w:right w:val="single" w:color="auto" w:sz="6" w:space="0"/>
            </w:tcBorders>
            <w:vAlign w:val="center"/>
          </w:tcPr>
          <w:p w14:paraId="4AF16A01">
            <w:pPr>
              <w:spacing w:line="400" w:lineRule="exact"/>
              <w:jc w:val="center"/>
              <w:rPr>
                <w:rFonts w:hint="eastAsia" w:ascii="宋体" w:hAnsi="宋体" w:cs="宋体"/>
                <w:color w:val="auto"/>
                <w:sz w:val="24"/>
                <w:szCs w:val="24"/>
                <w:highlight w:val="none"/>
              </w:rPr>
            </w:pPr>
          </w:p>
        </w:tc>
        <w:tc>
          <w:tcPr>
            <w:tcW w:w="1579" w:type="dxa"/>
            <w:tcBorders>
              <w:top w:val="single" w:color="auto" w:sz="6" w:space="0"/>
              <w:left w:val="single" w:color="auto" w:sz="4" w:space="0"/>
              <w:bottom w:val="single" w:color="auto" w:sz="6" w:space="0"/>
              <w:right w:val="single" w:color="auto" w:sz="4" w:space="0"/>
            </w:tcBorders>
            <w:vAlign w:val="center"/>
          </w:tcPr>
          <w:p w14:paraId="2A7C831A">
            <w:pPr>
              <w:spacing w:line="400" w:lineRule="exact"/>
              <w:jc w:val="center"/>
              <w:rPr>
                <w:rFonts w:hint="eastAsia" w:ascii="宋体" w:hAnsi="宋体" w:cs="宋体"/>
                <w:color w:val="auto"/>
                <w:sz w:val="24"/>
                <w:szCs w:val="24"/>
                <w:highlight w:val="none"/>
              </w:rPr>
            </w:pPr>
          </w:p>
        </w:tc>
      </w:tr>
      <w:tr w14:paraId="4530207C">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71D02263">
            <w:pPr>
              <w:spacing w:line="400" w:lineRule="exact"/>
              <w:jc w:val="center"/>
              <w:rPr>
                <w:rFonts w:hint="eastAsia" w:ascii="宋体" w:hAnsi="宋体" w:cs="宋体"/>
                <w:color w:val="auto"/>
                <w:sz w:val="24"/>
                <w:szCs w:val="24"/>
                <w:highlight w:val="none"/>
              </w:rPr>
            </w:pPr>
          </w:p>
        </w:tc>
        <w:tc>
          <w:tcPr>
            <w:tcW w:w="1357" w:type="dxa"/>
            <w:tcBorders>
              <w:top w:val="single" w:color="auto" w:sz="6" w:space="0"/>
              <w:left w:val="single" w:color="auto" w:sz="6" w:space="0"/>
              <w:bottom w:val="single" w:color="auto" w:sz="6" w:space="0"/>
              <w:right w:val="single" w:color="auto" w:sz="6" w:space="0"/>
            </w:tcBorders>
            <w:vAlign w:val="center"/>
          </w:tcPr>
          <w:p w14:paraId="58C4290C">
            <w:pPr>
              <w:spacing w:line="400" w:lineRule="exact"/>
              <w:jc w:val="center"/>
              <w:rPr>
                <w:rFonts w:hint="eastAsia" w:ascii="宋体" w:hAnsi="宋体" w:cs="宋体"/>
                <w:color w:val="auto"/>
                <w:sz w:val="24"/>
                <w:szCs w:val="24"/>
                <w:highlight w:val="none"/>
              </w:rPr>
            </w:pPr>
          </w:p>
        </w:tc>
        <w:tc>
          <w:tcPr>
            <w:tcW w:w="1666" w:type="dxa"/>
            <w:tcBorders>
              <w:top w:val="single" w:color="auto" w:sz="6" w:space="0"/>
              <w:left w:val="single" w:color="auto" w:sz="6" w:space="0"/>
              <w:bottom w:val="single" w:color="auto" w:sz="6" w:space="0"/>
              <w:right w:val="single" w:color="auto" w:sz="6" w:space="0"/>
            </w:tcBorders>
            <w:vAlign w:val="center"/>
          </w:tcPr>
          <w:p w14:paraId="78679F93">
            <w:pPr>
              <w:spacing w:line="400" w:lineRule="exact"/>
              <w:jc w:val="center"/>
              <w:rPr>
                <w:rFonts w:hint="eastAsia" w:ascii="宋体" w:hAnsi="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4" w:space="0"/>
            </w:tcBorders>
            <w:vAlign w:val="center"/>
          </w:tcPr>
          <w:p w14:paraId="3A61D206">
            <w:pPr>
              <w:spacing w:line="400" w:lineRule="exact"/>
              <w:jc w:val="center"/>
              <w:rPr>
                <w:rFonts w:hint="eastAsia" w:ascii="宋体" w:hAnsi="宋体" w:cs="宋体"/>
                <w:color w:val="auto"/>
                <w:sz w:val="24"/>
                <w:szCs w:val="24"/>
                <w:highlight w:val="none"/>
              </w:rPr>
            </w:pPr>
          </w:p>
        </w:tc>
        <w:tc>
          <w:tcPr>
            <w:tcW w:w="1123" w:type="dxa"/>
            <w:tcBorders>
              <w:top w:val="single" w:color="auto" w:sz="6" w:space="0"/>
              <w:left w:val="single" w:color="auto" w:sz="4" w:space="0"/>
              <w:bottom w:val="single" w:color="auto" w:sz="6" w:space="0"/>
              <w:right w:val="single" w:color="auto" w:sz="6" w:space="0"/>
            </w:tcBorders>
            <w:vAlign w:val="center"/>
          </w:tcPr>
          <w:p w14:paraId="55C30153">
            <w:pPr>
              <w:spacing w:line="400" w:lineRule="exact"/>
              <w:jc w:val="center"/>
              <w:rPr>
                <w:rFonts w:hint="eastAsia" w:ascii="宋体" w:hAnsi="宋体" w:cs="宋体"/>
                <w:color w:val="auto"/>
                <w:sz w:val="24"/>
                <w:szCs w:val="24"/>
                <w:highlight w:val="none"/>
              </w:rPr>
            </w:pPr>
          </w:p>
        </w:tc>
        <w:tc>
          <w:tcPr>
            <w:tcW w:w="1579" w:type="dxa"/>
            <w:tcBorders>
              <w:top w:val="single" w:color="auto" w:sz="6" w:space="0"/>
              <w:left w:val="single" w:color="auto" w:sz="4" w:space="0"/>
              <w:bottom w:val="single" w:color="auto" w:sz="6" w:space="0"/>
              <w:right w:val="single" w:color="auto" w:sz="4" w:space="0"/>
            </w:tcBorders>
            <w:vAlign w:val="center"/>
          </w:tcPr>
          <w:p w14:paraId="3516C27E">
            <w:pPr>
              <w:spacing w:line="400" w:lineRule="exact"/>
              <w:jc w:val="center"/>
              <w:rPr>
                <w:rFonts w:hint="eastAsia" w:ascii="宋体" w:hAnsi="宋体" w:cs="宋体"/>
                <w:color w:val="auto"/>
                <w:sz w:val="24"/>
                <w:szCs w:val="24"/>
                <w:highlight w:val="none"/>
              </w:rPr>
            </w:pPr>
          </w:p>
        </w:tc>
      </w:tr>
      <w:tr w14:paraId="2BAB89F9">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625AFE2D">
            <w:pPr>
              <w:spacing w:line="400" w:lineRule="exact"/>
              <w:jc w:val="center"/>
              <w:rPr>
                <w:rFonts w:hint="eastAsia" w:ascii="宋体" w:hAnsi="宋体" w:cs="宋体"/>
                <w:color w:val="auto"/>
                <w:sz w:val="24"/>
                <w:szCs w:val="24"/>
                <w:highlight w:val="none"/>
              </w:rPr>
            </w:pPr>
          </w:p>
        </w:tc>
        <w:tc>
          <w:tcPr>
            <w:tcW w:w="1357" w:type="dxa"/>
            <w:tcBorders>
              <w:top w:val="single" w:color="auto" w:sz="6" w:space="0"/>
              <w:left w:val="single" w:color="auto" w:sz="6" w:space="0"/>
              <w:bottom w:val="single" w:color="auto" w:sz="6" w:space="0"/>
              <w:right w:val="single" w:color="auto" w:sz="4" w:space="0"/>
            </w:tcBorders>
            <w:vAlign w:val="center"/>
          </w:tcPr>
          <w:p w14:paraId="57D5E8FA">
            <w:pPr>
              <w:spacing w:line="400" w:lineRule="exact"/>
              <w:jc w:val="center"/>
              <w:rPr>
                <w:rFonts w:hint="eastAsia" w:ascii="宋体" w:hAnsi="宋体" w:cs="宋体"/>
                <w:color w:val="auto"/>
                <w:sz w:val="24"/>
                <w:szCs w:val="24"/>
                <w:highlight w:val="none"/>
              </w:rPr>
            </w:pPr>
          </w:p>
        </w:tc>
        <w:tc>
          <w:tcPr>
            <w:tcW w:w="1666" w:type="dxa"/>
            <w:tcBorders>
              <w:top w:val="single" w:color="auto" w:sz="6" w:space="0"/>
              <w:left w:val="single" w:color="auto" w:sz="6" w:space="0"/>
              <w:bottom w:val="single" w:color="auto" w:sz="6" w:space="0"/>
              <w:right w:val="single" w:color="auto" w:sz="6" w:space="0"/>
            </w:tcBorders>
            <w:vAlign w:val="center"/>
          </w:tcPr>
          <w:p w14:paraId="4457967D">
            <w:pPr>
              <w:spacing w:line="400" w:lineRule="exact"/>
              <w:jc w:val="center"/>
              <w:rPr>
                <w:rFonts w:hint="eastAsia" w:ascii="宋体" w:hAnsi="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4" w:space="0"/>
            </w:tcBorders>
            <w:vAlign w:val="center"/>
          </w:tcPr>
          <w:p w14:paraId="6F3500D0">
            <w:pPr>
              <w:spacing w:line="400" w:lineRule="exact"/>
              <w:jc w:val="center"/>
              <w:rPr>
                <w:rFonts w:hint="eastAsia" w:ascii="宋体" w:hAnsi="宋体" w:cs="宋体"/>
                <w:color w:val="auto"/>
                <w:sz w:val="24"/>
                <w:szCs w:val="24"/>
                <w:highlight w:val="none"/>
              </w:rPr>
            </w:pPr>
          </w:p>
        </w:tc>
        <w:tc>
          <w:tcPr>
            <w:tcW w:w="1123" w:type="dxa"/>
            <w:tcBorders>
              <w:top w:val="single" w:color="auto" w:sz="6" w:space="0"/>
              <w:left w:val="single" w:color="auto" w:sz="4" w:space="0"/>
              <w:bottom w:val="single" w:color="auto" w:sz="6" w:space="0"/>
              <w:right w:val="single" w:color="auto" w:sz="6" w:space="0"/>
            </w:tcBorders>
            <w:vAlign w:val="center"/>
          </w:tcPr>
          <w:p w14:paraId="5F6D2FBC">
            <w:pPr>
              <w:spacing w:line="400" w:lineRule="exact"/>
              <w:jc w:val="center"/>
              <w:rPr>
                <w:rFonts w:hint="eastAsia" w:ascii="宋体" w:hAnsi="宋体" w:cs="宋体"/>
                <w:color w:val="auto"/>
                <w:sz w:val="24"/>
                <w:szCs w:val="24"/>
                <w:highlight w:val="none"/>
              </w:rPr>
            </w:pPr>
          </w:p>
        </w:tc>
        <w:tc>
          <w:tcPr>
            <w:tcW w:w="1579" w:type="dxa"/>
            <w:tcBorders>
              <w:top w:val="single" w:color="auto" w:sz="6" w:space="0"/>
              <w:left w:val="single" w:color="auto" w:sz="4" w:space="0"/>
              <w:bottom w:val="single" w:color="auto" w:sz="6" w:space="0"/>
              <w:right w:val="single" w:color="auto" w:sz="4" w:space="0"/>
            </w:tcBorders>
            <w:vAlign w:val="center"/>
          </w:tcPr>
          <w:p w14:paraId="7ACD2904">
            <w:pPr>
              <w:spacing w:line="400" w:lineRule="exact"/>
              <w:jc w:val="center"/>
              <w:rPr>
                <w:rFonts w:hint="eastAsia" w:ascii="宋体" w:hAnsi="宋体" w:cs="宋体"/>
                <w:color w:val="auto"/>
                <w:sz w:val="24"/>
                <w:szCs w:val="24"/>
                <w:highlight w:val="none"/>
              </w:rPr>
            </w:pPr>
          </w:p>
        </w:tc>
      </w:tr>
      <w:tr w14:paraId="60C1979F">
        <w:trPr>
          <w:cantSplit/>
          <w:trHeight w:val="594" w:hRule="atLeast"/>
          <w:jc w:val="center"/>
        </w:trPr>
        <w:tc>
          <w:tcPr>
            <w:tcW w:w="1229" w:type="dxa"/>
            <w:tcBorders>
              <w:top w:val="single" w:color="auto" w:sz="6" w:space="0"/>
              <w:left w:val="single" w:color="auto" w:sz="4" w:space="0"/>
              <w:bottom w:val="single" w:color="auto" w:sz="4" w:space="0"/>
              <w:right w:val="single" w:color="auto" w:sz="4" w:space="0"/>
            </w:tcBorders>
            <w:vAlign w:val="center"/>
          </w:tcPr>
          <w:p w14:paraId="6ED8D152">
            <w:pPr>
              <w:spacing w:line="400" w:lineRule="exact"/>
              <w:rPr>
                <w:rFonts w:hint="eastAsia" w:ascii="宋体" w:hAnsi="宋体" w:cs="宋体"/>
                <w:color w:val="auto"/>
                <w:sz w:val="24"/>
                <w:szCs w:val="24"/>
                <w:highlight w:val="none"/>
              </w:rPr>
            </w:pPr>
          </w:p>
        </w:tc>
        <w:tc>
          <w:tcPr>
            <w:tcW w:w="1357" w:type="dxa"/>
            <w:tcBorders>
              <w:top w:val="single" w:color="auto" w:sz="6" w:space="0"/>
              <w:left w:val="single" w:color="auto" w:sz="4" w:space="0"/>
              <w:bottom w:val="single" w:color="auto" w:sz="4" w:space="0"/>
              <w:right w:val="single" w:color="auto" w:sz="4" w:space="0"/>
            </w:tcBorders>
            <w:vAlign w:val="center"/>
          </w:tcPr>
          <w:p w14:paraId="0EE33C04">
            <w:pPr>
              <w:spacing w:line="400" w:lineRule="exact"/>
              <w:rPr>
                <w:rFonts w:hint="eastAsia" w:ascii="宋体" w:hAnsi="宋体" w:cs="宋体"/>
                <w:color w:val="auto"/>
                <w:sz w:val="24"/>
                <w:szCs w:val="24"/>
                <w:highlight w:val="none"/>
              </w:rPr>
            </w:pPr>
          </w:p>
        </w:tc>
        <w:tc>
          <w:tcPr>
            <w:tcW w:w="1666" w:type="dxa"/>
            <w:tcBorders>
              <w:top w:val="single" w:color="auto" w:sz="6" w:space="0"/>
              <w:left w:val="single" w:color="auto" w:sz="4" w:space="0"/>
              <w:bottom w:val="single" w:color="auto" w:sz="4" w:space="0"/>
              <w:right w:val="single" w:color="auto" w:sz="4" w:space="0"/>
            </w:tcBorders>
            <w:vAlign w:val="center"/>
          </w:tcPr>
          <w:p w14:paraId="3E82176E">
            <w:pPr>
              <w:spacing w:line="400" w:lineRule="exact"/>
              <w:rPr>
                <w:rFonts w:hint="eastAsia" w:ascii="宋体" w:hAnsi="宋体" w:cs="宋体"/>
                <w:color w:val="auto"/>
                <w:sz w:val="24"/>
                <w:szCs w:val="24"/>
                <w:highlight w:val="none"/>
              </w:rPr>
            </w:pPr>
          </w:p>
        </w:tc>
        <w:tc>
          <w:tcPr>
            <w:tcW w:w="1418" w:type="dxa"/>
            <w:tcBorders>
              <w:top w:val="single" w:color="auto" w:sz="6" w:space="0"/>
              <w:left w:val="single" w:color="auto" w:sz="4" w:space="0"/>
              <w:bottom w:val="single" w:color="auto" w:sz="4" w:space="0"/>
              <w:right w:val="single" w:color="auto" w:sz="4" w:space="0"/>
            </w:tcBorders>
            <w:vAlign w:val="center"/>
          </w:tcPr>
          <w:p w14:paraId="1FC9B6B9">
            <w:pPr>
              <w:spacing w:line="400" w:lineRule="exact"/>
              <w:rPr>
                <w:rFonts w:hint="eastAsia" w:ascii="宋体" w:hAnsi="宋体" w:cs="宋体"/>
                <w:color w:val="auto"/>
                <w:sz w:val="24"/>
                <w:szCs w:val="24"/>
                <w:highlight w:val="none"/>
              </w:rPr>
            </w:pPr>
          </w:p>
        </w:tc>
        <w:tc>
          <w:tcPr>
            <w:tcW w:w="1123" w:type="dxa"/>
            <w:tcBorders>
              <w:top w:val="single" w:color="auto" w:sz="6" w:space="0"/>
              <w:left w:val="single" w:color="auto" w:sz="4" w:space="0"/>
              <w:bottom w:val="single" w:color="auto" w:sz="4" w:space="0"/>
              <w:right w:val="single" w:color="auto" w:sz="6" w:space="0"/>
            </w:tcBorders>
            <w:vAlign w:val="center"/>
          </w:tcPr>
          <w:p w14:paraId="18738FEE">
            <w:pPr>
              <w:spacing w:line="400" w:lineRule="exact"/>
              <w:rPr>
                <w:rFonts w:hint="eastAsia" w:ascii="宋体" w:hAnsi="宋体" w:cs="宋体"/>
                <w:color w:val="auto"/>
                <w:sz w:val="24"/>
                <w:szCs w:val="24"/>
                <w:highlight w:val="none"/>
              </w:rPr>
            </w:pPr>
          </w:p>
        </w:tc>
        <w:tc>
          <w:tcPr>
            <w:tcW w:w="1579" w:type="dxa"/>
            <w:tcBorders>
              <w:top w:val="single" w:color="auto" w:sz="6" w:space="0"/>
              <w:left w:val="single" w:color="auto" w:sz="4" w:space="0"/>
              <w:bottom w:val="single" w:color="auto" w:sz="4" w:space="0"/>
              <w:right w:val="single" w:color="auto" w:sz="4" w:space="0"/>
            </w:tcBorders>
            <w:vAlign w:val="center"/>
          </w:tcPr>
          <w:p w14:paraId="24656432">
            <w:pPr>
              <w:spacing w:line="400" w:lineRule="exact"/>
              <w:rPr>
                <w:rFonts w:hint="eastAsia" w:ascii="宋体" w:hAnsi="宋体" w:cs="宋体"/>
                <w:color w:val="auto"/>
                <w:sz w:val="24"/>
                <w:szCs w:val="24"/>
                <w:highlight w:val="none"/>
              </w:rPr>
            </w:pPr>
          </w:p>
        </w:tc>
      </w:tr>
    </w:tbl>
    <w:p w14:paraId="7DE29735">
      <w:pPr>
        <w:tabs>
          <w:tab w:val="left" w:pos="8782"/>
        </w:tabs>
        <w:snapToGrid w:val="0"/>
        <w:ind w:left="500" w:leftChars="238" w:right="-38"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注：附有效证明材料。</w:t>
      </w:r>
    </w:p>
    <w:p w14:paraId="78CFD465">
      <w:pPr>
        <w:pStyle w:val="13"/>
        <w:rPr>
          <w:rFonts w:hint="eastAsia" w:ascii="宋体" w:hAnsi="宋体" w:eastAsia="宋体"/>
          <w:color w:val="auto"/>
          <w:highlight w:val="none"/>
        </w:rPr>
      </w:pPr>
    </w:p>
    <w:p w14:paraId="5814288A">
      <w:pPr>
        <w:pStyle w:val="14"/>
        <w:rPr>
          <w:rFonts w:hint="eastAsia" w:ascii="宋体" w:hAnsi="宋体" w:cs="宋体"/>
          <w:color w:val="auto"/>
          <w:highlight w:val="none"/>
        </w:rPr>
      </w:pPr>
    </w:p>
    <w:p w14:paraId="18642E19">
      <w:pPr>
        <w:rPr>
          <w:rFonts w:hint="eastAsia" w:ascii="宋体" w:hAnsi="宋体" w:cs="宋体"/>
          <w:color w:val="auto"/>
          <w:highlight w:val="none"/>
        </w:rPr>
      </w:pPr>
    </w:p>
    <w:p w14:paraId="56492124">
      <w:pPr>
        <w:pStyle w:val="13"/>
        <w:rPr>
          <w:rFonts w:hint="eastAsia" w:ascii="宋体" w:hAnsi="宋体" w:eastAsia="宋体"/>
          <w:color w:val="auto"/>
          <w:highlight w:val="none"/>
        </w:rPr>
      </w:pPr>
    </w:p>
    <w:p w14:paraId="4E89346C">
      <w:pPr>
        <w:pStyle w:val="14"/>
        <w:rPr>
          <w:rFonts w:hint="eastAsia" w:ascii="宋体" w:hAnsi="宋体" w:cs="宋体"/>
          <w:color w:val="auto"/>
          <w:highlight w:val="none"/>
        </w:rPr>
      </w:pPr>
    </w:p>
    <w:p w14:paraId="00AD04FB">
      <w:pPr>
        <w:rPr>
          <w:rFonts w:hint="eastAsia" w:ascii="宋体" w:hAnsi="宋体" w:cs="宋体"/>
          <w:color w:val="auto"/>
          <w:highlight w:val="none"/>
        </w:rPr>
      </w:pPr>
    </w:p>
    <w:p w14:paraId="08A4BA53">
      <w:pPr>
        <w:pStyle w:val="13"/>
        <w:rPr>
          <w:rFonts w:hint="eastAsia" w:ascii="宋体" w:hAnsi="宋体" w:eastAsia="宋体"/>
          <w:color w:val="auto"/>
          <w:highlight w:val="none"/>
        </w:rPr>
      </w:pPr>
    </w:p>
    <w:p w14:paraId="328CAAEA">
      <w:pPr>
        <w:pStyle w:val="14"/>
        <w:rPr>
          <w:rFonts w:hint="eastAsia" w:ascii="宋体" w:hAnsi="宋体" w:cs="宋体"/>
          <w:color w:val="auto"/>
          <w:highlight w:val="none"/>
        </w:rPr>
      </w:pPr>
    </w:p>
    <w:p w14:paraId="5985B127">
      <w:pPr>
        <w:rPr>
          <w:rFonts w:hint="eastAsia" w:ascii="宋体" w:hAnsi="宋体" w:cs="宋体"/>
          <w:color w:val="auto"/>
          <w:highlight w:val="none"/>
        </w:rPr>
      </w:pPr>
    </w:p>
    <w:p w14:paraId="78EA1B11">
      <w:pPr>
        <w:pStyle w:val="13"/>
        <w:rPr>
          <w:rFonts w:hint="eastAsia" w:ascii="宋体" w:hAnsi="宋体" w:eastAsia="宋体"/>
          <w:color w:val="auto"/>
          <w:highlight w:val="none"/>
        </w:rPr>
      </w:pPr>
    </w:p>
    <w:p w14:paraId="481D40EE">
      <w:pPr>
        <w:pStyle w:val="14"/>
        <w:rPr>
          <w:rFonts w:hint="eastAsia" w:ascii="宋体" w:hAnsi="宋体" w:cs="宋体"/>
          <w:color w:val="auto"/>
          <w:highlight w:val="none"/>
        </w:rPr>
      </w:pPr>
    </w:p>
    <w:p w14:paraId="2550B7B7">
      <w:pPr>
        <w:rPr>
          <w:rFonts w:hint="eastAsia" w:ascii="宋体" w:hAnsi="宋体" w:cs="宋体"/>
          <w:color w:val="auto"/>
          <w:highlight w:val="none"/>
        </w:rPr>
      </w:pPr>
    </w:p>
    <w:p w14:paraId="24A4A560">
      <w:pPr>
        <w:pStyle w:val="13"/>
        <w:rPr>
          <w:rFonts w:hint="eastAsia" w:ascii="宋体" w:hAnsi="宋体" w:eastAsia="宋体"/>
          <w:color w:val="auto"/>
          <w:highlight w:val="none"/>
        </w:rPr>
      </w:pPr>
    </w:p>
    <w:p w14:paraId="5B6908B3">
      <w:pPr>
        <w:pStyle w:val="14"/>
        <w:rPr>
          <w:rFonts w:hint="eastAsia" w:ascii="宋体" w:hAnsi="宋体" w:cs="宋体"/>
          <w:color w:val="auto"/>
          <w:highlight w:val="none"/>
        </w:rPr>
      </w:pPr>
    </w:p>
    <w:p w14:paraId="677F970A">
      <w:pPr>
        <w:rPr>
          <w:rFonts w:hint="eastAsia" w:ascii="宋体" w:hAnsi="宋体" w:cs="宋体"/>
          <w:color w:val="auto"/>
          <w:highlight w:val="none"/>
        </w:rPr>
      </w:pPr>
    </w:p>
    <w:p w14:paraId="24D23692">
      <w:pPr>
        <w:pStyle w:val="13"/>
        <w:rPr>
          <w:rFonts w:hint="eastAsia" w:ascii="宋体" w:hAnsi="宋体" w:eastAsia="宋体"/>
          <w:color w:val="auto"/>
          <w:highlight w:val="none"/>
        </w:rPr>
      </w:pPr>
    </w:p>
    <w:p w14:paraId="2F845402">
      <w:pPr>
        <w:pStyle w:val="14"/>
        <w:rPr>
          <w:rFonts w:hint="eastAsia" w:ascii="宋体" w:hAnsi="宋体" w:cs="宋体"/>
          <w:color w:val="auto"/>
          <w:highlight w:val="none"/>
        </w:rPr>
      </w:pPr>
    </w:p>
    <w:p w14:paraId="0297A9D2">
      <w:pPr>
        <w:rPr>
          <w:rFonts w:hint="eastAsia" w:ascii="宋体" w:hAnsi="宋体" w:cs="宋体"/>
          <w:color w:val="auto"/>
          <w:highlight w:val="none"/>
        </w:rPr>
      </w:pPr>
    </w:p>
    <w:p w14:paraId="0F5A8FA5">
      <w:pPr>
        <w:pStyle w:val="13"/>
        <w:rPr>
          <w:rFonts w:hint="eastAsia" w:ascii="宋体" w:hAnsi="宋体" w:eastAsia="宋体"/>
          <w:color w:val="auto"/>
          <w:highlight w:val="none"/>
        </w:rPr>
      </w:pPr>
    </w:p>
    <w:p w14:paraId="204562D2">
      <w:pPr>
        <w:pStyle w:val="14"/>
        <w:rPr>
          <w:rFonts w:hint="eastAsia" w:ascii="宋体" w:hAnsi="宋体" w:cs="宋体"/>
          <w:color w:val="auto"/>
          <w:highlight w:val="none"/>
        </w:rPr>
      </w:pPr>
    </w:p>
    <w:p w14:paraId="20ECCD69">
      <w:pPr>
        <w:rPr>
          <w:rFonts w:hint="eastAsia" w:ascii="宋体" w:hAnsi="宋体" w:cs="宋体"/>
          <w:color w:val="auto"/>
          <w:highlight w:val="none"/>
        </w:rPr>
      </w:pPr>
    </w:p>
    <w:p w14:paraId="03A7FC93">
      <w:pPr>
        <w:spacing w:line="276" w:lineRule="auto"/>
        <w:jc w:val="left"/>
        <w:textAlignment w:val="baseline"/>
        <w:outlineLvl w:val="0"/>
        <w:rPr>
          <w:rFonts w:hint="eastAsia" w:ascii="宋体" w:hAnsi="宋体" w:cs="宋体"/>
          <w:b/>
          <w:color w:val="auto"/>
          <w:spacing w:val="6"/>
          <w:sz w:val="24"/>
          <w:szCs w:val="24"/>
          <w:highlight w:val="none"/>
        </w:rPr>
      </w:pPr>
      <w:bookmarkStart w:id="164" w:name="_Toc9787"/>
      <w:bookmarkStart w:id="165" w:name="_Toc13271"/>
    </w:p>
    <w:p w14:paraId="59A86B8E">
      <w:pPr>
        <w:spacing w:line="276" w:lineRule="auto"/>
        <w:jc w:val="left"/>
        <w:textAlignment w:val="baseline"/>
        <w:outlineLvl w:val="0"/>
        <w:rPr>
          <w:rFonts w:hint="eastAsia" w:ascii="宋体" w:hAnsi="宋体" w:cs="宋体"/>
          <w:b/>
          <w:color w:val="auto"/>
          <w:spacing w:val="6"/>
          <w:sz w:val="24"/>
          <w:szCs w:val="24"/>
          <w:highlight w:val="none"/>
        </w:rPr>
      </w:pPr>
    </w:p>
    <w:p w14:paraId="7453761A">
      <w:pPr>
        <w:spacing w:line="276" w:lineRule="auto"/>
        <w:jc w:val="left"/>
        <w:textAlignment w:val="baseline"/>
        <w:outlineLvl w:val="0"/>
        <w:rPr>
          <w:rFonts w:hint="eastAsia" w:ascii="宋体" w:hAnsi="宋体" w:cs="宋体"/>
          <w:b/>
          <w:color w:val="auto"/>
          <w:spacing w:val="6"/>
          <w:sz w:val="24"/>
          <w:szCs w:val="24"/>
          <w:highlight w:val="none"/>
        </w:rPr>
      </w:pPr>
    </w:p>
    <w:p w14:paraId="30179FED">
      <w:pPr>
        <w:spacing w:line="276" w:lineRule="auto"/>
        <w:jc w:val="left"/>
        <w:textAlignment w:val="baseline"/>
        <w:outlineLvl w:val="0"/>
        <w:rPr>
          <w:rFonts w:hint="eastAsia" w:ascii="宋体" w:hAnsi="宋体" w:cs="宋体"/>
          <w:b/>
          <w:color w:val="auto"/>
          <w:spacing w:val="6"/>
          <w:sz w:val="24"/>
          <w:szCs w:val="24"/>
          <w:highlight w:val="none"/>
        </w:rPr>
      </w:pPr>
    </w:p>
    <w:p w14:paraId="3D58AF23">
      <w:pPr>
        <w:spacing w:line="276" w:lineRule="auto"/>
        <w:jc w:val="left"/>
        <w:textAlignment w:val="baseline"/>
        <w:outlineLvl w:val="0"/>
        <w:rPr>
          <w:rFonts w:hint="eastAsia" w:ascii="宋体" w:hAnsi="宋体" w:cs="宋体"/>
          <w:b/>
          <w:color w:val="auto"/>
          <w:spacing w:val="6"/>
          <w:sz w:val="24"/>
          <w:szCs w:val="24"/>
          <w:highlight w:val="none"/>
        </w:rPr>
      </w:pPr>
    </w:p>
    <w:p w14:paraId="06E1FDAF">
      <w:pPr>
        <w:spacing w:line="276" w:lineRule="auto"/>
        <w:jc w:val="center"/>
        <w:textAlignment w:val="baseline"/>
        <w:outlineLvl w:val="0"/>
        <w:rPr>
          <w:rFonts w:hint="eastAsia" w:ascii="宋体" w:hAnsi="宋体" w:cs="宋体"/>
          <w:b/>
          <w:color w:val="auto"/>
          <w:spacing w:val="6"/>
          <w:sz w:val="24"/>
          <w:szCs w:val="24"/>
          <w:highlight w:val="none"/>
        </w:rPr>
      </w:pPr>
    </w:p>
    <w:p w14:paraId="626A259B">
      <w:pPr>
        <w:rPr>
          <w:rFonts w:hint="eastAsia" w:ascii="宋体" w:hAnsi="宋体" w:cs="宋体"/>
          <w:b/>
          <w:color w:val="auto"/>
          <w:spacing w:val="6"/>
          <w:sz w:val="24"/>
          <w:szCs w:val="24"/>
          <w:highlight w:val="none"/>
        </w:rPr>
      </w:pPr>
      <w:r>
        <w:rPr>
          <w:rFonts w:hint="eastAsia" w:ascii="宋体" w:hAnsi="宋体" w:cs="宋体"/>
          <w:b/>
          <w:color w:val="auto"/>
          <w:spacing w:val="6"/>
          <w:sz w:val="24"/>
          <w:szCs w:val="24"/>
          <w:highlight w:val="none"/>
        </w:rPr>
        <w:br w:type="page"/>
      </w:r>
    </w:p>
    <w:p w14:paraId="3790F4AF">
      <w:pPr>
        <w:jc w:val="center"/>
        <w:rPr>
          <w:rFonts w:hint="eastAsia" w:ascii="宋体" w:hAnsi="宋体" w:cs="宋体"/>
          <w:b/>
          <w:color w:val="auto"/>
          <w:spacing w:val="6"/>
          <w:sz w:val="24"/>
          <w:szCs w:val="24"/>
          <w:highlight w:val="none"/>
        </w:rPr>
      </w:pPr>
      <w:r>
        <w:rPr>
          <w:rFonts w:hint="eastAsia" w:ascii="宋体" w:hAnsi="宋体" w:cs="宋体"/>
          <w:b/>
          <w:color w:val="auto"/>
          <w:spacing w:val="6"/>
          <w:sz w:val="24"/>
          <w:szCs w:val="24"/>
          <w:highlight w:val="none"/>
        </w:rPr>
        <w:t>5.4项目管理及技术人员一览表</w:t>
      </w:r>
      <w:bookmarkEnd w:id="164"/>
      <w:bookmarkEnd w:id="165"/>
    </w:p>
    <w:tbl>
      <w:tblPr>
        <w:tblStyle w:val="22"/>
        <w:tblpPr w:leftFromText="180" w:rightFromText="180" w:vertAnchor="text" w:horzAnchor="margin" w:tblpXSpec="center" w:tblpY="74"/>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134"/>
        <w:gridCol w:w="1433"/>
        <w:gridCol w:w="1880"/>
        <w:gridCol w:w="1880"/>
      </w:tblGrid>
      <w:tr w14:paraId="1DA95B32">
        <w:trPr>
          <w:trHeight w:val="1301" w:hRule="atLeast"/>
        </w:trPr>
        <w:tc>
          <w:tcPr>
            <w:tcW w:w="1526" w:type="dxa"/>
            <w:vAlign w:val="center"/>
          </w:tcPr>
          <w:p w14:paraId="4F07B89D">
            <w:pPr>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559" w:type="dxa"/>
            <w:vAlign w:val="center"/>
          </w:tcPr>
          <w:p w14:paraId="76422D1C">
            <w:pPr>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本项目</w:t>
            </w:r>
          </w:p>
          <w:p w14:paraId="63C96F59">
            <w:pPr>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拟任职务</w:t>
            </w:r>
          </w:p>
        </w:tc>
        <w:tc>
          <w:tcPr>
            <w:tcW w:w="1134" w:type="dxa"/>
            <w:vAlign w:val="center"/>
          </w:tcPr>
          <w:p w14:paraId="41C1A3FD">
            <w:pPr>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w:t>
            </w:r>
          </w:p>
          <w:p w14:paraId="3CBD0803">
            <w:pPr>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1433" w:type="dxa"/>
            <w:vAlign w:val="center"/>
          </w:tcPr>
          <w:p w14:paraId="3AE93288">
            <w:pPr>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学历</w:t>
            </w:r>
          </w:p>
        </w:tc>
        <w:tc>
          <w:tcPr>
            <w:tcW w:w="1880" w:type="dxa"/>
            <w:vAlign w:val="center"/>
          </w:tcPr>
          <w:p w14:paraId="1F446446">
            <w:pPr>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主要资历及</w:t>
            </w:r>
          </w:p>
          <w:p w14:paraId="1DC7953E">
            <w:pPr>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担任过的职务</w:t>
            </w:r>
          </w:p>
        </w:tc>
        <w:tc>
          <w:tcPr>
            <w:tcW w:w="1880" w:type="dxa"/>
            <w:vAlign w:val="center"/>
          </w:tcPr>
          <w:p w14:paraId="0CB52DC3">
            <w:pPr>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449DD957">
        <w:trPr>
          <w:trHeight w:val="729" w:hRule="atLeast"/>
        </w:trPr>
        <w:tc>
          <w:tcPr>
            <w:tcW w:w="1526" w:type="dxa"/>
            <w:vAlign w:val="center"/>
          </w:tcPr>
          <w:p w14:paraId="051C6057">
            <w:pPr>
              <w:spacing w:line="560" w:lineRule="exact"/>
              <w:jc w:val="center"/>
              <w:rPr>
                <w:rFonts w:hint="eastAsia" w:ascii="宋体" w:hAnsi="宋体" w:cs="宋体"/>
                <w:color w:val="auto"/>
                <w:sz w:val="28"/>
                <w:szCs w:val="20"/>
                <w:highlight w:val="none"/>
              </w:rPr>
            </w:pPr>
          </w:p>
        </w:tc>
        <w:tc>
          <w:tcPr>
            <w:tcW w:w="1559" w:type="dxa"/>
            <w:vAlign w:val="center"/>
          </w:tcPr>
          <w:p w14:paraId="2CA88E8C">
            <w:pPr>
              <w:spacing w:line="560" w:lineRule="exact"/>
              <w:jc w:val="center"/>
              <w:rPr>
                <w:rFonts w:hint="eastAsia" w:ascii="宋体" w:hAnsi="宋体" w:cs="宋体"/>
                <w:color w:val="auto"/>
                <w:sz w:val="28"/>
                <w:szCs w:val="20"/>
                <w:highlight w:val="none"/>
              </w:rPr>
            </w:pPr>
          </w:p>
        </w:tc>
        <w:tc>
          <w:tcPr>
            <w:tcW w:w="1134" w:type="dxa"/>
            <w:vAlign w:val="center"/>
          </w:tcPr>
          <w:p w14:paraId="59715964">
            <w:pPr>
              <w:spacing w:line="560" w:lineRule="exact"/>
              <w:jc w:val="center"/>
              <w:rPr>
                <w:rFonts w:hint="eastAsia" w:ascii="宋体" w:hAnsi="宋体" w:cs="宋体"/>
                <w:color w:val="auto"/>
                <w:sz w:val="28"/>
                <w:szCs w:val="20"/>
                <w:highlight w:val="none"/>
              </w:rPr>
            </w:pPr>
          </w:p>
        </w:tc>
        <w:tc>
          <w:tcPr>
            <w:tcW w:w="1433" w:type="dxa"/>
            <w:vAlign w:val="center"/>
          </w:tcPr>
          <w:p w14:paraId="6C7F2492">
            <w:pPr>
              <w:spacing w:line="560" w:lineRule="exact"/>
              <w:jc w:val="center"/>
              <w:rPr>
                <w:rFonts w:hint="eastAsia" w:ascii="宋体" w:hAnsi="宋体" w:cs="宋体"/>
                <w:color w:val="auto"/>
                <w:sz w:val="28"/>
                <w:szCs w:val="20"/>
                <w:highlight w:val="none"/>
              </w:rPr>
            </w:pPr>
          </w:p>
        </w:tc>
        <w:tc>
          <w:tcPr>
            <w:tcW w:w="1880" w:type="dxa"/>
            <w:vAlign w:val="center"/>
          </w:tcPr>
          <w:p w14:paraId="64AAEDAC">
            <w:pPr>
              <w:spacing w:line="560" w:lineRule="exact"/>
              <w:jc w:val="center"/>
              <w:rPr>
                <w:rFonts w:hint="eastAsia" w:ascii="宋体" w:hAnsi="宋体" w:cs="宋体"/>
                <w:color w:val="auto"/>
                <w:sz w:val="28"/>
                <w:szCs w:val="20"/>
                <w:highlight w:val="none"/>
              </w:rPr>
            </w:pPr>
          </w:p>
        </w:tc>
        <w:tc>
          <w:tcPr>
            <w:tcW w:w="1880" w:type="dxa"/>
            <w:vAlign w:val="center"/>
          </w:tcPr>
          <w:p w14:paraId="0C6CCA69">
            <w:pPr>
              <w:spacing w:line="560" w:lineRule="exact"/>
              <w:jc w:val="center"/>
              <w:rPr>
                <w:rFonts w:hint="eastAsia" w:ascii="宋体" w:hAnsi="宋体" w:cs="宋体"/>
                <w:color w:val="auto"/>
                <w:sz w:val="28"/>
                <w:szCs w:val="20"/>
                <w:highlight w:val="none"/>
              </w:rPr>
            </w:pPr>
          </w:p>
        </w:tc>
      </w:tr>
      <w:tr w14:paraId="28610388">
        <w:trPr>
          <w:trHeight w:val="729" w:hRule="atLeast"/>
        </w:trPr>
        <w:tc>
          <w:tcPr>
            <w:tcW w:w="1526" w:type="dxa"/>
            <w:vAlign w:val="center"/>
          </w:tcPr>
          <w:p w14:paraId="76A7A51C">
            <w:pPr>
              <w:spacing w:line="560" w:lineRule="exact"/>
              <w:jc w:val="center"/>
              <w:rPr>
                <w:rFonts w:hint="eastAsia" w:ascii="宋体" w:hAnsi="宋体" w:cs="宋体"/>
                <w:color w:val="auto"/>
                <w:sz w:val="28"/>
                <w:szCs w:val="20"/>
                <w:highlight w:val="none"/>
              </w:rPr>
            </w:pPr>
          </w:p>
        </w:tc>
        <w:tc>
          <w:tcPr>
            <w:tcW w:w="1559" w:type="dxa"/>
            <w:vAlign w:val="center"/>
          </w:tcPr>
          <w:p w14:paraId="18762074">
            <w:pPr>
              <w:spacing w:line="560" w:lineRule="exact"/>
              <w:jc w:val="center"/>
              <w:rPr>
                <w:rFonts w:hint="eastAsia" w:ascii="宋体" w:hAnsi="宋体" w:cs="宋体"/>
                <w:color w:val="auto"/>
                <w:sz w:val="28"/>
                <w:szCs w:val="20"/>
                <w:highlight w:val="none"/>
              </w:rPr>
            </w:pPr>
          </w:p>
        </w:tc>
        <w:tc>
          <w:tcPr>
            <w:tcW w:w="1134" w:type="dxa"/>
            <w:vAlign w:val="center"/>
          </w:tcPr>
          <w:p w14:paraId="06C7D098">
            <w:pPr>
              <w:spacing w:line="560" w:lineRule="exact"/>
              <w:jc w:val="center"/>
              <w:rPr>
                <w:rFonts w:hint="eastAsia" w:ascii="宋体" w:hAnsi="宋体" w:cs="宋体"/>
                <w:color w:val="auto"/>
                <w:sz w:val="28"/>
                <w:szCs w:val="20"/>
                <w:highlight w:val="none"/>
              </w:rPr>
            </w:pPr>
          </w:p>
        </w:tc>
        <w:tc>
          <w:tcPr>
            <w:tcW w:w="1433" w:type="dxa"/>
            <w:vAlign w:val="center"/>
          </w:tcPr>
          <w:p w14:paraId="3A9A1183">
            <w:pPr>
              <w:spacing w:line="560" w:lineRule="exact"/>
              <w:jc w:val="center"/>
              <w:rPr>
                <w:rFonts w:hint="eastAsia" w:ascii="宋体" w:hAnsi="宋体" w:cs="宋体"/>
                <w:color w:val="auto"/>
                <w:sz w:val="28"/>
                <w:szCs w:val="20"/>
                <w:highlight w:val="none"/>
              </w:rPr>
            </w:pPr>
          </w:p>
        </w:tc>
        <w:tc>
          <w:tcPr>
            <w:tcW w:w="1880" w:type="dxa"/>
            <w:vAlign w:val="center"/>
          </w:tcPr>
          <w:p w14:paraId="439EB491">
            <w:pPr>
              <w:spacing w:line="560" w:lineRule="exact"/>
              <w:jc w:val="center"/>
              <w:rPr>
                <w:rFonts w:hint="eastAsia" w:ascii="宋体" w:hAnsi="宋体" w:cs="宋体"/>
                <w:color w:val="auto"/>
                <w:sz w:val="28"/>
                <w:szCs w:val="20"/>
                <w:highlight w:val="none"/>
              </w:rPr>
            </w:pPr>
          </w:p>
        </w:tc>
        <w:tc>
          <w:tcPr>
            <w:tcW w:w="1880" w:type="dxa"/>
            <w:vAlign w:val="center"/>
          </w:tcPr>
          <w:p w14:paraId="3A8200AF">
            <w:pPr>
              <w:spacing w:line="560" w:lineRule="exact"/>
              <w:jc w:val="center"/>
              <w:rPr>
                <w:rFonts w:hint="eastAsia" w:ascii="宋体" w:hAnsi="宋体" w:cs="宋体"/>
                <w:color w:val="auto"/>
                <w:sz w:val="28"/>
                <w:szCs w:val="20"/>
                <w:highlight w:val="none"/>
              </w:rPr>
            </w:pPr>
          </w:p>
        </w:tc>
      </w:tr>
      <w:tr w14:paraId="24E94768">
        <w:trPr>
          <w:trHeight w:val="729" w:hRule="atLeast"/>
        </w:trPr>
        <w:tc>
          <w:tcPr>
            <w:tcW w:w="1526" w:type="dxa"/>
            <w:vAlign w:val="center"/>
          </w:tcPr>
          <w:p w14:paraId="2CD13699">
            <w:pPr>
              <w:spacing w:line="560" w:lineRule="exact"/>
              <w:jc w:val="center"/>
              <w:rPr>
                <w:rFonts w:hint="eastAsia" w:ascii="宋体" w:hAnsi="宋体" w:cs="宋体"/>
                <w:color w:val="auto"/>
                <w:sz w:val="28"/>
                <w:szCs w:val="20"/>
                <w:highlight w:val="none"/>
              </w:rPr>
            </w:pPr>
          </w:p>
        </w:tc>
        <w:tc>
          <w:tcPr>
            <w:tcW w:w="1559" w:type="dxa"/>
            <w:vAlign w:val="center"/>
          </w:tcPr>
          <w:p w14:paraId="71285C47">
            <w:pPr>
              <w:spacing w:line="560" w:lineRule="exact"/>
              <w:jc w:val="center"/>
              <w:rPr>
                <w:rFonts w:hint="eastAsia" w:ascii="宋体" w:hAnsi="宋体" w:cs="宋体"/>
                <w:color w:val="auto"/>
                <w:sz w:val="28"/>
                <w:szCs w:val="20"/>
                <w:highlight w:val="none"/>
              </w:rPr>
            </w:pPr>
          </w:p>
        </w:tc>
        <w:tc>
          <w:tcPr>
            <w:tcW w:w="1134" w:type="dxa"/>
            <w:vAlign w:val="center"/>
          </w:tcPr>
          <w:p w14:paraId="346901AF">
            <w:pPr>
              <w:spacing w:line="560" w:lineRule="exact"/>
              <w:jc w:val="center"/>
              <w:rPr>
                <w:rFonts w:hint="eastAsia" w:ascii="宋体" w:hAnsi="宋体" w:cs="宋体"/>
                <w:color w:val="auto"/>
                <w:sz w:val="28"/>
                <w:szCs w:val="20"/>
                <w:highlight w:val="none"/>
              </w:rPr>
            </w:pPr>
          </w:p>
        </w:tc>
        <w:tc>
          <w:tcPr>
            <w:tcW w:w="1433" w:type="dxa"/>
            <w:vAlign w:val="center"/>
          </w:tcPr>
          <w:p w14:paraId="3B727403">
            <w:pPr>
              <w:spacing w:line="560" w:lineRule="exact"/>
              <w:jc w:val="center"/>
              <w:rPr>
                <w:rFonts w:hint="eastAsia" w:ascii="宋体" w:hAnsi="宋体" w:cs="宋体"/>
                <w:color w:val="auto"/>
                <w:sz w:val="28"/>
                <w:szCs w:val="20"/>
                <w:highlight w:val="none"/>
              </w:rPr>
            </w:pPr>
          </w:p>
        </w:tc>
        <w:tc>
          <w:tcPr>
            <w:tcW w:w="1880" w:type="dxa"/>
            <w:vAlign w:val="center"/>
          </w:tcPr>
          <w:p w14:paraId="30D95DF9">
            <w:pPr>
              <w:spacing w:line="560" w:lineRule="exact"/>
              <w:jc w:val="center"/>
              <w:rPr>
                <w:rFonts w:hint="eastAsia" w:ascii="宋体" w:hAnsi="宋体" w:cs="宋体"/>
                <w:color w:val="auto"/>
                <w:sz w:val="28"/>
                <w:szCs w:val="20"/>
                <w:highlight w:val="none"/>
              </w:rPr>
            </w:pPr>
          </w:p>
        </w:tc>
        <w:tc>
          <w:tcPr>
            <w:tcW w:w="1880" w:type="dxa"/>
            <w:vAlign w:val="center"/>
          </w:tcPr>
          <w:p w14:paraId="1DF6ECDB">
            <w:pPr>
              <w:spacing w:line="560" w:lineRule="exact"/>
              <w:jc w:val="center"/>
              <w:rPr>
                <w:rFonts w:hint="eastAsia" w:ascii="宋体" w:hAnsi="宋体" w:cs="宋体"/>
                <w:color w:val="auto"/>
                <w:sz w:val="28"/>
                <w:szCs w:val="20"/>
                <w:highlight w:val="none"/>
              </w:rPr>
            </w:pPr>
          </w:p>
        </w:tc>
      </w:tr>
      <w:tr w14:paraId="3DD8B49C">
        <w:trPr>
          <w:trHeight w:val="729" w:hRule="atLeast"/>
        </w:trPr>
        <w:tc>
          <w:tcPr>
            <w:tcW w:w="1526" w:type="dxa"/>
            <w:vAlign w:val="center"/>
          </w:tcPr>
          <w:p w14:paraId="24651CF3">
            <w:pPr>
              <w:spacing w:line="560" w:lineRule="exact"/>
              <w:jc w:val="center"/>
              <w:rPr>
                <w:rFonts w:hint="eastAsia" w:ascii="宋体" w:hAnsi="宋体" w:cs="宋体"/>
                <w:color w:val="auto"/>
                <w:sz w:val="28"/>
                <w:szCs w:val="20"/>
                <w:highlight w:val="none"/>
              </w:rPr>
            </w:pPr>
          </w:p>
        </w:tc>
        <w:tc>
          <w:tcPr>
            <w:tcW w:w="1559" w:type="dxa"/>
            <w:vAlign w:val="center"/>
          </w:tcPr>
          <w:p w14:paraId="56146AA5">
            <w:pPr>
              <w:spacing w:line="560" w:lineRule="exact"/>
              <w:jc w:val="center"/>
              <w:rPr>
                <w:rFonts w:hint="eastAsia" w:ascii="宋体" w:hAnsi="宋体" w:cs="宋体"/>
                <w:color w:val="auto"/>
                <w:sz w:val="28"/>
                <w:szCs w:val="20"/>
                <w:highlight w:val="none"/>
              </w:rPr>
            </w:pPr>
          </w:p>
        </w:tc>
        <w:tc>
          <w:tcPr>
            <w:tcW w:w="1134" w:type="dxa"/>
            <w:vAlign w:val="center"/>
          </w:tcPr>
          <w:p w14:paraId="684C2A02">
            <w:pPr>
              <w:spacing w:line="560" w:lineRule="exact"/>
              <w:jc w:val="center"/>
              <w:rPr>
                <w:rFonts w:hint="eastAsia" w:ascii="宋体" w:hAnsi="宋体" w:cs="宋体"/>
                <w:color w:val="auto"/>
                <w:sz w:val="28"/>
                <w:szCs w:val="20"/>
                <w:highlight w:val="none"/>
              </w:rPr>
            </w:pPr>
          </w:p>
        </w:tc>
        <w:tc>
          <w:tcPr>
            <w:tcW w:w="1433" w:type="dxa"/>
            <w:vAlign w:val="center"/>
          </w:tcPr>
          <w:p w14:paraId="4CF48869">
            <w:pPr>
              <w:spacing w:line="560" w:lineRule="exact"/>
              <w:jc w:val="center"/>
              <w:rPr>
                <w:rFonts w:hint="eastAsia" w:ascii="宋体" w:hAnsi="宋体" w:cs="宋体"/>
                <w:color w:val="auto"/>
                <w:sz w:val="28"/>
                <w:szCs w:val="20"/>
                <w:highlight w:val="none"/>
              </w:rPr>
            </w:pPr>
          </w:p>
        </w:tc>
        <w:tc>
          <w:tcPr>
            <w:tcW w:w="1880" w:type="dxa"/>
            <w:vAlign w:val="center"/>
          </w:tcPr>
          <w:p w14:paraId="5C21FD62">
            <w:pPr>
              <w:spacing w:line="560" w:lineRule="exact"/>
              <w:jc w:val="center"/>
              <w:rPr>
                <w:rFonts w:hint="eastAsia" w:ascii="宋体" w:hAnsi="宋体" w:cs="宋体"/>
                <w:color w:val="auto"/>
                <w:sz w:val="28"/>
                <w:szCs w:val="20"/>
                <w:highlight w:val="none"/>
              </w:rPr>
            </w:pPr>
          </w:p>
        </w:tc>
        <w:tc>
          <w:tcPr>
            <w:tcW w:w="1880" w:type="dxa"/>
            <w:vAlign w:val="center"/>
          </w:tcPr>
          <w:p w14:paraId="1F027F41">
            <w:pPr>
              <w:spacing w:line="560" w:lineRule="exact"/>
              <w:jc w:val="center"/>
              <w:rPr>
                <w:rFonts w:hint="eastAsia" w:ascii="宋体" w:hAnsi="宋体" w:cs="宋体"/>
                <w:color w:val="auto"/>
                <w:sz w:val="28"/>
                <w:szCs w:val="20"/>
                <w:highlight w:val="none"/>
              </w:rPr>
            </w:pPr>
          </w:p>
        </w:tc>
      </w:tr>
      <w:tr w14:paraId="2BC0FED0">
        <w:trPr>
          <w:trHeight w:val="729" w:hRule="atLeast"/>
        </w:trPr>
        <w:tc>
          <w:tcPr>
            <w:tcW w:w="1526" w:type="dxa"/>
            <w:vAlign w:val="center"/>
          </w:tcPr>
          <w:p w14:paraId="3D958FE6">
            <w:pPr>
              <w:spacing w:line="560" w:lineRule="exact"/>
              <w:jc w:val="center"/>
              <w:rPr>
                <w:rFonts w:hint="eastAsia" w:ascii="宋体" w:hAnsi="宋体" w:cs="宋体"/>
                <w:color w:val="auto"/>
                <w:sz w:val="28"/>
                <w:szCs w:val="20"/>
                <w:highlight w:val="none"/>
              </w:rPr>
            </w:pPr>
          </w:p>
        </w:tc>
        <w:tc>
          <w:tcPr>
            <w:tcW w:w="1559" w:type="dxa"/>
            <w:vAlign w:val="center"/>
          </w:tcPr>
          <w:p w14:paraId="2DBE527B">
            <w:pPr>
              <w:spacing w:line="560" w:lineRule="exact"/>
              <w:jc w:val="center"/>
              <w:rPr>
                <w:rFonts w:hint="eastAsia" w:ascii="宋体" w:hAnsi="宋体" w:cs="宋体"/>
                <w:color w:val="auto"/>
                <w:sz w:val="28"/>
                <w:szCs w:val="20"/>
                <w:highlight w:val="none"/>
              </w:rPr>
            </w:pPr>
          </w:p>
        </w:tc>
        <w:tc>
          <w:tcPr>
            <w:tcW w:w="1134" w:type="dxa"/>
            <w:vAlign w:val="center"/>
          </w:tcPr>
          <w:p w14:paraId="796F100C">
            <w:pPr>
              <w:spacing w:line="560" w:lineRule="exact"/>
              <w:jc w:val="center"/>
              <w:rPr>
                <w:rFonts w:hint="eastAsia" w:ascii="宋体" w:hAnsi="宋体" w:cs="宋体"/>
                <w:color w:val="auto"/>
                <w:sz w:val="28"/>
                <w:szCs w:val="20"/>
                <w:highlight w:val="none"/>
              </w:rPr>
            </w:pPr>
          </w:p>
        </w:tc>
        <w:tc>
          <w:tcPr>
            <w:tcW w:w="1433" w:type="dxa"/>
            <w:vAlign w:val="center"/>
          </w:tcPr>
          <w:p w14:paraId="34C7949F">
            <w:pPr>
              <w:spacing w:line="560" w:lineRule="exact"/>
              <w:jc w:val="center"/>
              <w:rPr>
                <w:rFonts w:hint="eastAsia" w:ascii="宋体" w:hAnsi="宋体" w:cs="宋体"/>
                <w:color w:val="auto"/>
                <w:sz w:val="28"/>
                <w:szCs w:val="20"/>
                <w:highlight w:val="none"/>
              </w:rPr>
            </w:pPr>
          </w:p>
        </w:tc>
        <w:tc>
          <w:tcPr>
            <w:tcW w:w="1880" w:type="dxa"/>
            <w:vAlign w:val="center"/>
          </w:tcPr>
          <w:p w14:paraId="679D5FC4">
            <w:pPr>
              <w:spacing w:line="560" w:lineRule="exact"/>
              <w:jc w:val="center"/>
              <w:rPr>
                <w:rFonts w:hint="eastAsia" w:ascii="宋体" w:hAnsi="宋体" w:cs="宋体"/>
                <w:color w:val="auto"/>
                <w:sz w:val="28"/>
                <w:szCs w:val="20"/>
                <w:highlight w:val="none"/>
              </w:rPr>
            </w:pPr>
          </w:p>
        </w:tc>
        <w:tc>
          <w:tcPr>
            <w:tcW w:w="1880" w:type="dxa"/>
            <w:vAlign w:val="center"/>
          </w:tcPr>
          <w:p w14:paraId="1B6FD166">
            <w:pPr>
              <w:spacing w:line="560" w:lineRule="exact"/>
              <w:jc w:val="center"/>
              <w:rPr>
                <w:rFonts w:hint="eastAsia" w:ascii="宋体" w:hAnsi="宋体" w:cs="宋体"/>
                <w:color w:val="auto"/>
                <w:sz w:val="28"/>
                <w:szCs w:val="20"/>
                <w:highlight w:val="none"/>
              </w:rPr>
            </w:pPr>
          </w:p>
        </w:tc>
      </w:tr>
      <w:tr w14:paraId="387E8D9D">
        <w:trPr>
          <w:trHeight w:val="729" w:hRule="atLeast"/>
        </w:trPr>
        <w:tc>
          <w:tcPr>
            <w:tcW w:w="1526" w:type="dxa"/>
            <w:vAlign w:val="center"/>
          </w:tcPr>
          <w:p w14:paraId="25FC335A">
            <w:pPr>
              <w:spacing w:line="560" w:lineRule="exact"/>
              <w:jc w:val="center"/>
              <w:rPr>
                <w:rFonts w:hint="eastAsia" w:ascii="宋体" w:hAnsi="宋体" w:cs="宋体"/>
                <w:color w:val="auto"/>
                <w:sz w:val="28"/>
                <w:szCs w:val="20"/>
                <w:highlight w:val="none"/>
              </w:rPr>
            </w:pPr>
          </w:p>
        </w:tc>
        <w:tc>
          <w:tcPr>
            <w:tcW w:w="1559" w:type="dxa"/>
            <w:vAlign w:val="center"/>
          </w:tcPr>
          <w:p w14:paraId="574AC99A">
            <w:pPr>
              <w:spacing w:line="560" w:lineRule="exact"/>
              <w:jc w:val="center"/>
              <w:rPr>
                <w:rFonts w:hint="eastAsia" w:ascii="宋体" w:hAnsi="宋体" w:cs="宋体"/>
                <w:color w:val="auto"/>
                <w:sz w:val="28"/>
                <w:szCs w:val="20"/>
                <w:highlight w:val="none"/>
              </w:rPr>
            </w:pPr>
          </w:p>
        </w:tc>
        <w:tc>
          <w:tcPr>
            <w:tcW w:w="1134" w:type="dxa"/>
            <w:vAlign w:val="center"/>
          </w:tcPr>
          <w:p w14:paraId="6B2504D7">
            <w:pPr>
              <w:spacing w:line="560" w:lineRule="exact"/>
              <w:jc w:val="center"/>
              <w:rPr>
                <w:rFonts w:hint="eastAsia" w:ascii="宋体" w:hAnsi="宋体" w:cs="宋体"/>
                <w:color w:val="auto"/>
                <w:sz w:val="28"/>
                <w:szCs w:val="20"/>
                <w:highlight w:val="none"/>
              </w:rPr>
            </w:pPr>
          </w:p>
        </w:tc>
        <w:tc>
          <w:tcPr>
            <w:tcW w:w="1433" w:type="dxa"/>
            <w:vAlign w:val="center"/>
          </w:tcPr>
          <w:p w14:paraId="06379B87">
            <w:pPr>
              <w:spacing w:line="560" w:lineRule="exact"/>
              <w:jc w:val="center"/>
              <w:rPr>
                <w:rFonts w:hint="eastAsia" w:ascii="宋体" w:hAnsi="宋体" w:cs="宋体"/>
                <w:color w:val="auto"/>
                <w:sz w:val="28"/>
                <w:szCs w:val="20"/>
                <w:highlight w:val="none"/>
              </w:rPr>
            </w:pPr>
          </w:p>
        </w:tc>
        <w:tc>
          <w:tcPr>
            <w:tcW w:w="1880" w:type="dxa"/>
            <w:vAlign w:val="center"/>
          </w:tcPr>
          <w:p w14:paraId="1E56416B">
            <w:pPr>
              <w:spacing w:line="560" w:lineRule="exact"/>
              <w:jc w:val="center"/>
              <w:rPr>
                <w:rFonts w:hint="eastAsia" w:ascii="宋体" w:hAnsi="宋体" w:cs="宋体"/>
                <w:color w:val="auto"/>
                <w:sz w:val="28"/>
                <w:szCs w:val="20"/>
                <w:highlight w:val="none"/>
              </w:rPr>
            </w:pPr>
          </w:p>
        </w:tc>
        <w:tc>
          <w:tcPr>
            <w:tcW w:w="1880" w:type="dxa"/>
            <w:vAlign w:val="center"/>
          </w:tcPr>
          <w:p w14:paraId="6E186243">
            <w:pPr>
              <w:spacing w:line="560" w:lineRule="exact"/>
              <w:jc w:val="center"/>
              <w:rPr>
                <w:rFonts w:hint="eastAsia" w:ascii="宋体" w:hAnsi="宋体" w:cs="宋体"/>
                <w:color w:val="auto"/>
                <w:sz w:val="28"/>
                <w:szCs w:val="20"/>
                <w:highlight w:val="none"/>
              </w:rPr>
            </w:pPr>
          </w:p>
        </w:tc>
      </w:tr>
      <w:tr w14:paraId="5DABDB9A">
        <w:trPr>
          <w:trHeight w:val="729" w:hRule="atLeast"/>
        </w:trPr>
        <w:tc>
          <w:tcPr>
            <w:tcW w:w="1526" w:type="dxa"/>
            <w:vAlign w:val="center"/>
          </w:tcPr>
          <w:p w14:paraId="6A0BA1D0">
            <w:pPr>
              <w:spacing w:line="560" w:lineRule="exact"/>
              <w:jc w:val="center"/>
              <w:rPr>
                <w:rFonts w:hint="eastAsia" w:ascii="宋体" w:hAnsi="宋体" w:cs="宋体"/>
                <w:color w:val="auto"/>
                <w:sz w:val="28"/>
                <w:szCs w:val="20"/>
                <w:highlight w:val="none"/>
              </w:rPr>
            </w:pPr>
          </w:p>
        </w:tc>
        <w:tc>
          <w:tcPr>
            <w:tcW w:w="1559" w:type="dxa"/>
            <w:vAlign w:val="center"/>
          </w:tcPr>
          <w:p w14:paraId="5B4BAA56">
            <w:pPr>
              <w:spacing w:line="560" w:lineRule="exact"/>
              <w:jc w:val="center"/>
              <w:rPr>
                <w:rFonts w:hint="eastAsia" w:ascii="宋体" w:hAnsi="宋体" w:cs="宋体"/>
                <w:color w:val="auto"/>
                <w:sz w:val="28"/>
                <w:szCs w:val="20"/>
                <w:highlight w:val="none"/>
              </w:rPr>
            </w:pPr>
          </w:p>
        </w:tc>
        <w:tc>
          <w:tcPr>
            <w:tcW w:w="1134" w:type="dxa"/>
            <w:vAlign w:val="center"/>
          </w:tcPr>
          <w:p w14:paraId="00D2962A">
            <w:pPr>
              <w:spacing w:line="560" w:lineRule="exact"/>
              <w:jc w:val="center"/>
              <w:rPr>
                <w:rFonts w:hint="eastAsia" w:ascii="宋体" w:hAnsi="宋体" w:cs="宋体"/>
                <w:color w:val="auto"/>
                <w:sz w:val="28"/>
                <w:szCs w:val="20"/>
                <w:highlight w:val="none"/>
              </w:rPr>
            </w:pPr>
          </w:p>
        </w:tc>
        <w:tc>
          <w:tcPr>
            <w:tcW w:w="1433" w:type="dxa"/>
            <w:vAlign w:val="center"/>
          </w:tcPr>
          <w:p w14:paraId="29D77278">
            <w:pPr>
              <w:spacing w:line="560" w:lineRule="exact"/>
              <w:jc w:val="center"/>
              <w:rPr>
                <w:rFonts w:hint="eastAsia" w:ascii="宋体" w:hAnsi="宋体" w:cs="宋体"/>
                <w:color w:val="auto"/>
                <w:sz w:val="28"/>
                <w:szCs w:val="20"/>
                <w:highlight w:val="none"/>
              </w:rPr>
            </w:pPr>
          </w:p>
        </w:tc>
        <w:tc>
          <w:tcPr>
            <w:tcW w:w="1880" w:type="dxa"/>
            <w:vAlign w:val="center"/>
          </w:tcPr>
          <w:p w14:paraId="494F3BB0">
            <w:pPr>
              <w:spacing w:line="560" w:lineRule="exact"/>
              <w:jc w:val="center"/>
              <w:rPr>
                <w:rFonts w:hint="eastAsia" w:ascii="宋体" w:hAnsi="宋体" w:cs="宋体"/>
                <w:color w:val="auto"/>
                <w:sz w:val="28"/>
                <w:szCs w:val="20"/>
                <w:highlight w:val="none"/>
              </w:rPr>
            </w:pPr>
          </w:p>
        </w:tc>
        <w:tc>
          <w:tcPr>
            <w:tcW w:w="1880" w:type="dxa"/>
            <w:vAlign w:val="center"/>
          </w:tcPr>
          <w:p w14:paraId="7FB1A8F6">
            <w:pPr>
              <w:spacing w:line="560" w:lineRule="exact"/>
              <w:jc w:val="center"/>
              <w:rPr>
                <w:rFonts w:hint="eastAsia" w:ascii="宋体" w:hAnsi="宋体" w:cs="宋体"/>
                <w:color w:val="auto"/>
                <w:sz w:val="28"/>
                <w:szCs w:val="20"/>
                <w:highlight w:val="none"/>
              </w:rPr>
            </w:pPr>
          </w:p>
        </w:tc>
      </w:tr>
    </w:tbl>
    <w:p w14:paraId="25149510">
      <w:pPr>
        <w:spacing w:line="560" w:lineRule="exact"/>
        <w:ind w:right="105" w:rightChars="50"/>
        <w:rPr>
          <w:rFonts w:hint="eastAsia" w:ascii="宋体" w:hAnsi="宋体" w:cs="宋体"/>
          <w:color w:val="auto"/>
          <w:sz w:val="32"/>
          <w:szCs w:val="20"/>
          <w:highlight w:val="none"/>
        </w:rPr>
      </w:pPr>
      <w:r>
        <w:rPr>
          <w:rFonts w:hint="eastAsia" w:ascii="宋体" w:hAnsi="宋体" w:cs="宋体"/>
          <w:color w:val="auto"/>
          <w:sz w:val="24"/>
          <w:szCs w:val="24"/>
          <w:highlight w:val="none"/>
        </w:rPr>
        <w:t>注：附人员注册证书或学历等有效证明材料。</w:t>
      </w:r>
    </w:p>
    <w:p w14:paraId="21A752CB">
      <w:pPr>
        <w:spacing w:line="360" w:lineRule="auto"/>
        <w:rPr>
          <w:rFonts w:hint="eastAsia" w:ascii="宋体" w:hAnsi="宋体" w:cs="宋体"/>
          <w:b/>
          <w:bCs/>
          <w:color w:val="auto"/>
          <w:sz w:val="24"/>
          <w:szCs w:val="24"/>
          <w:highlight w:val="none"/>
        </w:rPr>
      </w:pPr>
    </w:p>
    <w:p w14:paraId="2B1FF044">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(盖章)：</w:t>
      </w:r>
    </w:p>
    <w:p w14:paraId="0351353A">
      <w:pPr>
        <w:spacing w:line="360" w:lineRule="auto"/>
        <w:ind w:firstLine="4200" w:firstLineChars="17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法定代表人或其委托代理人(签字或盖章)：</w:t>
      </w:r>
    </w:p>
    <w:p w14:paraId="5D73A159">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日期：年月日</w:t>
      </w:r>
    </w:p>
    <w:p w14:paraId="3801C4C7">
      <w:pPr>
        <w:spacing w:line="360" w:lineRule="auto"/>
        <w:rPr>
          <w:rFonts w:hint="eastAsia" w:ascii="宋体" w:hAnsi="宋体" w:cs="宋体"/>
          <w:b/>
          <w:bCs/>
          <w:color w:val="auto"/>
          <w:sz w:val="24"/>
          <w:szCs w:val="24"/>
          <w:highlight w:val="none"/>
        </w:rPr>
      </w:pPr>
    </w:p>
    <w:p w14:paraId="36E6D0EC">
      <w:pPr>
        <w:spacing w:line="360" w:lineRule="auto"/>
        <w:rPr>
          <w:rFonts w:hint="eastAsia" w:ascii="宋体" w:hAnsi="宋体" w:cs="宋体"/>
          <w:b/>
          <w:bCs/>
          <w:color w:val="auto"/>
          <w:sz w:val="24"/>
          <w:szCs w:val="24"/>
          <w:highlight w:val="none"/>
        </w:rPr>
      </w:pPr>
    </w:p>
    <w:p w14:paraId="4FE9C447">
      <w:pPr>
        <w:spacing w:line="360" w:lineRule="auto"/>
        <w:rPr>
          <w:rFonts w:hint="eastAsia" w:ascii="宋体" w:hAnsi="宋体" w:cs="宋体"/>
          <w:b/>
          <w:bCs/>
          <w:color w:val="auto"/>
          <w:sz w:val="24"/>
          <w:szCs w:val="24"/>
          <w:highlight w:val="none"/>
        </w:rPr>
      </w:pPr>
    </w:p>
    <w:p w14:paraId="561BA9C3">
      <w:pPr>
        <w:spacing w:line="360" w:lineRule="auto"/>
        <w:rPr>
          <w:rFonts w:hint="eastAsia" w:ascii="宋体" w:hAnsi="宋体" w:cs="宋体"/>
          <w:b/>
          <w:bCs/>
          <w:color w:val="auto"/>
          <w:sz w:val="24"/>
          <w:szCs w:val="24"/>
          <w:highlight w:val="none"/>
        </w:rPr>
      </w:pPr>
    </w:p>
    <w:p w14:paraId="7E4C9319">
      <w:pPr>
        <w:spacing w:line="360" w:lineRule="auto"/>
        <w:rPr>
          <w:rFonts w:hint="eastAsia" w:ascii="宋体" w:hAnsi="宋体" w:cs="宋体"/>
          <w:b/>
          <w:bCs/>
          <w:color w:val="auto"/>
          <w:sz w:val="24"/>
          <w:szCs w:val="24"/>
          <w:highlight w:val="none"/>
        </w:rPr>
      </w:pPr>
    </w:p>
    <w:p w14:paraId="5AB4308C">
      <w:pPr>
        <w:spacing w:line="360" w:lineRule="auto"/>
        <w:rPr>
          <w:rFonts w:hint="eastAsia" w:ascii="宋体" w:hAnsi="宋体" w:cs="宋体"/>
          <w:b/>
          <w:bCs/>
          <w:color w:val="auto"/>
          <w:sz w:val="24"/>
          <w:szCs w:val="24"/>
          <w:highlight w:val="none"/>
        </w:rPr>
      </w:pPr>
    </w:p>
    <w:p w14:paraId="4DB75E79">
      <w:pPr>
        <w:spacing w:line="360" w:lineRule="auto"/>
        <w:rPr>
          <w:rFonts w:hint="eastAsia" w:ascii="宋体" w:hAnsi="宋体" w:cs="宋体"/>
          <w:b/>
          <w:bCs/>
          <w:color w:val="auto"/>
          <w:sz w:val="24"/>
          <w:szCs w:val="24"/>
          <w:highlight w:val="none"/>
        </w:rPr>
      </w:pPr>
    </w:p>
    <w:p w14:paraId="0EB02C37">
      <w:pPr>
        <w:spacing w:line="360" w:lineRule="auto"/>
        <w:rPr>
          <w:rFonts w:hint="eastAsia" w:ascii="宋体" w:hAnsi="宋体" w:cs="宋体"/>
          <w:b/>
          <w:bCs/>
          <w:color w:val="auto"/>
          <w:sz w:val="24"/>
          <w:szCs w:val="24"/>
          <w:highlight w:val="none"/>
        </w:rPr>
      </w:pPr>
    </w:p>
    <w:p w14:paraId="179CEECF">
      <w:pPr>
        <w:pStyle w:val="13"/>
        <w:rPr>
          <w:rFonts w:hint="eastAsia" w:ascii="宋体" w:hAnsi="宋体" w:eastAsia="宋体"/>
          <w:color w:val="auto"/>
          <w:highlight w:val="none"/>
        </w:rPr>
      </w:pPr>
    </w:p>
    <w:p w14:paraId="5F9B27A0">
      <w:pPr>
        <w:spacing w:line="360" w:lineRule="auto"/>
        <w:rPr>
          <w:rFonts w:hint="eastAsia" w:ascii="宋体" w:hAnsi="宋体" w:cs="宋体"/>
          <w:b/>
          <w:bCs/>
          <w:color w:val="auto"/>
          <w:sz w:val="24"/>
          <w:szCs w:val="24"/>
          <w:highlight w:val="none"/>
        </w:rPr>
      </w:pPr>
    </w:p>
    <w:p w14:paraId="2C2936BA">
      <w:pPr>
        <w:spacing w:line="480" w:lineRule="auto"/>
        <w:jc w:val="both"/>
        <w:rPr>
          <w:rFonts w:hint="eastAsia" w:ascii="宋体" w:hAnsi="宋体" w:cs="宋体"/>
          <w:b/>
          <w:bCs/>
          <w:color w:val="auto"/>
          <w:sz w:val="30"/>
          <w:szCs w:val="30"/>
          <w:highlight w:val="none"/>
        </w:rPr>
      </w:pPr>
    </w:p>
    <w:p w14:paraId="4AE53418">
      <w:pPr>
        <w:numPr>
          <w:ilvl w:val="0"/>
          <w:numId w:val="3"/>
        </w:numPr>
        <w:spacing w:line="480" w:lineRule="auto"/>
        <w:jc w:val="center"/>
        <w:rPr>
          <w:rFonts w:hint="eastAsia"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偏差表</w:t>
      </w:r>
    </w:p>
    <w:p w14:paraId="34EF7715">
      <w:pPr>
        <w:numPr>
          <w:ilvl w:val="0"/>
          <w:numId w:val="0"/>
        </w:numPr>
        <w:spacing w:line="480" w:lineRule="auto"/>
        <w:jc w:val="center"/>
        <w:rPr>
          <w:rFonts w:hint="eastAsia" w:ascii="宋体" w:hAnsi="宋体" w:cs="宋体"/>
          <w:color w:val="auto"/>
          <w:sz w:val="30"/>
          <w:szCs w:val="30"/>
          <w:highlight w:val="none"/>
        </w:rPr>
      </w:pPr>
      <w:r>
        <w:rPr>
          <w:rFonts w:hint="eastAsia" w:ascii="宋体" w:hAnsi="宋体" w:cs="宋体"/>
          <w:color w:val="auto"/>
          <w:sz w:val="28"/>
          <w:szCs w:val="28"/>
          <w:highlight w:val="none"/>
        </w:rPr>
        <w:t>技术偏差表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1"/>
        <w:gridCol w:w="2321"/>
      </w:tblGrid>
      <w:tr w14:paraId="01B6F432">
        <w:trPr>
          <w:trHeight w:val="411" w:hRule="atLeast"/>
        </w:trPr>
        <w:tc>
          <w:tcPr>
            <w:tcW w:w="2321" w:type="dxa"/>
            <w:vAlign w:val="center"/>
          </w:tcPr>
          <w:p w14:paraId="7619EEC4">
            <w:pPr>
              <w:wordWrap w:val="0"/>
              <w:adjustRightInd w:val="0"/>
              <w:spacing w:line="360" w:lineRule="auto"/>
              <w:jc w:val="center"/>
              <w:rPr>
                <w:rFonts w:hint="eastAsia" w:ascii="宋体" w:hAnsi="宋体" w:cs="宋体"/>
                <w:b/>
                <w:color w:val="auto"/>
                <w:highlight w:val="none"/>
              </w:rPr>
            </w:pPr>
            <w:r>
              <w:rPr>
                <w:rFonts w:hint="eastAsia" w:ascii="宋体" w:hAnsi="宋体" w:cs="宋体"/>
                <w:color w:val="auto"/>
                <w:szCs w:val="21"/>
                <w:highlight w:val="none"/>
              </w:rPr>
              <w:t>序号</w:t>
            </w:r>
          </w:p>
        </w:tc>
        <w:tc>
          <w:tcPr>
            <w:tcW w:w="2321" w:type="dxa"/>
            <w:vAlign w:val="center"/>
          </w:tcPr>
          <w:p w14:paraId="39CCD21A">
            <w:pPr>
              <w:wordWrap w:val="0"/>
              <w:adjustRightInd w:val="0"/>
              <w:spacing w:line="360" w:lineRule="auto"/>
              <w:jc w:val="center"/>
              <w:rPr>
                <w:rFonts w:hint="eastAsia" w:ascii="宋体" w:hAnsi="宋体" w:cs="宋体"/>
                <w:b/>
                <w:color w:val="auto"/>
                <w:highlight w:val="none"/>
              </w:rPr>
            </w:pPr>
            <w:r>
              <w:rPr>
                <w:rFonts w:hint="eastAsia" w:ascii="宋体" w:hAnsi="宋体" w:cs="宋体"/>
                <w:color w:val="auto"/>
                <w:szCs w:val="21"/>
                <w:highlight w:val="none"/>
              </w:rPr>
              <w:t>招标文件要求</w:t>
            </w:r>
          </w:p>
        </w:tc>
        <w:tc>
          <w:tcPr>
            <w:tcW w:w="2321" w:type="dxa"/>
            <w:vAlign w:val="center"/>
          </w:tcPr>
          <w:p w14:paraId="519321C6">
            <w:pPr>
              <w:wordWrap w:val="0"/>
              <w:adjustRightInd w:val="0"/>
              <w:spacing w:line="360" w:lineRule="auto"/>
              <w:jc w:val="center"/>
              <w:rPr>
                <w:rFonts w:hint="eastAsia" w:ascii="宋体" w:hAnsi="宋体" w:cs="宋体"/>
                <w:b/>
                <w:color w:val="auto"/>
                <w:highlight w:val="none"/>
              </w:rPr>
            </w:pPr>
            <w:r>
              <w:rPr>
                <w:rFonts w:hint="eastAsia" w:ascii="宋体" w:hAnsi="宋体" w:cs="宋体"/>
                <w:color w:val="auto"/>
                <w:szCs w:val="21"/>
                <w:highlight w:val="none"/>
              </w:rPr>
              <w:t>投标文件响应</w:t>
            </w:r>
          </w:p>
        </w:tc>
        <w:tc>
          <w:tcPr>
            <w:tcW w:w="2321" w:type="dxa"/>
            <w:vAlign w:val="center"/>
          </w:tcPr>
          <w:p w14:paraId="0A350F0E">
            <w:pPr>
              <w:wordWrap w:val="0"/>
              <w:adjustRightInd w:val="0"/>
              <w:spacing w:line="360" w:lineRule="auto"/>
              <w:jc w:val="center"/>
              <w:rPr>
                <w:rFonts w:hint="eastAsia" w:ascii="宋体" w:hAnsi="宋体" w:cs="宋体"/>
                <w:b/>
                <w:color w:val="auto"/>
                <w:highlight w:val="none"/>
              </w:rPr>
            </w:pPr>
            <w:r>
              <w:rPr>
                <w:rFonts w:hint="eastAsia" w:ascii="宋体" w:hAnsi="宋体" w:cs="宋体"/>
                <w:color w:val="auto"/>
                <w:szCs w:val="21"/>
                <w:highlight w:val="none"/>
              </w:rPr>
              <w:t>偏差情况（无偏离、正偏离或负偏离）</w:t>
            </w:r>
          </w:p>
        </w:tc>
      </w:tr>
      <w:tr w14:paraId="5242B8DC">
        <w:trPr>
          <w:trHeight w:val="411" w:hRule="atLeast"/>
        </w:trPr>
        <w:tc>
          <w:tcPr>
            <w:tcW w:w="2321" w:type="dxa"/>
            <w:vAlign w:val="center"/>
          </w:tcPr>
          <w:p w14:paraId="1EFAEA77">
            <w:pPr>
              <w:wordWrap w:val="0"/>
              <w:adjustRightInd w:val="0"/>
              <w:spacing w:line="360" w:lineRule="auto"/>
              <w:jc w:val="center"/>
              <w:rPr>
                <w:rFonts w:hint="eastAsia" w:ascii="宋体" w:hAnsi="宋体" w:cs="宋体"/>
                <w:b/>
                <w:color w:val="auto"/>
                <w:highlight w:val="none"/>
              </w:rPr>
            </w:pPr>
            <w:r>
              <w:rPr>
                <w:rFonts w:hint="eastAsia" w:ascii="宋体" w:hAnsi="宋体" w:cs="宋体"/>
                <w:b/>
                <w:color w:val="auto"/>
                <w:highlight w:val="none"/>
              </w:rPr>
              <w:t>1</w:t>
            </w:r>
          </w:p>
        </w:tc>
        <w:tc>
          <w:tcPr>
            <w:tcW w:w="2321" w:type="dxa"/>
            <w:vAlign w:val="center"/>
          </w:tcPr>
          <w:p w14:paraId="4566A590">
            <w:pPr>
              <w:wordWrap w:val="0"/>
              <w:adjustRightInd w:val="0"/>
              <w:spacing w:line="360" w:lineRule="auto"/>
              <w:ind w:firstLine="420"/>
              <w:jc w:val="center"/>
              <w:rPr>
                <w:rFonts w:hint="eastAsia" w:ascii="宋体" w:hAnsi="宋体" w:cs="宋体"/>
                <w:b/>
                <w:color w:val="auto"/>
                <w:highlight w:val="none"/>
              </w:rPr>
            </w:pPr>
          </w:p>
        </w:tc>
        <w:tc>
          <w:tcPr>
            <w:tcW w:w="2321" w:type="dxa"/>
            <w:vAlign w:val="center"/>
          </w:tcPr>
          <w:p w14:paraId="1D0FF041">
            <w:pPr>
              <w:wordWrap w:val="0"/>
              <w:adjustRightInd w:val="0"/>
              <w:spacing w:line="360" w:lineRule="auto"/>
              <w:ind w:firstLine="420"/>
              <w:jc w:val="center"/>
              <w:rPr>
                <w:rFonts w:hint="eastAsia" w:ascii="宋体" w:hAnsi="宋体" w:cs="宋体"/>
                <w:b/>
                <w:color w:val="auto"/>
                <w:highlight w:val="none"/>
              </w:rPr>
            </w:pPr>
          </w:p>
        </w:tc>
        <w:tc>
          <w:tcPr>
            <w:tcW w:w="2321" w:type="dxa"/>
            <w:vAlign w:val="center"/>
          </w:tcPr>
          <w:p w14:paraId="53E9CA19">
            <w:pPr>
              <w:wordWrap w:val="0"/>
              <w:adjustRightInd w:val="0"/>
              <w:spacing w:line="360" w:lineRule="auto"/>
              <w:ind w:firstLine="420"/>
              <w:jc w:val="center"/>
              <w:rPr>
                <w:rFonts w:hint="eastAsia" w:ascii="宋体" w:hAnsi="宋体" w:cs="宋体"/>
                <w:b/>
                <w:color w:val="auto"/>
                <w:highlight w:val="none"/>
              </w:rPr>
            </w:pPr>
          </w:p>
        </w:tc>
      </w:tr>
      <w:tr w14:paraId="1C26E753">
        <w:trPr>
          <w:trHeight w:val="423" w:hRule="atLeast"/>
        </w:trPr>
        <w:tc>
          <w:tcPr>
            <w:tcW w:w="2321" w:type="dxa"/>
            <w:vAlign w:val="center"/>
          </w:tcPr>
          <w:p w14:paraId="6AD9E85F">
            <w:pPr>
              <w:wordWrap w:val="0"/>
              <w:adjustRightInd w:val="0"/>
              <w:spacing w:line="360" w:lineRule="auto"/>
              <w:jc w:val="center"/>
              <w:rPr>
                <w:rFonts w:hint="eastAsia" w:ascii="宋体" w:hAnsi="宋体" w:cs="宋体"/>
                <w:b/>
                <w:color w:val="auto"/>
                <w:highlight w:val="none"/>
              </w:rPr>
            </w:pPr>
            <w:r>
              <w:rPr>
                <w:rFonts w:hint="eastAsia" w:ascii="宋体" w:hAnsi="宋体" w:cs="宋体"/>
                <w:b/>
                <w:color w:val="auto"/>
                <w:highlight w:val="none"/>
              </w:rPr>
              <w:t>2</w:t>
            </w:r>
          </w:p>
        </w:tc>
        <w:tc>
          <w:tcPr>
            <w:tcW w:w="2321" w:type="dxa"/>
            <w:vAlign w:val="center"/>
          </w:tcPr>
          <w:p w14:paraId="3BC40E7A">
            <w:pPr>
              <w:wordWrap w:val="0"/>
              <w:adjustRightInd w:val="0"/>
              <w:spacing w:line="360" w:lineRule="auto"/>
              <w:ind w:firstLine="420"/>
              <w:jc w:val="center"/>
              <w:rPr>
                <w:rFonts w:hint="eastAsia" w:ascii="宋体" w:hAnsi="宋体" w:cs="宋体"/>
                <w:b/>
                <w:color w:val="auto"/>
                <w:highlight w:val="none"/>
              </w:rPr>
            </w:pPr>
          </w:p>
        </w:tc>
        <w:tc>
          <w:tcPr>
            <w:tcW w:w="2321" w:type="dxa"/>
            <w:vAlign w:val="center"/>
          </w:tcPr>
          <w:p w14:paraId="215EF56E">
            <w:pPr>
              <w:wordWrap w:val="0"/>
              <w:adjustRightInd w:val="0"/>
              <w:spacing w:line="360" w:lineRule="auto"/>
              <w:ind w:firstLine="420"/>
              <w:jc w:val="center"/>
              <w:rPr>
                <w:rFonts w:hint="eastAsia" w:ascii="宋体" w:hAnsi="宋体" w:cs="宋体"/>
                <w:b/>
                <w:color w:val="auto"/>
                <w:highlight w:val="none"/>
              </w:rPr>
            </w:pPr>
          </w:p>
        </w:tc>
        <w:tc>
          <w:tcPr>
            <w:tcW w:w="2321" w:type="dxa"/>
            <w:vAlign w:val="center"/>
          </w:tcPr>
          <w:p w14:paraId="4ED9FF16">
            <w:pPr>
              <w:wordWrap w:val="0"/>
              <w:adjustRightInd w:val="0"/>
              <w:spacing w:line="360" w:lineRule="auto"/>
              <w:ind w:firstLine="420"/>
              <w:jc w:val="center"/>
              <w:rPr>
                <w:rFonts w:hint="eastAsia" w:ascii="宋体" w:hAnsi="宋体" w:cs="宋体"/>
                <w:b/>
                <w:color w:val="auto"/>
                <w:highlight w:val="none"/>
              </w:rPr>
            </w:pPr>
          </w:p>
        </w:tc>
      </w:tr>
      <w:tr w14:paraId="7BC34DA5">
        <w:trPr>
          <w:trHeight w:val="277" w:hRule="atLeast"/>
        </w:trPr>
        <w:tc>
          <w:tcPr>
            <w:tcW w:w="2321" w:type="dxa"/>
            <w:vAlign w:val="center"/>
          </w:tcPr>
          <w:p w14:paraId="55C9B3FB">
            <w:pPr>
              <w:wordWrap w:val="0"/>
              <w:adjustRightInd w:val="0"/>
              <w:spacing w:line="360" w:lineRule="auto"/>
              <w:jc w:val="center"/>
              <w:rPr>
                <w:rFonts w:hint="eastAsia" w:ascii="宋体" w:hAnsi="宋体" w:cs="宋体"/>
                <w:b/>
                <w:color w:val="auto"/>
                <w:highlight w:val="none"/>
              </w:rPr>
            </w:pPr>
            <w:r>
              <w:rPr>
                <w:rFonts w:hint="eastAsia" w:ascii="宋体" w:hAnsi="宋体" w:cs="宋体"/>
                <w:b/>
                <w:color w:val="auto"/>
                <w:highlight w:val="none"/>
              </w:rPr>
              <w:t>3</w:t>
            </w:r>
          </w:p>
        </w:tc>
        <w:tc>
          <w:tcPr>
            <w:tcW w:w="2321" w:type="dxa"/>
            <w:vAlign w:val="center"/>
          </w:tcPr>
          <w:p w14:paraId="49087DC2">
            <w:pPr>
              <w:wordWrap w:val="0"/>
              <w:adjustRightInd w:val="0"/>
              <w:spacing w:line="360" w:lineRule="auto"/>
              <w:ind w:firstLine="420"/>
              <w:jc w:val="center"/>
              <w:rPr>
                <w:rFonts w:hint="eastAsia" w:ascii="宋体" w:hAnsi="宋体" w:cs="宋体"/>
                <w:b/>
                <w:color w:val="auto"/>
                <w:highlight w:val="none"/>
              </w:rPr>
            </w:pPr>
          </w:p>
        </w:tc>
        <w:tc>
          <w:tcPr>
            <w:tcW w:w="2321" w:type="dxa"/>
            <w:vAlign w:val="center"/>
          </w:tcPr>
          <w:p w14:paraId="639614F2">
            <w:pPr>
              <w:wordWrap w:val="0"/>
              <w:adjustRightInd w:val="0"/>
              <w:spacing w:line="360" w:lineRule="auto"/>
              <w:ind w:firstLine="420"/>
              <w:jc w:val="center"/>
              <w:rPr>
                <w:rFonts w:hint="eastAsia" w:ascii="宋体" w:hAnsi="宋体" w:cs="宋体"/>
                <w:b/>
                <w:color w:val="auto"/>
                <w:highlight w:val="none"/>
              </w:rPr>
            </w:pPr>
          </w:p>
        </w:tc>
        <w:tc>
          <w:tcPr>
            <w:tcW w:w="2321" w:type="dxa"/>
            <w:vAlign w:val="center"/>
          </w:tcPr>
          <w:p w14:paraId="492D65F5">
            <w:pPr>
              <w:wordWrap w:val="0"/>
              <w:adjustRightInd w:val="0"/>
              <w:spacing w:line="360" w:lineRule="auto"/>
              <w:ind w:firstLine="420"/>
              <w:jc w:val="center"/>
              <w:rPr>
                <w:rFonts w:hint="eastAsia" w:ascii="宋体" w:hAnsi="宋体" w:cs="宋体"/>
                <w:b/>
                <w:color w:val="auto"/>
                <w:highlight w:val="none"/>
              </w:rPr>
            </w:pPr>
          </w:p>
        </w:tc>
      </w:tr>
      <w:tr w14:paraId="45342C9E">
        <w:trPr>
          <w:trHeight w:val="436" w:hRule="atLeast"/>
        </w:trPr>
        <w:tc>
          <w:tcPr>
            <w:tcW w:w="2321" w:type="dxa"/>
            <w:vAlign w:val="center"/>
          </w:tcPr>
          <w:p w14:paraId="502F0BE7">
            <w:pPr>
              <w:wordWrap w:val="0"/>
              <w:adjustRightInd w:val="0"/>
              <w:spacing w:line="360" w:lineRule="auto"/>
              <w:jc w:val="center"/>
              <w:rPr>
                <w:rFonts w:hint="eastAsia" w:ascii="宋体" w:hAnsi="宋体" w:cs="宋体"/>
                <w:b/>
                <w:color w:val="auto"/>
                <w:highlight w:val="none"/>
              </w:rPr>
            </w:pPr>
            <w:r>
              <w:rPr>
                <w:rFonts w:hint="eastAsia" w:ascii="宋体" w:hAnsi="宋体" w:cs="宋体"/>
                <w:b/>
                <w:color w:val="auto"/>
                <w:highlight w:val="none"/>
              </w:rPr>
              <w:t>…</w:t>
            </w:r>
          </w:p>
        </w:tc>
        <w:tc>
          <w:tcPr>
            <w:tcW w:w="2321" w:type="dxa"/>
            <w:vAlign w:val="center"/>
          </w:tcPr>
          <w:p w14:paraId="4E42EB31">
            <w:pPr>
              <w:wordWrap w:val="0"/>
              <w:adjustRightInd w:val="0"/>
              <w:spacing w:line="360" w:lineRule="auto"/>
              <w:ind w:firstLine="420"/>
              <w:jc w:val="center"/>
              <w:rPr>
                <w:rFonts w:hint="eastAsia" w:ascii="宋体" w:hAnsi="宋体" w:cs="宋体"/>
                <w:b/>
                <w:color w:val="auto"/>
                <w:highlight w:val="none"/>
              </w:rPr>
            </w:pPr>
          </w:p>
        </w:tc>
        <w:tc>
          <w:tcPr>
            <w:tcW w:w="2321" w:type="dxa"/>
            <w:vAlign w:val="center"/>
          </w:tcPr>
          <w:p w14:paraId="15302709">
            <w:pPr>
              <w:wordWrap w:val="0"/>
              <w:adjustRightInd w:val="0"/>
              <w:spacing w:line="360" w:lineRule="auto"/>
              <w:ind w:firstLine="420"/>
              <w:jc w:val="center"/>
              <w:rPr>
                <w:rFonts w:hint="eastAsia" w:ascii="宋体" w:hAnsi="宋体" w:cs="宋体"/>
                <w:b/>
                <w:color w:val="auto"/>
                <w:highlight w:val="none"/>
              </w:rPr>
            </w:pPr>
          </w:p>
        </w:tc>
        <w:tc>
          <w:tcPr>
            <w:tcW w:w="2321" w:type="dxa"/>
            <w:vAlign w:val="center"/>
          </w:tcPr>
          <w:p w14:paraId="63CF0622">
            <w:pPr>
              <w:wordWrap w:val="0"/>
              <w:adjustRightInd w:val="0"/>
              <w:spacing w:line="360" w:lineRule="auto"/>
              <w:ind w:firstLine="420"/>
              <w:jc w:val="center"/>
              <w:rPr>
                <w:rFonts w:hint="eastAsia" w:ascii="宋体" w:hAnsi="宋体" w:cs="宋体"/>
                <w:b/>
                <w:color w:val="auto"/>
                <w:highlight w:val="none"/>
              </w:rPr>
            </w:pPr>
          </w:p>
        </w:tc>
      </w:tr>
    </w:tbl>
    <w:p w14:paraId="7C93EAC2">
      <w:pPr>
        <w:wordWrap w:val="0"/>
        <w:adjustRightInd w:val="0"/>
        <w:snapToGrid w:val="0"/>
        <w:spacing w:line="360" w:lineRule="auto"/>
        <w:ind w:firstLine="420"/>
        <w:rPr>
          <w:rFonts w:hint="eastAsia" w:ascii="宋体" w:hAnsi="宋体" w:cs="宋体"/>
          <w:b/>
          <w:color w:val="auto"/>
          <w:highlight w:val="none"/>
        </w:rPr>
      </w:pPr>
    </w:p>
    <w:p w14:paraId="59E46F2F">
      <w:pPr>
        <w:wordWrap w:val="0"/>
        <w:adjustRightInd w:val="0"/>
        <w:snapToGrid w:val="0"/>
        <w:spacing w:line="360" w:lineRule="auto"/>
        <w:ind w:firstLine="420"/>
        <w:rPr>
          <w:rFonts w:hint="eastAsia" w:ascii="宋体" w:hAnsi="宋体" w:cs="宋体"/>
          <w:b/>
          <w:color w:val="auto"/>
          <w:highlight w:val="none"/>
        </w:rPr>
      </w:pPr>
    </w:p>
    <w:p w14:paraId="1F81F11E">
      <w:pPr>
        <w:wordWrap w:val="0"/>
        <w:adjustRightInd w:val="0"/>
        <w:snapToGrid w:val="0"/>
        <w:spacing w:line="360" w:lineRule="auto"/>
        <w:ind w:firstLine="400"/>
        <w:rPr>
          <w:rFonts w:hint="eastAsia" w:ascii="宋体" w:hAnsi="宋体" w:cs="宋体"/>
          <w:b/>
          <w:color w:val="auto"/>
          <w:sz w:val="20"/>
          <w:highlight w:val="none"/>
        </w:rPr>
      </w:pPr>
    </w:p>
    <w:p w14:paraId="6C014370">
      <w:pPr>
        <w:wordWrap w:val="0"/>
        <w:adjustRightInd w:val="0"/>
        <w:spacing w:line="360" w:lineRule="auto"/>
        <w:ind w:left="134" w:leftChars="64"/>
        <w:rPr>
          <w:rFonts w:hint="eastAsia" w:ascii="宋体" w:hAnsi="宋体" w:cs="宋体"/>
          <w:color w:val="auto"/>
          <w:sz w:val="24"/>
          <w:highlight w:val="none"/>
        </w:rPr>
      </w:pPr>
      <w:r>
        <w:rPr>
          <w:rFonts w:hint="eastAsia" w:ascii="宋体" w:hAnsi="宋体" w:cs="宋体"/>
          <w:snapToGrid w:val="0"/>
          <w:color w:val="auto"/>
          <w:highlight w:val="none"/>
        </w:rPr>
        <w:t>我单位保证：除技术偏差表列出的偏差外，完全响应招标文件的全部要求。</w:t>
      </w:r>
    </w:p>
    <w:p w14:paraId="36AB2CF1">
      <w:pPr>
        <w:wordWrap w:val="0"/>
        <w:spacing w:before="34" w:line="400" w:lineRule="exact"/>
        <w:ind w:left="331" w:firstLine="210" w:firstLineChars="100"/>
        <w:rPr>
          <w:rFonts w:hint="eastAsia" w:ascii="宋体" w:hAnsi="宋体" w:cs="宋体"/>
          <w:color w:val="auto"/>
          <w:szCs w:val="21"/>
          <w:highlight w:val="none"/>
        </w:rPr>
      </w:pPr>
    </w:p>
    <w:p w14:paraId="4736D2AE">
      <w:pPr>
        <w:wordWrap w:val="0"/>
        <w:spacing w:before="34" w:line="400" w:lineRule="exact"/>
        <w:ind w:left="331" w:firstLine="210" w:firstLineChars="100"/>
        <w:rPr>
          <w:rFonts w:hint="eastAsia" w:ascii="宋体" w:hAnsi="宋体" w:cs="宋体"/>
          <w:color w:val="auto"/>
          <w:szCs w:val="21"/>
          <w:highlight w:val="none"/>
        </w:rPr>
      </w:pPr>
    </w:p>
    <w:p w14:paraId="4473F9A0">
      <w:pPr>
        <w:spacing w:line="360" w:lineRule="auto"/>
        <w:rPr>
          <w:rFonts w:hint="eastAsia" w:ascii="宋体" w:hAnsi="宋体" w:cs="宋体"/>
          <w:b/>
          <w:bCs/>
          <w:color w:val="auto"/>
          <w:sz w:val="24"/>
          <w:szCs w:val="24"/>
          <w:highlight w:val="none"/>
        </w:rPr>
      </w:pPr>
    </w:p>
    <w:p w14:paraId="74A9A415">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(盖章)：</w:t>
      </w:r>
    </w:p>
    <w:p w14:paraId="3697A21D">
      <w:pPr>
        <w:spacing w:line="360" w:lineRule="auto"/>
        <w:ind w:firstLine="4200" w:firstLineChars="17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法定代表人或其委托代理人(签字或盖章)：</w:t>
      </w:r>
    </w:p>
    <w:p w14:paraId="46A8B76F">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日期：年月日</w:t>
      </w:r>
    </w:p>
    <w:p w14:paraId="7EA05CCF">
      <w:pPr>
        <w:wordWrap w:val="0"/>
        <w:adjustRightInd w:val="0"/>
        <w:snapToGrid w:val="0"/>
        <w:spacing w:line="360" w:lineRule="auto"/>
        <w:ind w:firstLine="562"/>
        <w:rPr>
          <w:rFonts w:hint="eastAsia" w:ascii="宋体" w:hAnsi="宋体" w:cs="宋体"/>
          <w:color w:val="auto"/>
          <w:sz w:val="28"/>
          <w:highlight w:val="none"/>
        </w:rPr>
        <w:sectPr>
          <w:footerReference r:id="rId9" w:type="default"/>
          <w:pgSz w:w="11910" w:h="16840"/>
          <w:pgMar w:top="1400" w:right="1420" w:bottom="1180" w:left="1276" w:header="0" w:footer="993" w:gutter="0"/>
          <w:pgNumType w:fmt="decimal" w:start="1"/>
          <w:cols w:space="720" w:num="1"/>
        </w:sectPr>
      </w:pPr>
      <w:r>
        <w:rPr>
          <w:rFonts w:hint="eastAsia" w:ascii="宋体" w:hAnsi="宋体" w:cs="宋体"/>
          <w:b/>
          <w:color w:val="auto"/>
          <w:sz w:val="17"/>
          <w:highlight w:val="none"/>
        </w:rPr>
        <w:br w:type="page"/>
      </w:r>
    </w:p>
    <w:p w14:paraId="3D8040E1">
      <w:pPr>
        <w:rPr>
          <w:rFonts w:hint="eastAsia" w:ascii="宋体" w:hAnsi="宋体" w:cs="宋体"/>
          <w:b/>
          <w:bCs/>
          <w:color w:val="auto"/>
          <w:sz w:val="30"/>
          <w:szCs w:val="30"/>
          <w:highlight w:val="none"/>
        </w:rPr>
      </w:pPr>
    </w:p>
    <w:p w14:paraId="1FE3D0C2">
      <w:pPr>
        <w:spacing w:line="480" w:lineRule="auto"/>
        <w:jc w:val="center"/>
        <w:rPr>
          <w:rFonts w:hint="eastAsia" w:ascii="宋体" w:hAnsi="宋体" w:cs="宋体"/>
          <w:b/>
          <w:bCs/>
          <w:color w:val="auto"/>
          <w:kern w:val="0"/>
          <w:sz w:val="28"/>
          <w:szCs w:val="28"/>
          <w:highlight w:val="none"/>
        </w:rPr>
      </w:pPr>
      <w:r>
        <w:rPr>
          <w:rFonts w:hint="eastAsia" w:ascii="宋体" w:hAnsi="宋体" w:cs="宋体"/>
          <w:b/>
          <w:bCs/>
          <w:color w:val="auto"/>
          <w:sz w:val="30"/>
          <w:szCs w:val="30"/>
          <w:highlight w:val="none"/>
          <w:lang w:val="en-US" w:eastAsia="zh-CN"/>
        </w:rPr>
        <w:t>七</w:t>
      </w:r>
      <w:r>
        <w:rPr>
          <w:rFonts w:hint="eastAsia" w:ascii="宋体" w:hAnsi="宋体" w:cs="宋体"/>
          <w:b/>
          <w:bCs/>
          <w:color w:val="auto"/>
          <w:sz w:val="28"/>
          <w:szCs w:val="28"/>
          <w:highlight w:val="none"/>
        </w:rPr>
        <w:t>、</w:t>
      </w:r>
      <w:r>
        <w:rPr>
          <w:rFonts w:hint="eastAsia" w:ascii="宋体" w:hAnsi="宋体" w:cs="宋体"/>
          <w:b/>
          <w:bCs/>
          <w:color w:val="auto"/>
          <w:kern w:val="0"/>
          <w:sz w:val="28"/>
          <w:szCs w:val="28"/>
          <w:highlight w:val="none"/>
        </w:rPr>
        <w:t>中小企业声明函</w:t>
      </w:r>
    </w:p>
    <w:p w14:paraId="01CC664B">
      <w:pPr>
        <w:snapToGrid w:val="0"/>
        <w:spacing w:line="360" w:lineRule="auto"/>
        <w:ind w:right="482"/>
        <w:jc w:val="left"/>
        <w:rPr>
          <w:rFonts w:hint="eastAsia" w:ascii="宋体" w:hAnsi="宋体" w:cs="宋体"/>
          <w:color w:val="auto"/>
          <w:sz w:val="24"/>
          <w:szCs w:val="20"/>
          <w:highlight w:val="none"/>
        </w:rPr>
      </w:pPr>
    </w:p>
    <w:p w14:paraId="197CF2A0">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本公司（联合体）郑重声明，参考《政府采购促进中小企业发展管理办法》（财库﹝2020﹞46号）的规定，本公司（联合体）参加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采购活动，工程的施工单位全部为符合政策要求的中小企业。相关企业（含联合体中的中小企业、签订分包意向协议的中小企业）的具体情况如下：</w:t>
      </w:r>
    </w:p>
    <w:p w14:paraId="697495C4">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z w:val="24"/>
          <w:highlight w:val="none"/>
        </w:rPr>
        <w:t>，属于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 xml:space="preserve">； </w:t>
      </w:r>
    </w:p>
    <w:p w14:paraId="38A26ACA">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以上企业，不属于大企业的分支机构，不存在控股股东为大企业的情形，也不存在与大企业的负责人为同一人的情 形。 </w:t>
      </w:r>
    </w:p>
    <w:p w14:paraId="49E79CCD">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 法承担相应责任。</w:t>
      </w:r>
    </w:p>
    <w:p w14:paraId="55774102">
      <w:pPr>
        <w:spacing w:line="500" w:lineRule="exact"/>
        <w:ind w:firstLine="6240" w:firstLineChars="2600"/>
        <w:rPr>
          <w:rFonts w:hint="eastAsia" w:ascii="宋体" w:hAnsi="宋体" w:cs="宋体"/>
          <w:color w:val="auto"/>
          <w:sz w:val="24"/>
          <w:highlight w:val="none"/>
        </w:rPr>
      </w:pPr>
      <w:r>
        <w:rPr>
          <w:rFonts w:hint="eastAsia" w:ascii="宋体" w:hAnsi="宋体" w:cs="宋体"/>
          <w:color w:val="auto"/>
          <w:sz w:val="24"/>
          <w:highlight w:val="none"/>
        </w:rPr>
        <w:t>企业名称（盖单位公章）：</w:t>
      </w:r>
    </w:p>
    <w:p w14:paraId="5B05D014">
      <w:pPr>
        <w:spacing w:line="500" w:lineRule="exact"/>
        <w:ind w:firstLine="6240" w:firstLineChars="2600"/>
        <w:rPr>
          <w:rFonts w:hint="eastAsia" w:ascii="宋体" w:hAnsi="宋体" w:cs="宋体"/>
          <w:color w:val="auto"/>
          <w:sz w:val="24"/>
          <w:highlight w:val="none"/>
        </w:rPr>
      </w:pPr>
      <w:r>
        <w:rPr>
          <w:rFonts w:hint="eastAsia" w:ascii="宋体" w:hAnsi="宋体" w:cs="宋体"/>
          <w:color w:val="auto"/>
          <w:sz w:val="24"/>
          <w:highlight w:val="none"/>
        </w:rPr>
        <w:t>日 期：</w:t>
      </w:r>
    </w:p>
    <w:p w14:paraId="090C6DC1">
      <w:pPr>
        <w:spacing w:line="500" w:lineRule="exact"/>
        <w:ind w:firstLine="480" w:firstLineChars="200"/>
        <w:rPr>
          <w:rFonts w:hint="eastAsia" w:ascii="宋体" w:hAnsi="宋体" w:cs="宋体"/>
          <w:color w:val="auto"/>
          <w:sz w:val="24"/>
          <w:highlight w:val="none"/>
        </w:rPr>
      </w:pPr>
    </w:p>
    <w:p w14:paraId="3CDB3A76">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注：从业人员、 营业收入、 资产总额填报上一年度数据， 无上一年度数据的新成立企业可不填报。</w:t>
      </w:r>
    </w:p>
    <w:p w14:paraId="415EA74B">
      <w:pPr>
        <w:pStyle w:val="13"/>
        <w:rPr>
          <w:rFonts w:hint="eastAsia" w:ascii="宋体" w:hAnsi="宋体" w:eastAsia="宋体"/>
          <w:color w:val="auto"/>
          <w:highlight w:val="none"/>
        </w:rPr>
      </w:pPr>
    </w:p>
    <w:p w14:paraId="6744CDB2">
      <w:pPr>
        <w:spacing w:line="360" w:lineRule="auto"/>
        <w:jc w:val="left"/>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注：1、从业人员、营业收入、资产总额填报上一年度数据，无上一年度数据的新成立企业可不填报。</w:t>
      </w:r>
    </w:p>
    <w:p w14:paraId="5594239E">
      <w:pPr>
        <w:spacing w:line="360" w:lineRule="auto"/>
        <w:ind w:firstLine="480" w:firstLineChars="200"/>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2、中小企业划分标准见工业和信息化部国家统计局国家发展和改革委员财政部《关于印发中小企业划型标准规定的通知》（工信部联企业【2011】300号）。</w:t>
      </w:r>
    </w:p>
    <w:p w14:paraId="2F274B34">
      <w:pPr>
        <w:spacing w:line="360" w:lineRule="auto"/>
        <w:ind w:firstLine="480" w:firstLineChars="200"/>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3、本次采购标的对应的中小企业划分标准所属行业：其他服务业。</w:t>
      </w:r>
    </w:p>
    <w:p w14:paraId="117CC576">
      <w:pPr>
        <w:spacing w:line="276" w:lineRule="auto"/>
        <w:jc w:val="center"/>
        <w:rPr>
          <w:rFonts w:hint="eastAsia" w:ascii="宋体" w:hAnsi="宋体" w:cs="宋体"/>
          <w:b/>
          <w:bCs/>
          <w:color w:val="auto"/>
          <w:kern w:val="0"/>
          <w:sz w:val="32"/>
          <w:szCs w:val="32"/>
          <w:highlight w:val="none"/>
        </w:rPr>
      </w:pPr>
      <w:r>
        <w:rPr>
          <w:rFonts w:hint="eastAsia" w:ascii="宋体" w:hAnsi="宋体" w:cs="宋体"/>
          <w:bCs/>
          <w:color w:val="auto"/>
          <w:sz w:val="24"/>
          <w:szCs w:val="24"/>
          <w:highlight w:val="none"/>
        </w:rPr>
        <w:br w:type="page"/>
      </w:r>
    </w:p>
    <w:p w14:paraId="7AB002DA">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八</w:t>
      </w:r>
      <w:r>
        <w:rPr>
          <w:rFonts w:hint="eastAsia" w:ascii="宋体" w:hAnsi="宋体" w:cs="宋体"/>
          <w:b/>
          <w:bCs/>
          <w:color w:val="auto"/>
          <w:sz w:val="28"/>
          <w:szCs w:val="28"/>
          <w:highlight w:val="none"/>
        </w:rPr>
        <w:t>、投标承诺函</w:t>
      </w:r>
    </w:p>
    <w:p w14:paraId="4D6A4DDF">
      <w:pPr>
        <w:spacing w:line="360" w:lineRule="auto"/>
        <w:rPr>
          <w:rFonts w:hint="eastAsia" w:ascii="宋体" w:hAnsi="宋体" w:cs="宋体"/>
          <w:b/>
          <w:color w:val="auto"/>
          <w:sz w:val="28"/>
          <w:szCs w:val="28"/>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023A34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我公司作为本次采购项目的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，根据招标文件要求，现郑重承诺如下：</w:t>
      </w:r>
    </w:p>
    <w:p w14:paraId="0DF9762A">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1.我方完全接受和满足本项目招标文件中规定的实质性要求，不存在对招标文件有异议的同时参加本次采购活动。</w:t>
      </w:r>
    </w:p>
    <w:p w14:paraId="3636F0D1">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2.参加本次采购活动，不存在与单位负责人为同一人或者存在直接控股、管理关系的其他供应商参与同一合同项下的政府采购活动的行为。</w:t>
      </w:r>
    </w:p>
    <w:p w14:paraId="74C15E4F">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3.我方参加政府采购活动无商业贿赂和不正当竞争行为。</w:t>
      </w:r>
    </w:p>
    <w:p w14:paraId="394BFB7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4.存在以下行为之一的愿意接受相关部门的处理：</w:t>
      </w:r>
    </w:p>
    <w:p w14:paraId="32FB5E0C">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（1）投标有效期内撤回投标文件的；</w:t>
      </w:r>
    </w:p>
    <w:p w14:paraId="7053CD52">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（2）在采购人确定中标供应商以前放弃中标候选资格的；</w:t>
      </w:r>
    </w:p>
    <w:p w14:paraId="59F8B042">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（3）除不可抗力的因素外，由于中标供应商的原因未能按照招标文件的规定与采购人签订合同；</w:t>
      </w:r>
    </w:p>
    <w:p w14:paraId="348EBC5A">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（4）在招标文件中提供虚假材料谋取中标；</w:t>
      </w:r>
    </w:p>
    <w:p w14:paraId="62DCA382">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（5）与采购人、其他供应商或者采购代理机构恶意串通的；</w:t>
      </w:r>
    </w:p>
    <w:p w14:paraId="457991C3">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（6）投标有效期内，</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在政府采购活动中有违法、违规、违纪行为。</w:t>
      </w:r>
    </w:p>
    <w:p w14:paraId="63D9B004">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由此产生的一切法律后果和责任由我公司承担。我公司声明放弃对此提出任何异议和追索的权利。</w:t>
      </w:r>
    </w:p>
    <w:p w14:paraId="314282EA">
      <w:pPr>
        <w:spacing w:line="360" w:lineRule="auto"/>
        <w:ind w:firstLine="480"/>
        <w:rPr>
          <w:rFonts w:hint="eastAsia" w:ascii="宋体" w:hAnsi="宋体" w:cs="宋体"/>
          <w:b/>
          <w:bCs/>
          <w:color w:val="auto"/>
          <w:kern w:val="0"/>
          <w:sz w:val="30"/>
          <w:highlight w:val="none"/>
          <w:shd w:val="clear" w:color="auto" w:fill="FFFFFF"/>
        </w:rPr>
      </w:pPr>
      <w:r>
        <w:rPr>
          <w:rFonts w:hint="eastAsia" w:ascii="宋体" w:hAnsi="宋体" w:cs="宋体"/>
          <w:color w:val="auto"/>
          <w:sz w:val="24"/>
          <w:szCs w:val="24"/>
          <w:highlight w:val="none"/>
        </w:rPr>
        <w:t>本公司对上述承诺的内容事项真实性负责。如经查实上述承诺的内容事项存在虚假，我公司愿意接受以提供虚假材料谋取中标追究法律责任。 </w:t>
      </w:r>
      <w:r>
        <w:rPr>
          <w:rFonts w:hint="eastAsia" w:ascii="宋体" w:hAnsi="宋体" w:cs="宋体"/>
          <w:color w:val="auto"/>
          <w:kern w:val="1"/>
          <w:sz w:val="24"/>
          <w:highlight w:val="none"/>
        </w:rPr>
        <w:t>   </w:t>
      </w:r>
    </w:p>
    <w:p w14:paraId="5FA50F57">
      <w:pPr>
        <w:spacing w:line="360" w:lineRule="auto"/>
        <w:jc w:val="center"/>
        <w:rPr>
          <w:rFonts w:hint="eastAsia" w:ascii="宋体" w:hAnsi="宋体" w:cs="宋体"/>
          <w:b/>
          <w:bCs/>
          <w:color w:val="auto"/>
          <w:sz w:val="24"/>
          <w:szCs w:val="24"/>
          <w:highlight w:val="none"/>
        </w:rPr>
      </w:pPr>
    </w:p>
    <w:p w14:paraId="5A4A6F9E">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(盖章)：</w:t>
      </w:r>
    </w:p>
    <w:p w14:paraId="74A8F9A1">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法定代表人或其委托代理人(签字或盖章)：</w:t>
      </w:r>
    </w:p>
    <w:p w14:paraId="117D91A6">
      <w:pPr>
        <w:spacing w:line="360" w:lineRule="auto"/>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日期：年月日</w:t>
      </w:r>
    </w:p>
    <w:p w14:paraId="19494009">
      <w:pPr>
        <w:spacing w:line="500" w:lineRule="exact"/>
        <w:jc w:val="left"/>
        <w:rPr>
          <w:rFonts w:hint="eastAsia" w:ascii="宋体" w:hAnsi="宋体" w:cs="宋体"/>
          <w:b/>
          <w:color w:val="auto"/>
          <w:sz w:val="24"/>
          <w:szCs w:val="24"/>
          <w:highlight w:val="none"/>
        </w:rPr>
      </w:pPr>
    </w:p>
    <w:p w14:paraId="2A2A4B9F">
      <w:pPr>
        <w:spacing w:line="500" w:lineRule="exact"/>
        <w:jc w:val="left"/>
        <w:rPr>
          <w:rFonts w:hint="eastAsia" w:ascii="宋体" w:hAnsi="宋体" w:cs="宋体"/>
          <w:b/>
          <w:color w:val="auto"/>
          <w:sz w:val="24"/>
          <w:szCs w:val="24"/>
          <w:highlight w:val="none"/>
        </w:rPr>
      </w:pPr>
    </w:p>
    <w:p w14:paraId="33A3EF00">
      <w:pPr>
        <w:spacing w:after="120"/>
        <w:ind w:firstLine="200" w:firstLineChars="100"/>
        <w:rPr>
          <w:rFonts w:hint="eastAsia" w:ascii="宋体" w:hAnsi="宋体" w:cs="宋体"/>
          <w:color w:val="auto"/>
          <w:kern w:val="0"/>
          <w:sz w:val="20"/>
          <w:highlight w:val="none"/>
        </w:rPr>
      </w:pPr>
    </w:p>
    <w:p w14:paraId="3C0E7B26">
      <w:pPr>
        <w:pStyle w:val="4"/>
        <w:spacing w:line="240" w:lineRule="exact"/>
        <w:jc w:val="center"/>
        <w:rPr>
          <w:rFonts w:hint="eastAsia" w:hAnsi="宋体" w:cs="宋体"/>
          <w:color w:val="auto"/>
          <w:highlight w:val="none"/>
          <w:lang w:val="en-US" w:eastAsia="zh-CN"/>
        </w:rPr>
      </w:pPr>
      <w:bookmarkStart w:id="166" w:name="_Toc13436"/>
    </w:p>
    <w:p w14:paraId="38EA404A">
      <w:pPr>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九、供应商认为需要提供的其他材料</w:t>
      </w:r>
      <w:bookmarkEnd w:id="166"/>
    </w:p>
    <w:p w14:paraId="0DB1311A">
      <w:pPr>
        <w:spacing w:line="360" w:lineRule="auto"/>
        <w:jc w:val="center"/>
        <w:rPr>
          <w:rFonts w:hint="eastAsia" w:ascii="宋体" w:hAnsi="宋体" w:cs="宋体"/>
          <w:b/>
          <w:bCs/>
          <w:color w:val="auto"/>
          <w:sz w:val="24"/>
          <w:szCs w:val="24"/>
          <w:highlight w:val="none"/>
        </w:rPr>
      </w:pPr>
    </w:p>
    <w:p w14:paraId="61B55A3B">
      <w:pPr>
        <w:spacing w:line="360" w:lineRule="auto"/>
        <w:jc w:val="center"/>
        <w:rPr>
          <w:rFonts w:hint="eastAsia" w:ascii="宋体" w:hAnsi="宋体" w:cs="宋体"/>
          <w:b/>
          <w:bCs/>
          <w:color w:val="auto"/>
          <w:sz w:val="24"/>
          <w:szCs w:val="24"/>
          <w:highlight w:val="none"/>
        </w:rPr>
      </w:pPr>
    </w:p>
    <w:p w14:paraId="05537496">
      <w:pPr>
        <w:spacing w:line="360" w:lineRule="auto"/>
        <w:jc w:val="center"/>
        <w:rPr>
          <w:rFonts w:hint="eastAsia" w:ascii="宋体" w:hAnsi="宋体" w:cs="宋体"/>
          <w:b/>
          <w:bCs/>
          <w:color w:val="auto"/>
          <w:sz w:val="24"/>
          <w:szCs w:val="24"/>
          <w:highlight w:val="none"/>
        </w:rPr>
      </w:pPr>
    </w:p>
    <w:p w14:paraId="6DAC483A">
      <w:pPr>
        <w:spacing w:line="360" w:lineRule="auto"/>
        <w:jc w:val="center"/>
        <w:rPr>
          <w:rFonts w:hint="eastAsia" w:ascii="宋体" w:hAnsi="宋体" w:cs="宋体"/>
          <w:b/>
          <w:bCs/>
          <w:color w:val="auto"/>
          <w:sz w:val="24"/>
          <w:szCs w:val="24"/>
          <w:highlight w:val="none"/>
        </w:rPr>
      </w:pPr>
    </w:p>
    <w:p w14:paraId="055BB995">
      <w:pPr>
        <w:spacing w:line="360" w:lineRule="auto"/>
        <w:jc w:val="center"/>
        <w:rPr>
          <w:rFonts w:hint="eastAsia" w:ascii="宋体" w:hAnsi="宋体" w:cs="宋体"/>
          <w:b/>
          <w:bCs/>
          <w:color w:val="auto"/>
          <w:sz w:val="24"/>
          <w:szCs w:val="24"/>
          <w:highlight w:val="none"/>
        </w:rPr>
      </w:pPr>
    </w:p>
    <w:p w14:paraId="2AEB3ACF">
      <w:pPr>
        <w:spacing w:line="360" w:lineRule="auto"/>
        <w:jc w:val="center"/>
        <w:rPr>
          <w:rFonts w:hint="eastAsia" w:ascii="宋体" w:hAnsi="宋体" w:cs="宋体"/>
          <w:b/>
          <w:bCs/>
          <w:color w:val="auto"/>
          <w:sz w:val="24"/>
          <w:szCs w:val="24"/>
          <w:highlight w:val="none"/>
        </w:rPr>
      </w:pPr>
    </w:p>
    <w:p w14:paraId="1D3BDB16">
      <w:pPr>
        <w:spacing w:line="360" w:lineRule="auto"/>
        <w:jc w:val="center"/>
        <w:rPr>
          <w:rFonts w:hint="eastAsia" w:ascii="宋体" w:hAnsi="宋体" w:cs="宋体"/>
          <w:b/>
          <w:bCs/>
          <w:color w:val="auto"/>
          <w:sz w:val="24"/>
          <w:szCs w:val="24"/>
          <w:highlight w:val="none"/>
        </w:rPr>
      </w:pPr>
    </w:p>
    <w:p w14:paraId="1C50A433">
      <w:pPr>
        <w:spacing w:line="480" w:lineRule="auto"/>
        <w:ind w:left="-28" w:leftChars="-95" w:right="452" w:hanging="171" w:hangingChars="67"/>
        <w:jc w:val="center"/>
        <w:rPr>
          <w:rFonts w:hint="eastAsia" w:ascii="宋体" w:hAnsi="宋体" w:cs="宋体"/>
          <w:color w:val="auto"/>
          <w:spacing w:val="8"/>
          <w:sz w:val="24"/>
          <w:szCs w:val="24"/>
          <w:highlight w:val="none"/>
        </w:rPr>
      </w:pPr>
    </w:p>
    <w:p w14:paraId="5CB7FDC2">
      <w:pPr>
        <w:rPr>
          <w:rFonts w:hint="eastAsia" w:ascii="宋体" w:hAnsi="宋体" w:cs="宋体"/>
          <w:color w:val="auto"/>
          <w:highlight w:val="none"/>
        </w:rPr>
      </w:pPr>
    </w:p>
    <w:p w14:paraId="198EF563">
      <w:pPr>
        <w:pStyle w:val="13"/>
        <w:rPr>
          <w:rFonts w:hint="eastAsia" w:ascii="宋体" w:hAnsi="宋体" w:eastAsia="宋体"/>
          <w:color w:val="auto"/>
          <w:highlight w:val="none"/>
        </w:rPr>
      </w:pPr>
    </w:p>
    <w:p w14:paraId="1C689EC0">
      <w:pPr>
        <w:pStyle w:val="14"/>
        <w:rPr>
          <w:rFonts w:hint="eastAsia" w:ascii="宋体" w:hAnsi="宋体" w:cs="宋体"/>
          <w:color w:val="auto"/>
          <w:highlight w:val="none"/>
        </w:rPr>
      </w:pPr>
    </w:p>
    <w:p w14:paraId="749EDFAC">
      <w:pPr>
        <w:rPr>
          <w:rFonts w:hint="eastAsia" w:ascii="宋体" w:hAnsi="宋体" w:cs="宋体"/>
          <w:color w:val="auto"/>
          <w:highlight w:val="none"/>
        </w:rPr>
      </w:pPr>
    </w:p>
    <w:p w14:paraId="0DF7C4F8">
      <w:pPr>
        <w:pStyle w:val="13"/>
        <w:rPr>
          <w:rFonts w:hint="eastAsia" w:ascii="宋体" w:hAnsi="宋体" w:eastAsia="宋体"/>
          <w:color w:val="auto"/>
          <w:highlight w:val="none"/>
        </w:rPr>
      </w:pPr>
    </w:p>
    <w:p w14:paraId="754C1EC1">
      <w:pPr>
        <w:pStyle w:val="14"/>
        <w:rPr>
          <w:rFonts w:hint="eastAsia" w:ascii="宋体" w:hAnsi="宋体" w:cs="宋体"/>
          <w:color w:val="auto"/>
          <w:highlight w:val="none"/>
        </w:rPr>
      </w:pPr>
    </w:p>
    <w:p w14:paraId="0444C8F4">
      <w:pPr>
        <w:rPr>
          <w:rFonts w:hint="eastAsia" w:ascii="宋体" w:hAnsi="宋体" w:cs="宋体"/>
          <w:color w:val="auto"/>
          <w:highlight w:val="none"/>
        </w:rPr>
      </w:pPr>
    </w:p>
    <w:p w14:paraId="5DDDEF69">
      <w:pPr>
        <w:pStyle w:val="13"/>
        <w:rPr>
          <w:rFonts w:hint="eastAsia" w:ascii="宋体" w:hAnsi="宋体" w:eastAsia="宋体"/>
          <w:color w:val="auto"/>
          <w:highlight w:val="none"/>
        </w:rPr>
      </w:pPr>
    </w:p>
    <w:p w14:paraId="263686E2">
      <w:pPr>
        <w:pStyle w:val="14"/>
        <w:rPr>
          <w:rFonts w:hint="eastAsia" w:ascii="宋体" w:hAnsi="宋体" w:cs="宋体"/>
          <w:color w:val="auto"/>
          <w:highlight w:val="none"/>
        </w:rPr>
      </w:pPr>
    </w:p>
    <w:p w14:paraId="14E1499F">
      <w:pPr>
        <w:rPr>
          <w:rFonts w:hint="eastAsia" w:ascii="宋体" w:hAnsi="宋体" w:cs="宋体"/>
          <w:color w:val="auto"/>
          <w:highlight w:val="none"/>
        </w:rPr>
      </w:pPr>
    </w:p>
    <w:p w14:paraId="21D2111C">
      <w:pPr>
        <w:pStyle w:val="13"/>
        <w:rPr>
          <w:rFonts w:hint="eastAsia" w:ascii="宋体" w:hAnsi="宋体" w:eastAsia="宋体"/>
          <w:color w:val="auto"/>
          <w:highlight w:val="none"/>
        </w:rPr>
      </w:pPr>
    </w:p>
    <w:p w14:paraId="12E7296E">
      <w:pPr>
        <w:pStyle w:val="14"/>
        <w:rPr>
          <w:rFonts w:hint="eastAsia" w:ascii="宋体" w:hAnsi="宋体" w:cs="宋体"/>
          <w:color w:val="auto"/>
          <w:highlight w:val="none"/>
        </w:rPr>
      </w:pPr>
    </w:p>
    <w:p w14:paraId="492D14A9">
      <w:pPr>
        <w:rPr>
          <w:rFonts w:hint="eastAsia" w:ascii="宋体" w:hAnsi="宋体" w:cs="宋体"/>
          <w:color w:val="auto"/>
          <w:highlight w:val="none"/>
        </w:rPr>
      </w:pPr>
    </w:p>
    <w:p w14:paraId="617E7DF8">
      <w:pPr>
        <w:pStyle w:val="13"/>
        <w:rPr>
          <w:rFonts w:hint="eastAsia" w:ascii="宋体" w:hAnsi="宋体" w:eastAsia="宋体"/>
          <w:color w:val="auto"/>
          <w:highlight w:val="none"/>
        </w:rPr>
      </w:pPr>
    </w:p>
    <w:p w14:paraId="4CB3867C">
      <w:pPr>
        <w:pStyle w:val="14"/>
        <w:rPr>
          <w:rFonts w:hint="eastAsia" w:ascii="宋体" w:hAnsi="宋体" w:cs="宋体"/>
          <w:color w:val="auto"/>
          <w:highlight w:val="none"/>
        </w:rPr>
      </w:pPr>
    </w:p>
    <w:p w14:paraId="1E3B1266">
      <w:pPr>
        <w:rPr>
          <w:rFonts w:hint="eastAsia" w:ascii="宋体" w:hAnsi="宋体" w:cs="宋体"/>
          <w:color w:val="auto"/>
          <w:highlight w:val="none"/>
        </w:rPr>
      </w:pPr>
    </w:p>
    <w:p w14:paraId="5B3D943E">
      <w:pPr>
        <w:pStyle w:val="13"/>
        <w:rPr>
          <w:rFonts w:hint="eastAsia" w:ascii="宋体" w:hAnsi="宋体" w:eastAsia="宋体"/>
          <w:color w:val="auto"/>
          <w:highlight w:val="none"/>
        </w:rPr>
      </w:pPr>
    </w:p>
    <w:p w14:paraId="646CE969">
      <w:pPr>
        <w:pStyle w:val="14"/>
        <w:rPr>
          <w:rFonts w:hint="eastAsia" w:ascii="宋体" w:hAnsi="宋体" w:cs="宋体"/>
          <w:color w:val="auto"/>
          <w:highlight w:val="none"/>
        </w:rPr>
      </w:pPr>
    </w:p>
    <w:p w14:paraId="414347A6">
      <w:pPr>
        <w:rPr>
          <w:rFonts w:hint="eastAsia" w:ascii="宋体" w:hAnsi="宋体" w:cs="宋体"/>
          <w:color w:val="auto"/>
          <w:highlight w:val="none"/>
        </w:rPr>
      </w:pPr>
    </w:p>
    <w:p w14:paraId="4D20715D">
      <w:pPr>
        <w:pStyle w:val="13"/>
        <w:rPr>
          <w:rFonts w:hint="eastAsia" w:ascii="宋体" w:hAnsi="宋体" w:eastAsia="宋体"/>
          <w:color w:val="auto"/>
          <w:highlight w:val="none"/>
        </w:rPr>
      </w:pPr>
    </w:p>
    <w:p w14:paraId="70A9D041">
      <w:pPr>
        <w:pStyle w:val="14"/>
        <w:rPr>
          <w:rFonts w:hint="eastAsia" w:ascii="宋体" w:hAnsi="宋体" w:cs="宋体"/>
          <w:color w:val="auto"/>
          <w:highlight w:val="none"/>
        </w:rPr>
      </w:pPr>
    </w:p>
    <w:p w14:paraId="3DA734CA">
      <w:pPr>
        <w:rPr>
          <w:rFonts w:hint="eastAsia" w:ascii="宋体" w:hAnsi="宋体" w:cs="宋体"/>
          <w:color w:val="auto"/>
          <w:highlight w:val="none"/>
        </w:rPr>
      </w:pPr>
    </w:p>
    <w:p w14:paraId="52A107DE">
      <w:pPr>
        <w:pStyle w:val="13"/>
        <w:rPr>
          <w:rFonts w:hint="eastAsia" w:ascii="宋体" w:hAnsi="宋体" w:eastAsia="宋体"/>
          <w:color w:val="auto"/>
          <w:highlight w:val="none"/>
        </w:rPr>
      </w:pPr>
    </w:p>
    <w:p w14:paraId="06B7AB5D">
      <w:pPr>
        <w:rPr>
          <w:rFonts w:hint="eastAsia" w:ascii="宋体" w:hAnsi="宋体" w:cs="宋体"/>
          <w:color w:val="auto"/>
          <w:highlight w:val="none"/>
        </w:rPr>
      </w:pPr>
    </w:p>
    <w:sectPr>
      <w:headerReference r:id="rId10" w:type="default"/>
      <w:footerReference r:id="rId11" w:type="default"/>
      <w:pgSz w:w="11900" w:h="16838"/>
      <w:pgMar w:top="1134" w:right="1270" w:bottom="992" w:left="1559" w:header="567" w:footer="567" w:gutter="0"/>
      <w:pgNumType w:fmt="decimal"/>
      <w:cols w:space="0" w:num="1"/>
      <w:docGrid w:type="lines" w:linePitch="3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angal">
    <w:altName w:val="苹方-简"/>
    <w:panose1 w:val="00000400000000000000"/>
    <w:charset w:val="00"/>
    <w:family w:val="roman"/>
    <w:pitch w:val="default"/>
    <w:sig w:usb0="00000000" w:usb1="00000000" w:usb2="00000000" w:usb3="00000000" w:csb0="00000001" w:csb1="00000000"/>
  </w:font>
  <w:font w:name="等线">
    <w:altName w:val="汉仪中等线KW"/>
    <w:panose1 w:val="02010600030101010101"/>
    <w:charset w:val="86"/>
    <w:family w:val="auto"/>
    <w:pitch w:val="default"/>
    <w:sig w:usb0="00000000" w:usb1="00000000" w:usb2="00000016" w:usb3="00000000" w:csb0="0004000F"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auto"/>
    <w:pitch w:val="default"/>
    <w:sig w:usb0="E1002AFF" w:usb1="C000605B" w:usb2="00000029" w:usb3="00000000" w:csb0="200101FF" w:csb1="2028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02E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3795"/>
      <w:showingPlcHdr/>
    </w:sdtPr>
    <w:sdtContent>
      <w:p w14:paraId="1F591B3F">
        <w:pPr>
          <w:pStyle w:val="15"/>
        </w:pPr>
        <w:r>
          <w:rPr>
            <w:rFonts w:hint="eastAsia"/>
          </w:rPr>
          <w:t xml:space="preserve">     </w:t>
        </w:r>
      </w:p>
    </w:sdtContent>
  </w:sdt>
  <w:p w14:paraId="3876F576">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F6F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BB892">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F743C">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FF743C">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4C1F">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AD046">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2AD046">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6AC22849">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FF1">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11F2">
    <w:pPr>
      <w:pStyle w:val="16"/>
      <w:pBdr>
        <w:bottom w:val="none" w:color="auto" w:sz="0" w:space="1"/>
      </w:pBd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DED4">
    <w:pPr>
      <w:pStyle w:val="16"/>
      <w:pBdr>
        <w:bottom w:val="none" w:color="auto" w:sz="0" w:space="1"/>
      </w:pBdr>
      <w:ind w:right="-512" w:rightChars="-244"/>
      <w:jc w:val="left"/>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60A7">
    <w:pPr>
      <w:pStyle w:val="16"/>
      <w:pBdr>
        <w:bottom w:val="none" w:color="auto" w:sz="0" w:space="1"/>
      </w:pBdr>
      <w:ind w:right="-512" w:rightChars="-244"/>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7FCD6B"/>
    <w:multiLevelType w:val="singleLevel"/>
    <w:tmpl w:val="E67FCD6B"/>
    <w:lvl w:ilvl="0" w:tentative="0">
      <w:start w:val="1"/>
      <w:numFmt w:val="decimal"/>
      <w:suff w:val="nothing"/>
      <w:lvlText w:val="%1、"/>
      <w:lvlJc w:val="left"/>
    </w:lvl>
  </w:abstractNum>
  <w:abstractNum w:abstractNumId="1">
    <w:nsid w:val="3DFF49BD"/>
    <w:multiLevelType w:val="singleLevel"/>
    <w:tmpl w:val="3DFF49BD"/>
    <w:lvl w:ilvl="0" w:tentative="0">
      <w:start w:val="6"/>
      <w:numFmt w:val="chineseCounting"/>
      <w:suff w:val="nothing"/>
      <w:lvlText w:val="%1、"/>
      <w:lvlJc w:val="left"/>
      <w:rPr>
        <w:rFonts w:hint="eastAsia"/>
      </w:rPr>
    </w:lvl>
  </w:abstractNum>
  <w:abstractNum w:abstractNumId="2">
    <w:nsid w:val="53F3AAAC"/>
    <w:multiLevelType w:val="singleLevel"/>
    <w:tmpl w:val="53F3AAAC"/>
    <w:lvl w:ilvl="0" w:tentative="0">
      <w:start w:val="6"/>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3MTA1NDUyZjA4Nzk5ZjBiNzYwNjVjY2ZhZWU2MmIifQ=="/>
  </w:docVars>
  <w:rsids>
    <w:rsidRoot w:val="00C26BC2"/>
    <w:rsid w:val="00016A63"/>
    <w:rsid w:val="001343AD"/>
    <w:rsid w:val="001E1015"/>
    <w:rsid w:val="002111EB"/>
    <w:rsid w:val="00321323"/>
    <w:rsid w:val="00397832"/>
    <w:rsid w:val="003D4CE7"/>
    <w:rsid w:val="00463D13"/>
    <w:rsid w:val="004C3BAE"/>
    <w:rsid w:val="00523F92"/>
    <w:rsid w:val="00546A38"/>
    <w:rsid w:val="00560F3B"/>
    <w:rsid w:val="00626BE3"/>
    <w:rsid w:val="00680E89"/>
    <w:rsid w:val="007121A1"/>
    <w:rsid w:val="00787C11"/>
    <w:rsid w:val="00801E61"/>
    <w:rsid w:val="00814473"/>
    <w:rsid w:val="00851841"/>
    <w:rsid w:val="008B6B60"/>
    <w:rsid w:val="009316FA"/>
    <w:rsid w:val="0094479D"/>
    <w:rsid w:val="00965D52"/>
    <w:rsid w:val="009C6C44"/>
    <w:rsid w:val="00A560B8"/>
    <w:rsid w:val="00A6271C"/>
    <w:rsid w:val="00B04E1C"/>
    <w:rsid w:val="00B169D6"/>
    <w:rsid w:val="00B235AE"/>
    <w:rsid w:val="00B55F1F"/>
    <w:rsid w:val="00BA3C7B"/>
    <w:rsid w:val="00BE2E29"/>
    <w:rsid w:val="00C26BC2"/>
    <w:rsid w:val="00D40B6F"/>
    <w:rsid w:val="00E04BA7"/>
    <w:rsid w:val="00E22A49"/>
    <w:rsid w:val="00E51F10"/>
    <w:rsid w:val="00E76617"/>
    <w:rsid w:val="00E972B6"/>
    <w:rsid w:val="00EF0248"/>
    <w:rsid w:val="00F75418"/>
    <w:rsid w:val="016F283F"/>
    <w:rsid w:val="01D37380"/>
    <w:rsid w:val="02985DC6"/>
    <w:rsid w:val="03391357"/>
    <w:rsid w:val="03D35307"/>
    <w:rsid w:val="04446205"/>
    <w:rsid w:val="04E2157A"/>
    <w:rsid w:val="04EE7F1F"/>
    <w:rsid w:val="050E0C3E"/>
    <w:rsid w:val="059E7B97"/>
    <w:rsid w:val="060F639F"/>
    <w:rsid w:val="063C49FB"/>
    <w:rsid w:val="06497B03"/>
    <w:rsid w:val="064E6C2D"/>
    <w:rsid w:val="07016D9B"/>
    <w:rsid w:val="07660241"/>
    <w:rsid w:val="081952B3"/>
    <w:rsid w:val="098175B4"/>
    <w:rsid w:val="0A3D79E6"/>
    <w:rsid w:val="0ABE59E3"/>
    <w:rsid w:val="0AEC5C0C"/>
    <w:rsid w:val="0B5C6BAD"/>
    <w:rsid w:val="0BBB7B89"/>
    <w:rsid w:val="0C2C3633"/>
    <w:rsid w:val="0C3C3C66"/>
    <w:rsid w:val="0D202A1E"/>
    <w:rsid w:val="0DBC2166"/>
    <w:rsid w:val="0E9D687C"/>
    <w:rsid w:val="0F744C35"/>
    <w:rsid w:val="106A45B6"/>
    <w:rsid w:val="10DD6D2D"/>
    <w:rsid w:val="110D3206"/>
    <w:rsid w:val="112D6EFE"/>
    <w:rsid w:val="12027A45"/>
    <w:rsid w:val="12AE56E9"/>
    <w:rsid w:val="12B53F9B"/>
    <w:rsid w:val="136E2957"/>
    <w:rsid w:val="13BC5DB8"/>
    <w:rsid w:val="142C45C0"/>
    <w:rsid w:val="14971F9A"/>
    <w:rsid w:val="15296F23"/>
    <w:rsid w:val="160A26DF"/>
    <w:rsid w:val="16954590"/>
    <w:rsid w:val="16D96AA0"/>
    <w:rsid w:val="19671BD7"/>
    <w:rsid w:val="19D45CE4"/>
    <w:rsid w:val="19E54C91"/>
    <w:rsid w:val="19F9E738"/>
    <w:rsid w:val="1A6B0F32"/>
    <w:rsid w:val="1ABF1CEA"/>
    <w:rsid w:val="1B1732F0"/>
    <w:rsid w:val="1B755389"/>
    <w:rsid w:val="1C557FB5"/>
    <w:rsid w:val="1C8F393E"/>
    <w:rsid w:val="1E71779F"/>
    <w:rsid w:val="1EB8717C"/>
    <w:rsid w:val="1EC2624D"/>
    <w:rsid w:val="1F0B19A2"/>
    <w:rsid w:val="1F2F5CF2"/>
    <w:rsid w:val="1F3E441B"/>
    <w:rsid w:val="1F5C044F"/>
    <w:rsid w:val="1F6E421F"/>
    <w:rsid w:val="1F972A6C"/>
    <w:rsid w:val="1FDF87BF"/>
    <w:rsid w:val="212333A6"/>
    <w:rsid w:val="21DC23B8"/>
    <w:rsid w:val="21DE6A8B"/>
    <w:rsid w:val="236478D2"/>
    <w:rsid w:val="2373257F"/>
    <w:rsid w:val="23E71828"/>
    <w:rsid w:val="241412F8"/>
    <w:rsid w:val="24305A06"/>
    <w:rsid w:val="249C4E4A"/>
    <w:rsid w:val="25526963"/>
    <w:rsid w:val="261A696E"/>
    <w:rsid w:val="26620572"/>
    <w:rsid w:val="26DD7622"/>
    <w:rsid w:val="273B2E8D"/>
    <w:rsid w:val="279F4A2E"/>
    <w:rsid w:val="287C56BE"/>
    <w:rsid w:val="28FA113C"/>
    <w:rsid w:val="293164A9"/>
    <w:rsid w:val="29B82726"/>
    <w:rsid w:val="29F0060D"/>
    <w:rsid w:val="2B1C0A93"/>
    <w:rsid w:val="2B6F32B8"/>
    <w:rsid w:val="2B7761AA"/>
    <w:rsid w:val="2B7F799F"/>
    <w:rsid w:val="2BFDEBA3"/>
    <w:rsid w:val="2C182A6F"/>
    <w:rsid w:val="2C4B45E7"/>
    <w:rsid w:val="2D53241D"/>
    <w:rsid w:val="2D9708A4"/>
    <w:rsid w:val="2DBA3A57"/>
    <w:rsid w:val="2EE96D84"/>
    <w:rsid w:val="2EF725B1"/>
    <w:rsid w:val="2F510483"/>
    <w:rsid w:val="2F5F1B7B"/>
    <w:rsid w:val="2F600B4C"/>
    <w:rsid w:val="31D64091"/>
    <w:rsid w:val="31DE3C7B"/>
    <w:rsid w:val="32D27A9B"/>
    <w:rsid w:val="32F10A57"/>
    <w:rsid w:val="33511EDF"/>
    <w:rsid w:val="339D4A97"/>
    <w:rsid w:val="33CB0A00"/>
    <w:rsid w:val="340071A3"/>
    <w:rsid w:val="34572B3B"/>
    <w:rsid w:val="347968DF"/>
    <w:rsid w:val="34FD7B87"/>
    <w:rsid w:val="35831E3A"/>
    <w:rsid w:val="358E506D"/>
    <w:rsid w:val="35942299"/>
    <w:rsid w:val="35EDB3A5"/>
    <w:rsid w:val="360F18B9"/>
    <w:rsid w:val="365E28A7"/>
    <w:rsid w:val="36C73FA8"/>
    <w:rsid w:val="36F75D8C"/>
    <w:rsid w:val="372207DC"/>
    <w:rsid w:val="37CA04F1"/>
    <w:rsid w:val="37F91C46"/>
    <w:rsid w:val="37FA1C90"/>
    <w:rsid w:val="39916AF0"/>
    <w:rsid w:val="39CA1274"/>
    <w:rsid w:val="39D324A8"/>
    <w:rsid w:val="39FE4F4D"/>
    <w:rsid w:val="3B110C3A"/>
    <w:rsid w:val="3B4756B8"/>
    <w:rsid w:val="3B6A7FBA"/>
    <w:rsid w:val="3B8E778B"/>
    <w:rsid w:val="3BE20006"/>
    <w:rsid w:val="3CA6473D"/>
    <w:rsid w:val="3D235CB1"/>
    <w:rsid w:val="3D2CED40"/>
    <w:rsid w:val="3DCC6348"/>
    <w:rsid w:val="3DDD0555"/>
    <w:rsid w:val="3DE609BC"/>
    <w:rsid w:val="3E3F684F"/>
    <w:rsid w:val="3E7F160D"/>
    <w:rsid w:val="3EAE5A4E"/>
    <w:rsid w:val="3EE91312"/>
    <w:rsid w:val="3EEC6CA2"/>
    <w:rsid w:val="3EFF8253"/>
    <w:rsid w:val="3F6F51DD"/>
    <w:rsid w:val="3F8F52D5"/>
    <w:rsid w:val="3FEF82DF"/>
    <w:rsid w:val="4080158C"/>
    <w:rsid w:val="41456B3D"/>
    <w:rsid w:val="4174038F"/>
    <w:rsid w:val="417967E7"/>
    <w:rsid w:val="41A01E0D"/>
    <w:rsid w:val="42D737C5"/>
    <w:rsid w:val="42EA799C"/>
    <w:rsid w:val="43252782"/>
    <w:rsid w:val="436A4694"/>
    <w:rsid w:val="4380739B"/>
    <w:rsid w:val="43917E18"/>
    <w:rsid w:val="43AC6A00"/>
    <w:rsid w:val="453E76D1"/>
    <w:rsid w:val="4541761C"/>
    <w:rsid w:val="45C51FFB"/>
    <w:rsid w:val="45D9EAAE"/>
    <w:rsid w:val="4615589C"/>
    <w:rsid w:val="464949DA"/>
    <w:rsid w:val="464C44CA"/>
    <w:rsid w:val="46595B26"/>
    <w:rsid w:val="466B2BA2"/>
    <w:rsid w:val="46C87FF5"/>
    <w:rsid w:val="479E0D55"/>
    <w:rsid w:val="482448EB"/>
    <w:rsid w:val="48256D81"/>
    <w:rsid w:val="48403496"/>
    <w:rsid w:val="4977360C"/>
    <w:rsid w:val="49C94153"/>
    <w:rsid w:val="4A7A0D20"/>
    <w:rsid w:val="4AFE9301"/>
    <w:rsid w:val="4BC470E1"/>
    <w:rsid w:val="4BDCAFF6"/>
    <w:rsid w:val="4BDF7B68"/>
    <w:rsid w:val="4BF24EAD"/>
    <w:rsid w:val="4C9C7AC9"/>
    <w:rsid w:val="4D4C4D9A"/>
    <w:rsid w:val="4D8B1D7C"/>
    <w:rsid w:val="4E590352"/>
    <w:rsid w:val="4F8E5B72"/>
    <w:rsid w:val="4FD8449C"/>
    <w:rsid w:val="50903205"/>
    <w:rsid w:val="509C604E"/>
    <w:rsid w:val="50A13664"/>
    <w:rsid w:val="50FE4613"/>
    <w:rsid w:val="51092A65"/>
    <w:rsid w:val="511A58F1"/>
    <w:rsid w:val="51E97071"/>
    <w:rsid w:val="521340EE"/>
    <w:rsid w:val="525265DA"/>
    <w:rsid w:val="52DE64AA"/>
    <w:rsid w:val="535F3A8F"/>
    <w:rsid w:val="536538FB"/>
    <w:rsid w:val="54E7A727"/>
    <w:rsid w:val="54F3555A"/>
    <w:rsid w:val="55741E73"/>
    <w:rsid w:val="56596873"/>
    <w:rsid w:val="57990BC1"/>
    <w:rsid w:val="58EF1411"/>
    <w:rsid w:val="596C0CB3"/>
    <w:rsid w:val="59FFD01C"/>
    <w:rsid w:val="5A0A5DD6"/>
    <w:rsid w:val="5AA1498D"/>
    <w:rsid w:val="5AAC6348"/>
    <w:rsid w:val="5B5D0D51"/>
    <w:rsid w:val="5B8E560C"/>
    <w:rsid w:val="5BA9E27B"/>
    <w:rsid w:val="5BE72873"/>
    <w:rsid w:val="5C0351D3"/>
    <w:rsid w:val="5C483CC2"/>
    <w:rsid w:val="5CA5563C"/>
    <w:rsid w:val="5CBF10FA"/>
    <w:rsid w:val="5CEA4D48"/>
    <w:rsid w:val="5D276C9F"/>
    <w:rsid w:val="5DB76275"/>
    <w:rsid w:val="5E02528F"/>
    <w:rsid w:val="5F683CCB"/>
    <w:rsid w:val="5FDDE3F1"/>
    <w:rsid w:val="6083364B"/>
    <w:rsid w:val="61494DA3"/>
    <w:rsid w:val="61785D1C"/>
    <w:rsid w:val="61811608"/>
    <w:rsid w:val="620D0B5A"/>
    <w:rsid w:val="62660BBD"/>
    <w:rsid w:val="629C6F07"/>
    <w:rsid w:val="62BD14FF"/>
    <w:rsid w:val="62EA7FB0"/>
    <w:rsid w:val="63A44570"/>
    <w:rsid w:val="63B709CC"/>
    <w:rsid w:val="63F1024E"/>
    <w:rsid w:val="64591E34"/>
    <w:rsid w:val="647FCA8E"/>
    <w:rsid w:val="64B47E58"/>
    <w:rsid w:val="64C32E5E"/>
    <w:rsid w:val="651838A9"/>
    <w:rsid w:val="6535464F"/>
    <w:rsid w:val="65AB40B3"/>
    <w:rsid w:val="663568D1"/>
    <w:rsid w:val="66CC27F1"/>
    <w:rsid w:val="66F61D60"/>
    <w:rsid w:val="678E0047"/>
    <w:rsid w:val="67DFB0C0"/>
    <w:rsid w:val="67FF9280"/>
    <w:rsid w:val="681C0C44"/>
    <w:rsid w:val="6865349E"/>
    <w:rsid w:val="6A0A1458"/>
    <w:rsid w:val="6A4E7F61"/>
    <w:rsid w:val="6A6652AB"/>
    <w:rsid w:val="6A793230"/>
    <w:rsid w:val="6ACC47B8"/>
    <w:rsid w:val="6ACF10A2"/>
    <w:rsid w:val="6AF06C9C"/>
    <w:rsid w:val="6B861106"/>
    <w:rsid w:val="6BDF375B"/>
    <w:rsid w:val="6C2F7568"/>
    <w:rsid w:val="6DBB315B"/>
    <w:rsid w:val="6E0A1697"/>
    <w:rsid w:val="6E113433"/>
    <w:rsid w:val="6E5F3A6E"/>
    <w:rsid w:val="6E9F8B7B"/>
    <w:rsid w:val="6EE7AA44"/>
    <w:rsid w:val="6F0D704D"/>
    <w:rsid w:val="6F953A54"/>
    <w:rsid w:val="6FED714F"/>
    <w:rsid w:val="700E441B"/>
    <w:rsid w:val="70BB7893"/>
    <w:rsid w:val="70BF4B91"/>
    <w:rsid w:val="70C828DF"/>
    <w:rsid w:val="70F52EE5"/>
    <w:rsid w:val="726C4EFD"/>
    <w:rsid w:val="72E53543"/>
    <w:rsid w:val="7309711B"/>
    <w:rsid w:val="739F520B"/>
    <w:rsid w:val="73DC4F16"/>
    <w:rsid w:val="73E547B6"/>
    <w:rsid w:val="749D3FBF"/>
    <w:rsid w:val="75262126"/>
    <w:rsid w:val="75FF61F1"/>
    <w:rsid w:val="76096D74"/>
    <w:rsid w:val="76775BE4"/>
    <w:rsid w:val="76FEB8F3"/>
    <w:rsid w:val="7759201E"/>
    <w:rsid w:val="77BA1E2B"/>
    <w:rsid w:val="77DE43CC"/>
    <w:rsid w:val="77FD3540"/>
    <w:rsid w:val="7807485A"/>
    <w:rsid w:val="78C95383"/>
    <w:rsid w:val="79210E38"/>
    <w:rsid w:val="799A7E44"/>
    <w:rsid w:val="79AB0A6A"/>
    <w:rsid w:val="79D833A4"/>
    <w:rsid w:val="7A915723"/>
    <w:rsid w:val="7AFF1463"/>
    <w:rsid w:val="7B7910FD"/>
    <w:rsid w:val="7B7A36EE"/>
    <w:rsid w:val="7BAB16E3"/>
    <w:rsid w:val="7CAB4D9F"/>
    <w:rsid w:val="7CFD54FA"/>
    <w:rsid w:val="7CFF2B50"/>
    <w:rsid w:val="7D7F4383"/>
    <w:rsid w:val="7DF52776"/>
    <w:rsid w:val="7DF9CC6D"/>
    <w:rsid w:val="7DFD1228"/>
    <w:rsid w:val="7DFD4B5E"/>
    <w:rsid w:val="7DFFE148"/>
    <w:rsid w:val="7E153D01"/>
    <w:rsid w:val="7E3F795A"/>
    <w:rsid w:val="7F39967B"/>
    <w:rsid w:val="7F4B9140"/>
    <w:rsid w:val="7F7F1239"/>
    <w:rsid w:val="7F9FD565"/>
    <w:rsid w:val="7FA84916"/>
    <w:rsid w:val="7FBEE12C"/>
    <w:rsid w:val="7FD79A82"/>
    <w:rsid w:val="7FDB246C"/>
    <w:rsid w:val="7FDD98BE"/>
    <w:rsid w:val="7FDFCA38"/>
    <w:rsid w:val="7FF25150"/>
    <w:rsid w:val="7FFD1DB6"/>
    <w:rsid w:val="7FFDADA8"/>
    <w:rsid w:val="7FFFD4C3"/>
    <w:rsid w:val="8CDFA49A"/>
    <w:rsid w:val="9B7571C6"/>
    <w:rsid w:val="A8FBA496"/>
    <w:rsid w:val="ABB70892"/>
    <w:rsid w:val="AD578C81"/>
    <w:rsid w:val="AE765CA6"/>
    <w:rsid w:val="AFBF102F"/>
    <w:rsid w:val="AFD7DB97"/>
    <w:rsid w:val="AFDD4097"/>
    <w:rsid w:val="B77DEAA4"/>
    <w:rsid w:val="B7EBAE52"/>
    <w:rsid w:val="BA7B3A74"/>
    <w:rsid w:val="BD6F8F14"/>
    <w:rsid w:val="BDCFBB48"/>
    <w:rsid w:val="BE747A4E"/>
    <w:rsid w:val="BEBF1D39"/>
    <w:rsid w:val="BF7FA6C4"/>
    <w:rsid w:val="C6FDB5A5"/>
    <w:rsid w:val="C76DA2E2"/>
    <w:rsid w:val="CEEB3543"/>
    <w:rsid w:val="CF7A9DFB"/>
    <w:rsid w:val="CFB5840A"/>
    <w:rsid w:val="D67F3784"/>
    <w:rsid w:val="DAEFA0F6"/>
    <w:rsid w:val="E2D7ACDD"/>
    <w:rsid w:val="E7DE3C7F"/>
    <w:rsid w:val="EB226022"/>
    <w:rsid w:val="ECF39E87"/>
    <w:rsid w:val="EF7D5269"/>
    <w:rsid w:val="EFD38FB5"/>
    <w:rsid w:val="EFD9D2C1"/>
    <w:rsid w:val="F2E00B8A"/>
    <w:rsid w:val="F5FFB216"/>
    <w:rsid w:val="F61DD9F6"/>
    <w:rsid w:val="F77E2283"/>
    <w:rsid w:val="F7CF5CD5"/>
    <w:rsid w:val="F7FA9724"/>
    <w:rsid w:val="F9FB55EE"/>
    <w:rsid w:val="FB0BBA90"/>
    <w:rsid w:val="FB7BF5C6"/>
    <w:rsid w:val="FBFB157D"/>
    <w:rsid w:val="FCBEE480"/>
    <w:rsid w:val="FCFE56CE"/>
    <w:rsid w:val="FD6F69CC"/>
    <w:rsid w:val="FDD7D06C"/>
    <w:rsid w:val="FE7C30A8"/>
    <w:rsid w:val="FEEFC73A"/>
    <w:rsid w:val="FF4E1758"/>
    <w:rsid w:val="FF6FDC37"/>
    <w:rsid w:val="FF7DA6CF"/>
    <w:rsid w:val="FFF98168"/>
    <w:rsid w:val="FFF9DEE8"/>
    <w:rsid w:val="FFFBE4E9"/>
    <w:rsid w:val="FFFEE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0"/>
    <w:autoRedefine/>
    <w:qFormat/>
    <w:uiPriority w:val="0"/>
    <w:pPr>
      <w:keepNext/>
      <w:keepLines/>
      <w:spacing w:before="340" w:after="330" w:line="576" w:lineRule="auto"/>
      <w:outlineLvl w:val="0"/>
    </w:pPr>
    <w:rPr>
      <w:b/>
      <w:bCs/>
      <w:kern w:val="44"/>
      <w:sz w:val="44"/>
      <w:szCs w:val="44"/>
    </w:rPr>
  </w:style>
  <w:style w:type="paragraph" w:styleId="4">
    <w:name w:val="heading 2"/>
    <w:basedOn w:val="3"/>
    <w:next w:val="1"/>
    <w:qFormat/>
    <w:uiPriority w:val="9"/>
    <w:pPr>
      <w:spacing w:before="60" w:after="60"/>
      <w:outlineLvl w:val="1"/>
    </w:pPr>
    <w:rPr>
      <w:rFonts w:ascii="宋体" w:hAnsi="Arial" w:cs="宋体"/>
      <w:sz w:val="28"/>
      <w:szCs w:val="28"/>
    </w:rPr>
  </w:style>
  <w:style w:type="paragraph" w:styleId="5">
    <w:name w:val="heading 3"/>
    <w:basedOn w:val="1"/>
    <w:next w:val="1"/>
    <w:autoRedefine/>
    <w:qFormat/>
    <w:uiPriority w:val="0"/>
    <w:pPr>
      <w:keepNext/>
      <w:keepLines/>
      <w:spacing w:before="120" w:after="120"/>
      <w:ind w:firstLine="480"/>
      <w:outlineLvl w:val="2"/>
    </w:pPr>
    <w:rPr>
      <w:sz w:val="24"/>
      <w:szCs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unhideWhenUsed/>
    <w:qFormat/>
    <w:uiPriority w:val="39"/>
    <w:pPr>
      <w:spacing w:line="400" w:lineRule="exact"/>
      <w:jc w:val="left"/>
    </w:pPr>
    <w:rPr>
      <w:rFonts w:ascii="宋体" w:hAnsi="宋体" w:cs="宋体"/>
      <w:b/>
      <w:bCs/>
      <w:caps/>
      <w:color w:val="000000"/>
    </w:rPr>
  </w:style>
  <w:style w:type="paragraph" w:styleId="6">
    <w:name w:val="caption"/>
    <w:basedOn w:val="1"/>
    <w:next w:val="1"/>
    <w:autoRedefine/>
    <w:qFormat/>
    <w:uiPriority w:val="35"/>
    <w:pPr>
      <w:widowControl/>
      <w:ind w:firstLine="360"/>
    </w:pPr>
    <w:rPr>
      <w:b/>
      <w:bCs/>
      <w:kern w:val="0"/>
      <w:sz w:val="18"/>
      <w:szCs w:val="18"/>
      <w:lang w:eastAsia="en-US" w:bidi="en-US"/>
    </w:rPr>
  </w:style>
  <w:style w:type="paragraph" w:styleId="7">
    <w:name w:val="annotation text"/>
    <w:basedOn w:val="1"/>
    <w:qFormat/>
    <w:uiPriority w:val="0"/>
    <w:pPr>
      <w:jc w:val="left"/>
    </w:pPr>
  </w:style>
  <w:style w:type="paragraph" w:styleId="8">
    <w:name w:val="Body Text"/>
    <w:basedOn w:val="1"/>
    <w:next w:val="9"/>
    <w:autoRedefine/>
    <w:qFormat/>
    <w:uiPriority w:val="0"/>
    <w:pPr>
      <w:spacing w:line="276" w:lineRule="auto"/>
      <w:ind w:firstLine="474" w:firstLineChars="200"/>
    </w:pPr>
    <w:rPr>
      <w:rFonts w:cs="Mangal" w:asciiTheme="minorEastAsia" w:hAnsiTheme="minorEastAsia" w:eastAsiaTheme="minorEastAsia"/>
      <w:b/>
      <w:spacing w:val="-2"/>
      <w:sz w:val="24"/>
      <w:szCs w:val="24"/>
      <w:lang w:eastAsia="hi-IN" w:bidi="hi-IN"/>
    </w:rPr>
  </w:style>
  <w:style w:type="paragraph" w:customStyle="1" w:styleId="9">
    <w:name w:val="Default"/>
    <w:autoRedefine/>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styleId="10">
    <w:name w:val="Body Text Indent"/>
    <w:basedOn w:val="1"/>
    <w:next w:val="11"/>
    <w:autoRedefine/>
    <w:unhideWhenUsed/>
    <w:qFormat/>
    <w:uiPriority w:val="99"/>
    <w:pPr>
      <w:spacing w:after="120"/>
      <w:ind w:left="420" w:leftChars="200"/>
    </w:pPr>
  </w:style>
  <w:style w:type="paragraph" w:styleId="11">
    <w:name w:val="envelope return"/>
    <w:basedOn w:val="1"/>
    <w:autoRedefine/>
    <w:qFormat/>
    <w:uiPriority w:val="0"/>
    <w:pPr>
      <w:snapToGrid w:val="0"/>
    </w:pPr>
    <w:rPr>
      <w:rFonts w:ascii="Arial" w:hAnsi="Arial"/>
    </w:rPr>
  </w:style>
  <w:style w:type="paragraph" w:styleId="12">
    <w:name w:val="toc 3"/>
    <w:basedOn w:val="1"/>
    <w:next w:val="1"/>
    <w:autoRedefine/>
    <w:qFormat/>
    <w:uiPriority w:val="0"/>
    <w:pPr>
      <w:ind w:left="840" w:leftChars="400"/>
    </w:pPr>
  </w:style>
  <w:style w:type="paragraph" w:styleId="13">
    <w:name w:val="Plain Text"/>
    <w:basedOn w:val="1"/>
    <w:next w:val="14"/>
    <w:autoRedefine/>
    <w:unhideWhenUsed/>
    <w:qFormat/>
    <w:uiPriority w:val="0"/>
    <w:pPr>
      <w:spacing w:line="276" w:lineRule="auto"/>
      <w:ind w:firstLine="470" w:firstLineChars="196"/>
      <w:jc w:val="center"/>
    </w:pPr>
    <w:rPr>
      <w:rFonts w:cs="宋体" w:asciiTheme="minorEastAsia" w:hAnsiTheme="minorEastAsia" w:eastAsiaTheme="minorEastAsia"/>
      <w:sz w:val="24"/>
      <w:szCs w:val="24"/>
    </w:rPr>
  </w:style>
  <w:style w:type="paragraph" w:styleId="14">
    <w:name w:val="index 9"/>
    <w:basedOn w:val="1"/>
    <w:next w:val="1"/>
    <w:autoRedefine/>
    <w:qFormat/>
    <w:uiPriority w:val="99"/>
    <w:pPr>
      <w:ind w:left="3360"/>
    </w:pPr>
    <w:rPr>
      <w:rFonts w:cs="等线"/>
    </w:rPr>
  </w:style>
  <w:style w:type="paragraph" w:styleId="15">
    <w:name w:val="footer"/>
    <w:basedOn w:val="1"/>
    <w:unhideWhenUsed/>
    <w:qFormat/>
    <w:uiPriority w:val="99"/>
    <w:pPr>
      <w:snapToGrid w:val="0"/>
      <w:jc w:val="center"/>
    </w:pPr>
    <w:rPr>
      <w:sz w:val="18"/>
      <w:szCs w:val="18"/>
    </w:rPr>
  </w:style>
  <w:style w:type="paragraph" w:styleId="16">
    <w:name w:val="header"/>
    <w:basedOn w:val="1"/>
    <w:autoRedefine/>
    <w:unhideWhenUsed/>
    <w:qFormat/>
    <w:uiPriority w:val="99"/>
    <w:pPr>
      <w:pBdr>
        <w:bottom w:val="single" w:color="auto" w:sz="6" w:space="1"/>
      </w:pBdr>
      <w:snapToGrid w:val="0"/>
      <w:jc w:val="center"/>
    </w:pPr>
    <w:rPr>
      <w:sz w:val="18"/>
      <w:szCs w:val="18"/>
    </w:rPr>
  </w:style>
  <w:style w:type="paragraph" w:styleId="17">
    <w:name w:val="toc 2"/>
    <w:basedOn w:val="1"/>
    <w:next w:val="1"/>
    <w:autoRedefine/>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20">
    <w:name w:val="Body Text First Indent"/>
    <w:basedOn w:val="8"/>
    <w:next w:val="21"/>
    <w:autoRedefine/>
    <w:unhideWhenUsed/>
    <w:qFormat/>
    <w:uiPriority w:val="99"/>
    <w:pPr>
      <w:ind w:firstLine="420" w:firstLineChars="100"/>
    </w:pPr>
  </w:style>
  <w:style w:type="paragraph" w:styleId="21">
    <w:name w:val="Body Text First Indent 2"/>
    <w:basedOn w:val="10"/>
    <w:next w:val="20"/>
    <w:autoRedefine/>
    <w:qFormat/>
    <w:uiPriority w:val="0"/>
    <w:pPr>
      <w:widowControl/>
      <w:adjustRightInd w:val="0"/>
      <w:snapToGrid w:val="0"/>
      <w:ind w:firstLine="420" w:firstLineChars="200"/>
      <w:jc w:val="left"/>
    </w:pPr>
    <w:rPr>
      <w:rFonts w:ascii="Tahoma" w:hAnsi="Tahoma" w:eastAsia="微软雅黑"/>
      <w:kern w:val="0"/>
      <w:sz w:val="22"/>
      <w:szCs w:val="22"/>
    </w:rPr>
  </w:style>
  <w:style w:type="character" w:styleId="24">
    <w:name w:val="Hyperlink"/>
    <w:basedOn w:val="23"/>
    <w:autoRedefine/>
    <w:unhideWhenUsed/>
    <w:qFormat/>
    <w:uiPriority w:val="99"/>
    <w:rPr>
      <w:color w:val="000000"/>
      <w:sz w:val="16"/>
      <w:szCs w:val="16"/>
      <w:u w:val="none"/>
    </w:rPr>
  </w:style>
  <w:style w:type="paragraph" w:customStyle="1" w:styleId="25">
    <w:name w:val="无间隔1"/>
    <w:basedOn w:val="1"/>
    <w:autoRedefine/>
    <w:qFormat/>
    <w:uiPriority w:val="0"/>
    <w:pPr>
      <w:spacing w:line="400" w:lineRule="exact"/>
    </w:pPr>
    <w:rPr>
      <w:sz w:val="24"/>
    </w:rPr>
  </w:style>
  <w:style w:type="paragraph" w:customStyle="1" w:styleId="26">
    <w:name w:val="_Style 2"/>
    <w:basedOn w:val="1"/>
    <w:autoRedefine/>
    <w:qFormat/>
    <w:uiPriority w:val="0"/>
    <w:rPr>
      <w:sz w:val="24"/>
    </w:rPr>
  </w:style>
  <w:style w:type="paragraph" w:customStyle="1" w:styleId="27">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rPr>
  </w:style>
  <w:style w:type="paragraph" w:customStyle="1" w:styleId="28">
    <w:name w:val="_Style 43"/>
    <w:qFormat/>
    <w:uiPriority w:val="0"/>
    <w:pPr>
      <w:jc w:val="center"/>
    </w:pPr>
    <w:rPr>
      <w:rFonts w:ascii="Times New Roman" w:hAnsi="Times New Roman" w:eastAsia="宋体" w:cs="Times New Roman"/>
      <w:b/>
      <w:sz w:val="32"/>
      <w:lang w:val="en-US" w:eastAsia="zh-CN" w:bidi="ar-SA"/>
    </w:rPr>
  </w:style>
  <w:style w:type="paragraph" w:customStyle="1" w:styleId="29">
    <w:name w:val="样式 标题 3 + (中文) 黑体 小四 非加粗 段前: 7.8 磅 段后: 0 磅 行距: 固定值 20 磅"/>
    <w:basedOn w:val="5"/>
    <w:autoRedefine/>
    <w:qFormat/>
    <w:uiPriority w:val="0"/>
    <w:pPr>
      <w:spacing w:before="0" w:after="0" w:line="400" w:lineRule="exact"/>
      <w:ind w:firstLine="0"/>
    </w:pPr>
    <w:rPr>
      <w:rFonts w:eastAsia="黑体" w:cs="宋体"/>
    </w:rPr>
  </w:style>
  <w:style w:type="character" w:customStyle="1" w:styleId="30">
    <w:name w:val="标题 1 字符"/>
    <w:basedOn w:val="23"/>
    <w:link w:val="3"/>
    <w:autoRedefine/>
    <w:qFormat/>
    <w:uiPriority w:val="0"/>
    <w:rPr>
      <w:b/>
      <w:bCs/>
      <w:kern w:val="44"/>
      <w:sz w:val="44"/>
      <w:szCs w:val="44"/>
    </w:rPr>
  </w:style>
  <w:style w:type="character" w:customStyle="1" w:styleId="31">
    <w:name w:val="未处理的提及1"/>
    <w:basedOn w:val="23"/>
    <w:autoRedefine/>
    <w:semiHidden/>
    <w:unhideWhenUsed/>
    <w:qFormat/>
    <w:uiPriority w:val="99"/>
    <w:rPr>
      <w:color w:val="605E5C"/>
      <w:shd w:val="clear" w:color="auto" w:fill="E1DFDD"/>
    </w:rPr>
  </w:style>
  <w:style w:type="paragraph" w:customStyle="1" w:styleId="32">
    <w:name w:val="Table Text"/>
    <w:basedOn w:val="1"/>
    <w:semiHidden/>
    <w:qFormat/>
    <w:uiPriority w:val="0"/>
    <w:rPr>
      <w:rFonts w:ascii="宋体" w:hAnsi="宋体" w:cs="宋体"/>
      <w:lang w:eastAsia="en-US"/>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正文"/>
    <w:basedOn w:val="1"/>
    <w:next w:val="1"/>
    <w:autoRedefine/>
    <w:qFormat/>
    <w:uiPriority w:val="0"/>
    <w:pPr>
      <w:widowControl/>
      <w:jc w:val="center"/>
    </w:pPr>
    <w:rPr>
      <w:rFonts w:ascii="宋体" w:hAnsi="宋体"/>
    </w:rPr>
  </w:style>
  <w:style w:type="paragraph" w:customStyle="1" w:styleId="35">
    <w:name w:val="Revision"/>
    <w:hidden/>
    <w:unhideWhenUsed/>
    <w:qFormat/>
    <w:uiPriority w:val="99"/>
    <w:rPr>
      <w:rFonts w:ascii="Times New Roman" w:hAnsi="Times New Roman" w:eastAsia="宋体" w:cs="Times New Roman"/>
      <w:kern w:val="2"/>
      <w:sz w:val="21"/>
      <w:szCs w:val="21"/>
      <w:lang w:val="en-US" w:eastAsia="zh-CN" w:bidi="ar-SA"/>
    </w:rPr>
  </w:style>
  <w:style w:type="character" w:customStyle="1" w:styleId="36">
    <w:name w:val="font51"/>
    <w:basedOn w:val="23"/>
    <w:qFormat/>
    <w:uiPriority w:val="0"/>
    <w:rPr>
      <w:rFonts w:hint="eastAsia" w:ascii="仿宋" w:hAnsi="仿宋" w:eastAsia="仿宋" w:cs="仿宋"/>
      <w:color w:val="000000"/>
      <w:sz w:val="24"/>
      <w:szCs w:val="24"/>
      <w:u w:val="none"/>
    </w:rPr>
  </w:style>
  <w:style w:type="character" w:customStyle="1" w:styleId="37">
    <w:name w:val="font91"/>
    <w:basedOn w:val="23"/>
    <w:qFormat/>
    <w:uiPriority w:val="0"/>
    <w:rPr>
      <w:rFonts w:ascii="华文仿宋" w:hAnsi="华文仿宋" w:eastAsia="华文仿宋" w:cs="华文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5684</Words>
  <Characters>6615</Characters>
  <Lines>1744</Lines>
  <Paragraphs>1542</Paragraphs>
  <TotalTime>5</TotalTime>
  <ScaleCrop>false</ScaleCrop>
  <LinksUpToDate>false</LinksUpToDate>
  <CharactersWithSpaces>6719</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2025-10-24T01:07:00Z</dcterms:created>
  <dc:creator>52837</dc:creator>
  <cp:lastModifiedBy>羋安</cp:lastModifiedBy>
  <dcterms:modified xsi:type="dcterms:W3CDTF">2025-11-24T11:48:23Z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KSOTemplateDocerSaveRecord">
    <vt:lpwstr>eyJoZGlkIjoiNmY3Y2ZjZTdiZDg1NGVhOGRjY2Q4MWFmZDRiOTRjYzciLCJ1c2VySWQiOiIyMzQwNDExMTMifQ==</vt:lpwstr>
  </property>
  <property fmtid="{D5CDD505-2E9C-101B-9397-08002B2CF9AE}" pid="4" name="ICV">
    <vt:lpwstr>44DDAF281568A3C177861969D62B88B0_43</vt:lpwstr>
  </property>
</Properties>
</file>