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0DA3F">
      <w:pPr>
        <w:spacing w:after="0" w:line="360" w:lineRule="auto"/>
        <w:jc w:val="center"/>
        <w:rPr>
          <w:rFonts w:hint="eastAsia" w:ascii="仿宋" w:hAnsi="仿宋" w:eastAsia="仿宋" w:cs="仿宋"/>
          <w:b/>
          <w:bCs/>
          <w:color w:val="000000" w:themeColor="text1"/>
          <w:sz w:val="40"/>
          <w:szCs w:val="40"/>
          <w14:textFill>
            <w14:solidFill>
              <w14:schemeClr w14:val="tx1"/>
            </w14:solidFill>
          </w14:textFill>
        </w:rPr>
      </w:pPr>
    </w:p>
    <w:p w14:paraId="4B7DDA4E">
      <w:pPr>
        <w:spacing w:after="0" w:line="360" w:lineRule="auto"/>
        <w:jc w:val="center"/>
        <w:rPr>
          <w:rFonts w:hint="eastAsia" w:ascii="仿宋" w:hAnsi="仿宋" w:eastAsia="仿宋" w:cs="仿宋"/>
          <w:snapToGrid w:val="0"/>
          <w:color w:val="000000" w:themeColor="text1"/>
          <w:spacing w:val="-1"/>
          <w:sz w:val="30"/>
          <w:szCs w:val="30"/>
          <w:lang w:eastAsia="zh-CN"/>
          <w14:textFill>
            <w14:solidFill>
              <w14:schemeClr w14:val="tx1"/>
            </w14:solidFill>
          </w14:textFill>
        </w:rPr>
      </w:pPr>
      <w:r>
        <w:rPr>
          <w:rFonts w:hint="eastAsia" w:ascii="仿宋" w:hAnsi="仿宋" w:eastAsia="仿宋" w:cs="仿宋"/>
          <w:b/>
          <w:bCs/>
          <w:snapToGrid w:val="0"/>
          <w:color w:val="000000" w:themeColor="text1"/>
          <w:spacing w:val="-1"/>
          <w:sz w:val="44"/>
          <w:szCs w:val="44"/>
          <w:lang w:eastAsia="zh-CN"/>
          <w14:textFill>
            <w14:solidFill>
              <w14:schemeClr w14:val="tx1"/>
            </w14:solidFill>
          </w14:textFill>
        </w:rPr>
        <w:t>伊川县高山镇人民政府伊川县高山镇豫西中药材集散中心建设设计项目</w:t>
      </w:r>
    </w:p>
    <w:p w14:paraId="1378D7B0">
      <w:pPr>
        <w:rPr>
          <w:color w:val="000000" w:themeColor="text1"/>
          <w:sz w:val="10"/>
          <w:szCs w:val="10"/>
          <w14:textFill>
            <w14:solidFill>
              <w14:schemeClr w14:val="tx1"/>
            </w14:solidFill>
          </w14:textFill>
        </w:rPr>
      </w:pPr>
    </w:p>
    <w:p w14:paraId="659C8BA4">
      <w:pPr>
        <w:tabs>
          <w:tab w:val="center" w:pos="4379"/>
        </w:tabs>
        <w:spacing w:after="0" w:line="360" w:lineRule="auto"/>
        <w:jc w:val="center"/>
        <w:rPr>
          <w:rFonts w:hint="eastAsia" w:ascii="仿宋" w:hAnsi="仿宋" w:eastAsia="仿宋" w:cs="仿宋"/>
          <w:b/>
          <w:bCs/>
          <w:color w:val="000000" w:themeColor="text1"/>
          <w:sz w:val="72"/>
          <w:szCs w:val="72"/>
          <w14:textFill>
            <w14:solidFill>
              <w14:schemeClr w14:val="tx1"/>
            </w14:solidFill>
          </w14:textFill>
        </w:rPr>
      </w:pPr>
      <w:r>
        <w:rPr>
          <w:rFonts w:hint="eastAsia" w:ascii="仿宋" w:hAnsi="仿宋" w:eastAsia="仿宋" w:cs="仿宋"/>
          <w:b/>
          <w:bCs/>
          <w:color w:val="000000" w:themeColor="text1"/>
          <w:sz w:val="72"/>
          <w:szCs w:val="72"/>
          <w14:textFill>
            <w14:solidFill>
              <w14:schemeClr w14:val="tx1"/>
            </w14:solidFill>
          </w14:textFill>
        </w:rPr>
        <w:t>招标文件</w:t>
      </w:r>
    </w:p>
    <w:p w14:paraId="7A0D8548">
      <w:pPr>
        <w:spacing w:after="0" w:line="360" w:lineRule="auto"/>
        <w:jc w:val="center"/>
        <w:rPr>
          <w:rFonts w:hint="eastAsia" w:ascii="仿宋" w:hAnsi="仿宋" w:eastAsia="仿宋" w:cs="仿宋"/>
          <w:color w:val="000000" w:themeColor="text1"/>
          <w:sz w:val="28"/>
          <w:szCs w:val="24"/>
          <w:highlight w:val="none"/>
          <w:lang w:eastAsia="zh-CN"/>
          <w14:textFill>
            <w14:solidFill>
              <w14:schemeClr w14:val="tx1"/>
            </w14:solidFill>
          </w14:textFill>
        </w:rPr>
      </w:pPr>
      <w:r>
        <w:rPr>
          <w:rFonts w:hint="eastAsia" w:ascii="仿宋" w:hAnsi="仿宋" w:eastAsia="仿宋" w:cs="仿宋"/>
          <w:color w:val="000000" w:themeColor="text1"/>
          <w:sz w:val="28"/>
          <w:szCs w:val="24"/>
          <w:highlight w:val="none"/>
          <w14:textFill>
            <w14:solidFill>
              <w14:schemeClr w14:val="tx1"/>
            </w14:solidFill>
          </w14:textFill>
        </w:rPr>
        <w:t>招标编号：伊建招备（2024）37号</w:t>
      </w:r>
    </w:p>
    <w:p w14:paraId="73457ADE">
      <w:pPr>
        <w:pStyle w:val="9"/>
        <w:jc w:val="center"/>
        <w:rPr>
          <w:rFonts w:hint="eastAsia" w:ascii="仿宋" w:hAnsi="仿宋" w:eastAsia="仿宋" w:cs="仿宋"/>
          <w:color w:val="000000" w:themeColor="text1"/>
          <w:sz w:val="28"/>
          <w:szCs w:val="24"/>
          <w:highlight w:val="none"/>
          <w:lang w:eastAsia="zh-CN"/>
          <w14:textFill>
            <w14:solidFill>
              <w14:schemeClr w14:val="tx1"/>
            </w14:solidFill>
          </w14:textFill>
        </w:rPr>
      </w:pPr>
      <w:r>
        <w:rPr>
          <w:rFonts w:hint="eastAsia" w:ascii="仿宋" w:hAnsi="仿宋" w:eastAsia="仿宋" w:cs="仿宋"/>
          <w:color w:val="000000" w:themeColor="text1"/>
          <w:sz w:val="28"/>
          <w:szCs w:val="24"/>
          <w:highlight w:val="none"/>
          <w14:textFill>
            <w14:solidFill>
              <w14:schemeClr w14:val="tx1"/>
            </w14:solidFill>
          </w14:textFill>
        </w:rPr>
        <w:t>项目编号：</w:t>
      </w:r>
      <w:r>
        <w:rPr>
          <w:rFonts w:hint="eastAsia" w:ascii="仿宋" w:hAnsi="仿宋" w:eastAsia="仿宋" w:cs="仿宋"/>
          <w:color w:val="000000" w:themeColor="text1"/>
          <w:sz w:val="28"/>
          <w:szCs w:val="24"/>
          <w:highlight w:val="none"/>
          <w:lang w:eastAsia="zh-CN"/>
          <w14:textFill>
            <w14:solidFill>
              <w14:schemeClr w14:val="tx1"/>
            </w14:solidFill>
          </w14:textFill>
        </w:rPr>
        <w:t>伊川工服招标新(2024)0003号</w:t>
      </w:r>
    </w:p>
    <w:p w14:paraId="758DCBDB">
      <w:pPr>
        <w:pStyle w:val="9"/>
        <w:jc w:val="center"/>
        <w:rPr>
          <w:rFonts w:hint="default" w:ascii="仿宋" w:hAnsi="仿宋" w:eastAsia="仿宋" w:cs="仿宋"/>
          <w:color w:val="000000" w:themeColor="text1"/>
          <w:sz w:val="28"/>
          <w:szCs w:val="24"/>
          <w:highlight w:val="none"/>
          <w:lang w:val="en-US" w:eastAsia="zh-CN"/>
          <w14:textFill>
            <w14:solidFill>
              <w14:schemeClr w14:val="tx1"/>
            </w14:solidFill>
          </w14:textFill>
        </w:rPr>
      </w:pPr>
      <w:r>
        <w:rPr>
          <w:rFonts w:hint="eastAsia" w:ascii="仿宋" w:hAnsi="仿宋" w:eastAsia="仿宋" w:cs="仿宋"/>
          <w:color w:val="000000" w:themeColor="text1"/>
          <w:sz w:val="28"/>
          <w:szCs w:val="24"/>
          <w:highlight w:val="none"/>
          <w:lang w:eastAsia="zh-CN"/>
          <w14:textFill>
            <w14:solidFill>
              <w14:schemeClr w14:val="tx1"/>
            </w14:solidFill>
          </w14:textFill>
        </w:rPr>
        <w:t xml:space="preserve">政府采购备案采购编号：伊川政采公开-2024-116 </w:t>
      </w:r>
    </w:p>
    <w:p w14:paraId="595FEDDD">
      <w:pPr>
        <w:jc w:val="center"/>
        <w:rPr>
          <w:rFonts w:hint="eastAsia" w:ascii="仿宋" w:hAnsi="仿宋" w:eastAsia="仿宋" w:cs="仿宋"/>
          <w:color w:val="000000" w:themeColor="text1"/>
          <w:sz w:val="28"/>
          <w:szCs w:val="24"/>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1245235</wp:posOffset>
            </wp:positionH>
            <wp:positionV relativeFrom="paragraph">
              <wp:posOffset>329565</wp:posOffset>
            </wp:positionV>
            <wp:extent cx="3007995" cy="2708910"/>
            <wp:effectExtent l="0" t="0" r="1905" b="15240"/>
            <wp:wrapNone/>
            <wp:docPr id="4" name="图片 3" descr="1d509d64761c462e27c29b0159c6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d509d64761c462e27c29b0159c6f9e"/>
                    <pic:cNvPicPr>
                      <a:picLocks noChangeAspect="1"/>
                    </pic:cNvPicPr>
                  </pic:nvPicPr>
                  <pic:blipFill>
                    <a:blip r:embed="rId12"/>
                    <a:stretch>
                      <a:fillRect/>
                    </a:stretch>
                  </pic:blipFill>
                  <pic:spPr>
                    <a:xfrm>
                      <a:off x="0" y="0"/>
                      <a:ext cx="3007995" cy="2708910"/>
                    </a:xfrm>
                    <a:prstGeom prst="rect">
                      <a:avLst/>
                    </a:prstGeom>
                    <a:noFill/>
                    <a:ln>
                      <a:noFill/>
                    </a:ln>
                  </pic:spPr>
                </pic:pic>
              </a:graphicData>
            </a:graphic>
          </wp:anchor>
        </w:drawing>
      </w:r>
      <w:r>
        <w:rPr>
          <w:rFonts w:hint="eastAsia" w:ascii="仿宋" w:hAnsi="仿宋" w:eastAsia="仿宋" w:cs="仿宋"/>
          <w:color w:val="000000" w:themeColor="text1"/>
          <w:sz w:val="28"/>
          <w:szCs w:val="24"/>
          <w14:textFill>
            <w14:solidFill>
              <w14:schemeClr w14:val="tx1"/>
            </w14:solidFill>
          </w14:textFill>
        </w:rPr>
        <w:t>项目代码：</w:t>
      </w:r>
      <w:r>
        <w:rPr>
          <w:rFonts w:hint="eastAsia" w:ascii="仿宋" w:hAnsi="仿宋" w:eastAsia="仿宋" w:cs="仿宋"/>
          <w:color w:val="000000" w:themeColor="text1"/>
          <w:sz w:val="28"/>
          <w:szCs w:val="24"/>
          <w:lang w:eastAsia="zh-CN"/>
          <w14:textFill>
            <w14:solidFill>
              <w14:schemeClr w14:val="tx1"/>
            </w14:solidFill>
          </w14:textFill>
        </w:rPr>
        <w:t>2303-410329-04-01-683295</w:t>
      </w:r>
    </w:p>
    <w:p w14:paraId="0E5559B5">
      <w:pPr>
        <w:pStyle w:val="41"/>
        <w:adjustRightInd/>
        <w:spacing w:line="360" w:lineRule="auto"/>
        <w:jc w:val="center"/>
        <w:rPr>
          <w:rFonts w:hint="eastAsia" w:ascii="仿宋" w:hAnsi="仿宋" w:eastAsia="仿宋" w:cs="仿宋"/>
          <w:color w:val="000000" w:themeColor="text1"/>
          <w14:textFill>
            <w14:solidFill>
              <w14:schemeClr w14:val="tx1"/>
            </w14:solidFill>
          </w14:textFill>
        </w:rPr>
      </w:pPr>
    </w:p>
    <w:p w14:paraId="631EB2CF">
      <w:pPr>
        <w:rPr>
          <w:rFonts w:hint="eastAsia" w:ascii="仿宋" w:hAnsi="仿宋" w:eastAsia="仿宋" w:cs="仿宋"/>
          <w:color w:val="000000" w:themeColor="text1"/>
          <w14:textFill>
            <w14:solidFill>
              <w14:schemeClr w14:val="tx1"/>
            </w14:solidFill>
          </w14:textFill>
        </w:rPr>
      </w:pPr>
    </w:p>
    <w:p w14:paraId="03C1035C">
      <w:pPr>
        <w:pStyle w:val="9"/>
        <w:rPr>
          <w:rFonts w:hint="eastAsia" w:ascii="仿宋" w:hAnsi="仿宋" w:eastAsia="仿宋" w:cs="仿宋"/>
          <w:color w:val="000000" w:themeColor="text1"/>
          <w14:textFill>
            <w14:solidFill>
              <w14:schemeClr w14:val="tx1"/>
            </w14:solidFill>
          </w14:textFill>
        </w:rPr>
      </w:pPr>
    </w:p>
    <w:p w14:paraId="16261CF0">
      <w:pPr>
        <w:rPr>
          <w:rFonts w:hint="eastAsia" w:ascii="仿宋" w:hAnsi="仿宋" w:eastAsia="仿宋" w:cs="仿宋"/>
          <w:color w:val="000000" w:themeColor="text1"/>
          <w14:textFill>
            <w14:solidFill>
              <w14:schemeClr w14:val="tx1"/>
            </w14:solidFill>
          </w14:textFill>
        </w:rPr>
      </w:pPr>
    </w:p>
    <w:p w14:paraId="7582B3AA">
      <w:pPr>
        <w:pStyle w:val="9"/>
        <w:rPr>
          <w:rFonts w:hint="eastAsia" w:ascii="仿宋" w:hAnsi="仿宋" w:eastAsia="仿宋" w:cs="仿宋"/>
          <w:color w:val="000000" w:themeColor="text1"/>
          <w14:textFill>
            <w14:solidFill>
              <w14:schemeClr w14:val="tx1"/>
            </w14:solidFill>
          </w14:textFill>
        </w:rPr>
      </w:pPr>
    </w:p>
    <w:p w14:paraId="1B0F96A6">
      <w:pPr>
        <w:rPr>
          <w:rFonts w:hint="eastAsia" w:ascii="仿宋" w:hAnsi="仿宋" w:eastAsia="仿宋" w:cs="仿宋"/>
          <w:color w:val="000000" w:themeColor="text1"/>
          <w14:textFill>
            <w14:solidFill>
              <w14:schemeClr w14:val="tx1"/>
            </w14:solidFill>
          </w14:textFill>
        </w:rPr>
      </w:pPr>
    </w:p>
    <w:p w14:paraId="61EC228A">
      <w:pPr>
        <w:pStyle w:val="9"/>
        <w:rPr>
          <w:rFonts w:hint="eastAsia" w:ascii="仿宋" w:hAnsi="仿宋" w:eastAsia="仿宋" w:cs="仿宋"/>
          <w:color w:val="000000" w:themeColor="text1"/>
          <w14:textFill>
            <w14:solidFill>
              <w14:schemeClr w14:val="tx1"/>
            </w14:solidFill>
          </w14:textFill>
        </w:rPr>
      </w:pPr>
    </w:p>
    <w:p w14:paraId="7667429D">
      <w:pPr>
        <w:rPr>
          <w:rFonts w:hint="eastAsia" w:ascii="仿宋" w:hAnsi="仿宋" w:eastAsia="仿宋" w:cs="仿宋"/>
          <w:color w:val="000000" w:themeColor="text1"/>
          <w14:textFill>
            <w14:solidFill>
              <w14:schemeClr w14:val="tx1"/>
            </w14:solidFill>
          </w14:textFill>
        </w:rPr>
      </w:pPr>
    </w:p>
    <w:p w14:paraId="49241699">
      <w:pPr>
        <w:pStyle w:val="9"/>
        <w:rPr>
          <w:rFonts w:hint="eastAsia" w:ascii="仿宋" w:hAnsi="仿宋" w:eastAsia="仿宋" w:cs="仿宋"/>
          <w:color w:val="000000" w:themeColor="text1"/>
          <w14:textFill>
            <w14:solidFill>
              <w14:schemeClr w14:val="tx1"/>
            </w14:solidFill>
          </w14:textFill>
        </w:rPr>
      </w:pPr>
    </w:p>
    <w:p w14:paraId="388095F3">
      <w:pPr>
        <w:rPr>
          <w:rFonts w:hint="eastAsia"/>
          <w:color w:val="000000" w:themeColor="text1"/>
          <w14:textFill>
            <w14:solidFill>
              <w14:schemeClr w14:val="tx1"/>
            </w14:solidFill>
          </w14:textFill>
        </w:rPr>
      </w:pPr>
    </w:p>
    <w:p w14:paraId="26CB25FE">
      <w:pPr>
        <w:pStyle w:val="41"/>
        <w:adjustRightInd/>
        <w:spacing w:line="360" w:lineRule="auto"/>
        <w:rPr>
          <w:rFonts w:hint="eastAsia" w:ascii="仿宋" w:hAnsi="仿宋" w:eastAsia="仿宋" w:cs="仿宋"/>
          <w:color w:val="000000" w:themeColor="text1"/>
          <w:sz w:val="10"/>
          <w:szCs w:val="10"/>
          <w14:textFill>
            <w14:solidFill>
              <w14:schemeClr w14:val="tx1"/>
            </w14:solidFill>
          </w14:textFill>
        </w:rPr>
      </w:pPr>
    </w:p>
    <w:p w14:paraId="6CDB1321">
      <w:pPr>
        <w:spacing w:after="0" w:line="360" w:lineRule="auto"/>
        <w:ind w:firstLine="745" w:firstLineChars="265"/>
        <w:jc w:val="center"/>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招  标  人：</w:t>
      </w:r>
      <w:r>
        <w:rPr>
          <w:rFonts w:hint="eastAsia" w:ascii="仿宋" w:hAnsi="仿宋" w:eastAsia="仿宋" w:cs="仿宋"/>
          <w:b/>
          <w:bCs/>
          <w:color w:val="000000" w:themeColor="text1"/>
          <w:sz w:val="28"/>
          <w:szCs w:val="28"/>
          <w:lang w:eastAsia="zh-CN"/>
          <w14:textFill>
            <w14:solidFill>
              <w14:schemeClr w14:val="tx1"/>
            </w14:solidFill>
          </w14:textFill>
        </w:rPr>
        <w:t>伊川县高山镇人民政府</w:t>
      </w:r>
    </w:p>
    <w:p w14:paraId="4003F2A7">
      <w:pPr>
        <w:spacing w:after="0" w:line="360" w:lineRule="auto"/>
        <w:ind w:firstLine="745" w:firstLineChars="265"/>
        <w:jc w:val="center"/>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招标代理机构：</w:t>
      </w:r>
      <w:r>
        <w:rPr>
          <w:rFonts w:hint="eastAsia" w:ascii="仿宋" w:hAnsi="仿宋" w:eastAsia="仿宋" w:cs="仿宋"/>
          <w:b/>
          <w:bCs/>
          <w:color w:val="000000" w:themeColor="text1"/>
          <w:sz w:val="28"/>
          <w:szCs w:val="28"/>
          <w:lang w:eastAsia="zh-CN"/>
          <w14:textFill>
            <w14:solidFill>
              <w14:schemeClr w14:val="tx1"/>
            </w14:solidFill>
          </w14:textFill>
        </w:rPr>
        <w:t>建基工程咨询有限公司</w:t>
      </w:r>
    </w:p>
    <w:p w14:paraId="218B4CDD">
      <w:pPr>
        <w:spacing w:after="0" w:line="360" w:lineRule="auto"/>
        <w:jc w:val="center"/>
        <w:rPr>
          <w:rFonts w:hint="eastAsia" w:ascii="仿宋" w:hAnsi="仿宋" w:eastAsia="仿宋" w:cs="仿宋"/>
          <w:snapToGrid w:val="0"/>
          <w:color w:val="000000" w:themeColor="text1"/>
          <w14:textFill>
            <w14:solidFill>
              <w14:schemeClr w14:val="tx1"/>
            </w14:solidFill>
          </w14:textFill>
        </w:rPr>
        <w:sectPr>
          <w:headerReference r:id="rId5" w:type="default"/>
          <w:footerReference r:id="rId6" w:type="default"/>
          <w:pgSz w:w="12240" w:h="15841"/>
          <w:pgMar w:top="1276" w:right="1800" w:bottom="1440" w:left="1800" w:header="567" w:footer="0" w:gutter="0"/>
          <w:pgNumType w:fmt="decimal" w:start="1"/>
          <w:cols w:space="720" w:num="1"/>
          <w:docGrid w:linePitch="286" w:charSpace="0"/>
        </w:sectPr>
      </w:pPr>
      <w:r>
        <w:rPr>
          <w:rFonts w:hint="eastAsia" w:ascii="仿宋" w:hAnsi="仿宋" w:eastAsia="仿宋" w:cs="仿宋"/>
          <w:b/>
          <w:bCs/>
          <w:color w:val="000000" w:themeColor="text1"/>
          <w:sz w:val="28"/>
          <w:szCs w:val="28"/>
          <w14:textFill>
            <w14:solidFill>
              <w14:schemeClr w14:val="tx1"/>
            </w14:solidFill>
          </w14:textFill>
        </w:rPr>
        <w:t>二○二四年</w:t>
      </w:r>
      <w:r>
        <w:rPr>
          <w:rFonts w:hint="eastAsia" w:ascii="仿宋" w:hAnsi="仿宋" w:eastAsia="仿宋" w:cs="仿宋"/>
          <w:b/>
          <w:bCs/>
          <w:color w:val="000000" w:themeColor="text1"/>
          <w:sz w:val="28"/>
          <w:szCs w:val="28"/>
          <w:lang w:eastAsia="zh-CN"/>
          <w14:textFill>
            <w14:solidFill>
              <w14:schemeClr w14:val="tx1"/>
            </w14:solidFill>
          </w14:textFill>
        </w:rPr>
        <w:t>十二</w:t>
      </w:r>
      <w:r>
        <w:rPr>
          <w:rFonts w:hint="eastAsia" w:ascii="仿宋" w:hAnsi="仿宋" w:eastAsia="仿宋" w:cs="仿宋"/>
          <w:b/>
          <w:bCs/>
          <w:color w:val="000000" w:themeColor="text1"/>
          <w:sz w:val="28"/>
          <w:szCs w:val="28"/>
          <w14:textFill>
            <w14:solidFill>
              <w14:schemeClr w14:val="tx1"/>
            </w14:solidFill>
          </w14:textFill>
        </w:rPr>
        <w:t>月</w:t>
      </w:r>
      <w:bookmarkStart w:id="0" w:name="3"/>
      <w:bookmarkEnd w:id="0"/>
      <w:bookmarkStart w:id="1" w:name="4"/>
      <w:bookmarkEnd w:id="1"/>
      <w:r>
        <w:rPr>
          <w:rFonts w:hint="eastAsia" w:ascii="仿宋" w:hAnsi="仿宋" w:eastAsia="仿宋" w:cs="仿宋"/>
          <w:snapToGrid w:val="0"/>
          <w:color w:val="000000" w:themeColor="text1"/>
          <w14:textFill>
            <w14:solidFill>
              <w14:schemeClr w14:val="tx1"/>
            </w14:solidFill>
          </w14:textFill>
        </w:rPr>
        <w:br w:type="page"/>
      </w:r>
    </w:p>
    <w:p w14:paraId="063C930C">
      <w:pPr>
        <w:spacing w:after="0" w:line="360" w:lineRule="auto"/>
        <w:ind w:right="-353"/>
        <w:jc w:val="left"/>
        <w:rPr>
          <w:rFonts w:hint="eastAsia" w:ascii="仿宋" w:hAnsi="仿宋" w:eastAsia="仿宋" w:cs="仿宋"/>
          <w:b w:val="0"/>
          <w:bCs w:val="0"/>
          <w:color w:val="000000" w:themeColor="text1"/>
          <w:sz w:val="28"/>
          <w:szCs w:val="28"/>
          <w:lang w:val="en-US" w:eastAsia="zh-CN"/>
          <w14:textFill>
            <w14:solidFill>
              <w14:schemeClr w14:val="tx1"/>
            </w14:solidFill>
          </w14:textFill>
        </w:rPr>
        <w:sectPr>
          <w:footerReference r:id="rId7" w:type="default"/>
          <w:pgSz w:w="12240" w:h="15841"/>
          <w:pgMar w:top="1134" w:right="1800" w:bottom="1135" w:left="1800" w:header="454" w:footer="170" w:gutter="0"/>
          <w:pgNumType w:fmt="decimal" w:start="1"/>
          <w:cols w:space="720" w:num="1"/>
          <w:docGrid w:linePitch="286" w:charSpace="0"/>
        </w:sectPr>
      </w:pPr>
      <w:bookmarkStart w:id="2" w:name="_Hlk131776819"/>
      <w:bookmarkStart w:id="3" w:name="_Toc26921"/>
      <w:bookmarkStart w:id="4" w:name="_Toc40361838"/>
      <w:bookmarkStart w:id="5" w:name="_Toc26538214"/>
      <w:r>
        <w:rPr>
          <w:rFonts w:hint="eastAsia" w:ascii="仿宋" w:hAnsi="仿宋" w:eastAsia="仿宋" w:cs="仿宋"/>
          <w:b w:val="0"/>
          <w:bCs w:val="0"/>
          <w:color w:val="000000" w:themeColor="text1"/>
          <w:sz w:val="28"/>
          <w:szCs w:val="28"/>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-368935</wp:posOffset>
            </wp:positionH>
            <wp:positionV relativeFrom="paragraph">
              <wp:posOffset>357505</wp:posOffset>
            </wp:positionV>
            <wp:extent cx="6167755" cy="7886700"/>
            <wp:effectExtent l="0" t="0" r="4445" b="0"/>
            <wp:wrapNone/>
            <wp:docPr id="3" name="图片 3" descr="173400385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4003855312"/>
                    <pic:cNvPicPr>
                      <a:picLocks noChangeAspect="1"/>
                    </pic:cNvPicPr>
                  </pic:nvPicPr>
                  <pic:blipFill>
                    <a:blip r:embed="rId13"/>
                    <a:stretch>
                      <a:fillRect/>
                    </a:stretch>
                  </pic:blipFill>
                  <pic:spPr>
                    <a:xfrm>
                      <a:off x="0" y="0"/>
                      <a:ext cx="6167755" cy="7886700"/>
                    </a:xfrm>
                    <a:prstGeom prst="rect">
                      <a:avLst/>
                    </a:prstGeom>
                  </pic:spPr>
                </pic:pic>
              </a:graphicData>
            </a:graphic>
          </wp:anchor>
        </w:drawing>
      </w:r>
      <w:r>
        <w:rPr>
          <w:rFonts w:hint="eastAsia" w:ascii="仿宋" w:hAnsi="仿宋" w:eastAsia="仿宋" w:cs="仿宋"/>
          <w:b w:val="0"/>
          <w:bCs w:val="0"/>
          <w:color w:val="000000" w:themeColor="text1"/>
          <w:sz w:val="28"/>
          <w:szCs w:val="28"/>
          <w:lang w:val="en-US" w:eastAsia="zh-CN"/>
          <w14:textFill>
            <w14:solidFill>
              <w14:schemeClr w14:val="tx1"/>
            </w14:solidFill>
          </w14:textFill>
        </w:rPr>
        <w:t>附：招标文件及发布方式公平竞争审查自查表</w:t>
      </w:r>
    </w:p>
    <w:p w14:paraId="3445BA7C">
      <w:pPr>
        <w:spacing w:after="0" w:line="360" w:lineRule="auto"/>
        <w:ind w:right="-353"/>
        <w:jc w:val="left"/>
        <w:rPr>
          <w:rFonts w:hint="eastAsia" w:ascii="仿宋" w:hAnsi="仿宋" w:eastAsia="仿宋" w:cs="仿宋"/>
          <w:b w:val="0"/>
          <w:bCs w:val="0"/>
          <w:color w:val="000000" w:themeColor="text1"/>
          <w:sz w:val="28"/>
          <w:szCs w:val="28"/>
          <w:lang w:val="en-US" w:eastAsia="zh-CN"/>
          <w14:textFill>
            <w14:solidFill>
              <w14:schemeClr w14:val="tx1"/>
            </w14:solidFill>
          </w14:textFill>
        </w:rPr>
        <w:sectPr>
          <w:pgSz w:w="12240" w:h="15841"/>
          <w:pgMar w:top="1134" w:right="1800" w:bottom="1135" w:left="1800" w:header="454" w:footer="170" w:gutter="0"/>
          <w:pgNumType w:fmt="decimal"/>
          <w:cols w:space="720" w:num="1"/>
          <w:docGrid w:linePitch="286" w:charSpace="0"/>
        </w:sectPr>
      </w:pPr>
      <w:r>
        <w:rPr>
          <w:rFonts w:hint="eastAsia" w:ascii="仿宋" w:hAnsi="仿宋" w:eastAsia="仿宋" w:cs="仿宋"/>
          <w:b w:val="0"/>
          <w:bCs w:val="0"/>
          <w:color w:val="000000" w:themeColor="text1"/>
          <w:sz w:val="28"/>
          <w:szCs w:val="28"/>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-321945</wp:posOffset>
            </wp:positionH>
            <wp:positionV relativeFrom="paragraph">
              <wp:posOffset>226060</wp:posOffset>
            </wp:positionV>
            <wp:extent cx="6019165" cy="7721600"/>
            <wp:effectExtent l="0" t="0" r="635" b="12700"/>
            <wp:wrapNone/>
            <wp:docPr id="2" name="图片 2" descr="SKM_458e2412120325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458e24121203250_03"/>
                    <pic:cNvPicPr>
                      <a:picLocks noChangeAspect="1"/>
                    </pic:cNvPicPr>
                  </pic:nvPicPr>
                  <pic:blipFill>
                    <a:blip r:embed="rId14"/>
                    <a:srcRect b="9213"/>
                    <a:stretch>
                      <a:fillRect/>
                    </a:stretch>
                  </pic:blipFill>
                  <pic:spPr>
                    <a:xfrm>
                      <a:off x="0" y="0"/>
                      <a:ext cx="6019165" cy="7721600"/>
                    </a:xfrm>
                    <a:prstGeom prst="rect">
                      <a:avLst/>
                    </a:prstGeom>
                  </pic:spPr>
                </pic:pic>
              </a:graphicData>
            </a:graphic>
          </wp:anchor>
        </w:drawing>
      </w:r>
    </w:p>
    <w:p w14:paraId="3F0E5906">
      <w:pPr>
        <w:spacing w:after="0" w:line="360" w:lineRule="auto"/>
        <w:ind w:right="-353"/>
        <w:jc w:val="center"/>
        <w:rPr>
          <w:rFonts w:hint="eastAsia" w:ascii="仿宋" w:hAnsi="仿宋" w:eastAsia="仿宋" w:cs="仿宋"/>
          <w:color w:val="000000" w:themeColor="text1"/>
          <w:sz w:val="16"/>
          <w:szCs w:val="16"/>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特 别 提 示</w:t>
      </w:r>
    </w:p>
    <w:p w14:paraId="15DEAF56">
      <w:pPr>
        <w:spacing w:after="0" w:line="360" w:lineRule="auto"/>
        <w:ind w:firstLine="424"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1、投标文件的制作</w:t>
      </w:r>
    </w:p>
    <w:p w14:paraId="5083F762">
      <w:pPr>
        <w:tabs>
          <w:tab w:val="left" w:pos="8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 投标人登录“洛阳市公共资源交易中心”网站，按要求下载“新点投标文制作软件”。</w:t>
      </w:r>
    </w:p>
    <w:p w14:paraId="26A39A22">
      <w:pPr>
        <w:tabs>
          <w:tab w:val="left" w:pos="86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 投标人凭CA锁登录，并按网上提示自行下载招标文件。使用“新点投标文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7A3A29E3">
      <w:pPr>
        <w:tabs>
          <w:tab w:val="left" w:pos="8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 加密的电子投标文件为“洛阳市公共资源交易中心”网站提供的“新点投文件制作软件”制作生成的加密版投标文件。未加密的电子投标文件应与加密的电子投标文件为同时生成的版本。</w:t>
      </w:r>
    </w:p>
    <w:p w14:paraId="7DE1C291">
      <w:pPr>
        <w:tabs>
          <w:tab w:val="left" w:pos="862"/>
        </w:tabs>
        <w:spacing w:after="0" w:line="360" w:lineRule="auto"/>
        <w:ind w:right="286"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 招标文件格式所要求包含的全部资料应全部制作在投标文件内，严格按照本项目招标文件所有格式如实填写（不涉及的内容除外），不应存在漏项或缺项，否则将存在响应被否决的风险。</w:t>
      </w:r>
    </w:p>
    <w:p w14:paraId="04EE992A">
      <w:pPr>
        <w:tabs>
          <w:tab w:val="left" w:pos="8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 投标文件所附证明材料均为原件的扫描件（或照片），尺寸和清晰度应该够在电脑上被阅读、识别和判断；若投标人未按要求提供证明材料或提供不清晰的扫描件（或照片）的，评标委员会有权认定其投标文件未对招标文件有关要求进行响应，涉及资格性审查或符合性审查的将不予通过。</w:t>
      </w:r>
    </w:p>
    <w:p w14:paraId="7256B745">
      <w:pPr>
        <w:tabs>
          <w:tab w:val="left" w:pos="760"/>
        </w:tabs>
        <w:spacing w:after="0" w:line="360" w:lineRule="auto"/>
        <w:ind w:left="-2" w:leftChars="-1" w:firstLine="426" w:firstLineChars="202"/>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2、投标文件的提交</w:t>
      </w:r>
    </w:p>
    <w:p w14:paraId="529677B3">
      <w:pPr>
        <w:tabs>
          <w:tab w:val="left" w:pos="880"/>
        </w:tabs>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除电子投标文件外，不再接受任何纸质文件、资料等。</w:t>
      </w:r>
    </w:p>
    <w:p w14:paraId="3B0C6D25">
      <w:pPr>
        <w:tabs>
          <w:tab w:val="left" w:pos="880"/>
        </w:tabs>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 投标人应在提交投标文件截止时间前上传加密的电子投标文件（*.lytf）洛阳市电子招投标交易平台指定位置。上传时投标人须使用制作该投标文件的同一CA锁进行上传操作。请投标人在上传时认真检查上传投标文件是否完整、正确。投标人应充分考虑上传文件时的不可预见因素，未在提交投标文件截止时间前完成上传的，视为逾期送达，洛阳市电子招投标交易平台将拒绝接收。上传成功后将得到上传成功的确认。</w:t>
      </w:r>
    </w:p>
    <w:p w14:paraId="39723F83">
      <w:pPr>
        <w:tabs>
          <w:tab w:val="left" w:pos="862"/>
        </w:tabs>
        <w:spacing w:after="0" w:line="360" w:lineRule="auto"/>
        <w:ind w:right="306"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2.3 投标人因洛阳市电子招投标交易平台问题无法上传电子投标文件时，请在工作时间与交易中心联系。</w:t>
      </w:r>
    </w:p>
    <w:p w14:paraId="5D9EA32E">
      <w:pPr>
        <w:tabs>
          <w:tab w:val="left" w:pos="880"/>
        </w:tabs>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2.4 （此条款仅适用于现场开标的项目）未加密的电子投标文件1份（*.nlytf式）（U盘介质），密封包装，注明项目名称，并在封套上加盖投标人单位公章或由投标人的法定代表人（单位负责人）或其授权的代理人签字。</w:t>
      </w:r>
    </w:p>
    <w:p w14:paraId="3D165693">
      <w:pPr>
        <w:tabs>
          <w:tab w:val="left" w:pos="1000"/>
        </w:tabs>
        <w:spacing w:after="0" w:line="360" w:lineRule="auto"/>
        <w:ind w:right="286" w:firstLine="424"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3、招标文件的澄清、修改</w:t>
      </w:r>
      <w:bookmarkStart w:id="6" w:name="page3"/>
      <w:bookmarkEnd w:id="6"/>
    </w:p>
    <w:p w14:paraId="5F0E0083">
      <w:pPr>
        <w:tabs>
          <w:tab w:val="left" w:pos="1000"/>
        </w:tabs>
        <w:spacing w:after="0" w:line="360" w:lineRule="auto"/>
        <w:ind w:right="286"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招标文件的澄清、修改将在指定媒介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响应无效的后果由投标人自己承担。</w:t>
      </w:r>
    </w:p>
    <w:p w14:paraId="273E1C7F">
      <w:pPr>
        <w:tabs>
          <w:tab w:val="left" w:pos="862"/>
        </w:tabs>
        <w:spacing w:after="0" w:line="360" w:lineRule="auto"/>
        <w:ind w:right="286"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 因洛阳市电子招投标交易平台在开标前具有保密性，投标人在投标文件递交截止时间前须自行查看项目进展、变更通知、澄清及回复，因投标人未及时查看而造成的后果自负。</w:t>
      </w:r>
    </w:p>
    <w:p w14:paraId="1BA76695">
      <w:pPr>
        <w:spacing w:after="0" w:line="360" w:lineRule="auto"/>
        <w:ind w:firstLine="424"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4、开标</w:t>
      </w:r>
    </w:p>
    <w:p w14:paraId="47EF6F85">
      <w:pPr>
        <w:tabs>
          <w:tab w:val="left" w:pos="3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招标人在招标文件规定的时间和地点开标。</w:t>
      </w:r>
    </w:p>
    <w:p w14:paraId="0033DBE2">
      <w:pPr>
        <w:tabs>
          <w:tab w:val="left" w:pos="380"/>
        </w:tabs>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（此条款仅适用于现场开标的项目）开标前，招标代理机构将会同投标人代表检查自己的未加密的电子投标文件的密封情况，确认无误后开标。</w:t>
      </w:r>
    </w:p>
    <w:p w14:paraId="394B2947">
      <w:pPr>
        <w:tabs>
          <w:tab w:val="left" w:pos="3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开标时，各投标人应在规定时间内对本单位的投标文件解密。开标时，招标代理机构将通过洛阳市电子招投标交易平台进行唱标。</w:t>
      </w:r>
    </w:p>
    <w:p w14:paraId="40B6CD67">
      <w:pPr>
        <w:tabs>
          <w:tab w:val="left" w:pos="3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（此条款仅适用于现场开标的项目）如投标人现场解密失败，投标人应使用未加密的电子投标文件。</w:t>
      </w:r>
    </w:p>
    <w:p w14:paraId="3BC2DF63">
      <w:pPr>
        <w:tabs>
          <w:tab w:val="left" w:pos="3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（此条款仅适用于现场开标的项目）开标前没有提交未加密的电子投标文件，视同放弃使用未加密的电子投标文件投标。未加密的投标文件现场无法成功上传的，投标无效。</w:t>
      </w:r>
    </w:p>
    <w:p w14:paraId="6F506EB0">
      <w:pPr>
        <w:tabs>
          <w:tab w:val="left" w:pos="380"/>
        </w:tabs>
        <w:spacing w:after="0" w:line="360" w:lineRule="auto"/>
        <w:ind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（此条款仅适用于现场开标的项目）未加密的电子投标文件仅仅作为网上提交的加密的电子投标文件在特殊情况下才启用的备份资料。没有提交网上加密电子投标文件，仅提交未加密电子投标文件的，投标无效。</w:t>
      </w:r>
    </w:p>
    <w:p w14:paraId="1C31C77E">
      <w:pPr>
        <w:spacing w:after="0" w:line="360" w:lineRule="auto"/>
        <w:ind w:right="286" w:firstLine="422" w:firstLineChars="201"/>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为便于投标人（投标人）制作投标（响应）文件，本投标（响应）文件格式所列招标投标的主体称呼及专业术语，也适用于政府采购非招标方式（竞争性谈判、竞争性磋商、询价）对应的主体称呼及专业术语。</w:t>
      </w:r>
    </w:p>
    <w:p w14:paraId="562BD57A">
      <w:pPr>
        <w:spacing w:after="0" w:line="360" w:lineRule="auto"/>
        <w:ind w:right="306" w:firstLine="422" w:firstLineChars="201"/>
        <w:jc w:val="both"/>
        <w:rPr>
          <w:rFonts w:hint="eastAsia" w:ascii="仿宋" w:hAnsi="仿宋" w:eastAsia="仿宋" w:cs="仿宋"/>
          <w:color w:val="000000" w:themeColor="text1"/>
          <w:szCs w:val="21"/>
          <w14:textFill>
            <w14:solidFill>
              <w14:schemeClr w14:val="tx1"/>
            </w14:solidFill>
          </w14:textFill>
        </w:rPr>
      </w:pPr>
      <w:bookmarkStart w:id="7" w:name="_Hlk131781667"/>
      <w:r>
        <w:rPr>
          <w:rFonts w:hint="eastAsia" w:ascii="仿宋" w:hAnsi="仿宋" w:eastAsia="仿宋" w:cs="仿宋"/>
          <w:color w:val="000000" w:themeColor="text1"/>
          <w:szCs w:val="21"/>
          <w14:textFill>
            <w14:solidFill>
              <w14:schemeClr w14:val="tx1"/>
            </w14:solidFill>
          </w14:textFill>
        </w:rPr>
        <w:t>6、招标代理机构有权将《投标函》、《近年类似项目业绩情况表》中的报价、人员、业绩等内容进行公示。</w:t>
      </w:r>
    </w:p>
    <w:bookmarkEnd w:id="7"/>
    <w:p w14:paraId="64B20E56">
      <w:pPr>
        <w:widowControl/>
        <w:spacing w:after="0" w:line="360" w:lineRule="auto"/>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p>
    <w:p w14:paraId="14841EE3">
      <w:pPr>
        <w:adjustRightInd w:val="0"/>
        <w:spacing w:after="0" w:line="360" w:lineRule="auto"/>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招标投标法律法规知识宣传</w:t>
      </w:r>
    </w:p>
    <w:p w14:paraId="2C380F87">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一、《中华人民共和国招标投标法实施条例》节选</w:t>
      </w:r>
    </w:p>
    <w:p w14:paraId="4645D423">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第六十七条规定，</w:t>
      </w:r>
      <w:r>
        <w:rPr>
          <w:rFonts w:hint="eastAsia" w:ascii="仿宋" w:hAnsi="仿宋" w:eastAsia="仿宋" w:cs="仿宋"/>
          <w:color w:val="000000" w:themeColor="text1"/>
          <w:kern w:val="0"/>
          <w:szCs w:val="21"/>
          <w:lang w:bidi="ar"/>
          <w14:textFill>
            <w14:solidFill>
              <w14:schemeClr w14:val="tx1"/>
            </w14:solidFill>
          </w14:textFill>
        </w:rPr>
        <w:t>投标人相互串通投标或者与招标人串通投标的，投标人向招标人或者评标委员会成员行贿谋取中标的，中标无效；构成犯罪的，依法追究刑事责任。</w:t>
      </w:r>
    </w:p>
    <w:p w14:paraId="0121948F">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投标人：（一）以行贿谋取中标；（二）3年内2次以上串通投标；（三）串通投标行为损害招标人、其他投标人或者国家、集体、公民的合法利益，造成直接经济损失30万元以上；（四）其他串通投标情节严重的行为。凡有以上行为之一的，属于情节严重行为，由有关行政监督部门取消其1年至2年内参加依法必须进行招标的项目的投标资格。投标人自以上行为规定的处罚执行期限届满之日起3年内又有以上所列违法行为之一的，或者串通投标、以行贿谋取中标情节特别严重的，由工商行政管理机关吊销营业执照。</w:t>
      </w:r>
    </w:p>
    <w:p w14:paraId="19F04D67">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第六十八条规定，</w:t>
      </w:r>
      <w:r>
        <w:rPr>
          <w:rFonts w:hint="eastAsia" w:ascii="仿宋" w:hAnsi="仿宋" w:eastAsia="仿宋" w:cs="仿宋"/>
          <w:color w:val="000000" w:themeColor="text1"/>
          <w:kern w:val="0"/>
          <w:szCs w:val="21"/>
          <w:lang w:bidi="ar"/>
          <w14:textFill>
            <w14:solidFill>
              <w14:schemeClr w14:val="tx1"/>
            </w14:solidFill>
          </w14:textFill>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投标人：（一）伪造、变造资格、资质证书或者其他许可证件骗取中标；（二）3年内2次以上使用他人名义投标；（三）弄虚作假骗取中标给招标人造成直接经济损失30万元以上；（四）其他弄虚作假骗取中标情节严重的行为。凡有以上行为之一的，属于招标投标法第五十四条规定的情节严重行为，由有关行政监督部门取消其1年至3年内参加依法必须进行招标的项目的投标资格。投标人自以上行为规定的处罚执行期限届满之日起3年内又有该款所列违法行为之一的，或者弄虚作假骗取中标情节特别严重的，由工商行政管理机关吊销营业执照。</w:t>
      </w:r>
    </w:p>
    <w:p w14:paraId="2AD931DA">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第六十九条规定，</w:t>
      </w:r>
      <w:r>
        <w:rPr>
          <w:rFonts w:hint="eastAsia" w:ascii="仿宋" w:hAnsi="仿宋" w:eastAsia="仿宋" w:cs="仿宋"/>
          <w:color w:val="000000" w:themeColor="text1"/>
          <w:kern w:val="0"/>
          <w:szCs w:val="21"/>
          <w:lang w:bidi="ar"/>
          <w14:textFill>
            <w14:solidFill>
              <w14:schemeClr w14:val="tx1"/>
            </w14:solidFill>
          </w14:textFill>
        </w:rPr>
        <w:t>出让或者出租资格、资质证书供他人投标的，依照法律、行政法规的规定给予行政处罚；构成犯罪的，依法追究刑事责任。</w:t>
      </w:r>
    </w:p>
    <w:p w14:paraId="578689A8">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二、《中华人民共和国刑法》有关招投标处罚规定</w:t>
      </w:r>
    </w:p>
    <w:p w14:paraId="573AE3E7">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第二百二十三条规定，〔</w:t>
      </w:r>
      <w:r>
        <w:rPr>
          <w:rFonts w:hint="eastAsia" w:ascii="仿宋" w:hAnsi="仿宋" w:eastAsia="仿宋" w:cs="仿宋"/>
          <w:color w:val="000000" w:themeColor="text1"/>
          <w:kern w:val="0"/>
          <w:szCs w:val="21"/>
          <w:lang w:bidi="ar"/>
          <w14:textFill>
            <w14:solidFill>
              <w14:schemeClr w14:val="tx1"/>
            </w14:solidFill>
          </w14:textFill>
        </w:rPr>
        <w:t>串通投标罪</w:t>
      </w:r>
      <w:r>
        <w:rPr>
          <w:rFonts w:hint="eastAsia" w:ascii="仿宋" w:hAnsi="仿宋" w:eastAsia="仿宋" w:cs="仿宋"/>
          <w:b/>
          <w:bCs/>
          <w:color w:val="000000" w:themeColor="text1"/>
          <w:kern w:val="0"/>
          <w:szCs w:val="21"/>
          <w:lang w:bidi="ar"/>
          <w14:textFill>
            <w14:solidFill>
              <w14:schemeClr w14:val="tx1"/>
            </w14:solidFill>
          </w14:textFill>
        </w:rPr>
        <w:t>〕</w:t>
      </w:r>
      <w:r>
        <w:rPr>
          <w:rFonts w:hint="eastAsia" w:ascii="仿宋" w:hAnsi="仿宋" w:eastAsia="仿宋" w:cs="仿宋"/>
          <w:color w:val="000000" w:themeColor="text1"/>
          <w:kern w:val="0"/>
          <w:szCs w:val="21"/>
          <w:lang w:bidi="ar"/>
          <w14:textFill>
            <w14:solidFill>
              <w14:schemeClr w14:val="tx1"/>
            </w14:solidFill>
          </w14:textFill>
        </w:rPr>
        <w:t>投标人相互串通投标报价，损害招标人或者其他投标人利益，情节严重的，处三年以下有期徒刑或者拘役，并处或者单处罚金。投标人与招标人串通投标，损害国家、集体、公民的合法利益的，依照前款的规定处罚。</w:t>
      </w:r>
    </w:p>
    <w:p w14:paraId="254A6A55">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三、《最高人民检察院公安部关于经济犯罪案件追诉标准的规定》涉及招投标处理事项</w:t>
      </w:r>
    </w:p>
    <w:p w14:paraId="2850EDB8">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第六十八条规定，</w:t>
      </w:r>
      <w:r>
        <w:rPr>
          <w:rFonts w:hint="eastAsia" w:ascii="仿宋" w:hAnsi="仿宋" w:eastAsia="仿宋" w:cs="仿宋"/>
          <w:color w:val="000000" w:themeColor="text1"/>
          <w:kern w:val="0"/>
          <w:szCs w:val="21"/>
          <w:lang w:bidi="ar"/>
          <w14:textFill>
            <w14:solidFill>
              <w14:schemeClr w14:val="tx1"/>
            </w14:solidFill>
          </w14:textFill>
        </w:rPr>
        <w:t>投标人相互串通投标报价，或者投标人与招标人串通投标，涉嫌下列情形之一的，应予追诉：</w:t>
      </w:r>
    </w:p>
    <w:p w14:paraId="23AE3D51">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1、损害招标人、投标人或者国家、集体、公民的合法利益，造成的直接经济损失数额在五十万元以上的；</w:t>
      </w:r>
    </w:p>
    <w:p w14:paraId="10D892D3">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2、对其他投标人、招标人等投标招标活动的参加人采取威胁、欺骗等非法手段的；</w:t>
      </w:r>
    </w:p>
    <w:p w14:paraId="67565BC2">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3、虽未达到上述数额标准，但因串通投标，受过行政处罚二次以上，又串通投标的。</w:t>
      </w:r>
    </w:p>
    <w:p w14:paraId="21CDFAD0">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四、《中华人民共和国审计法实施条例》涉及招投标事项</w:t>
      </w:r>
    </w:p>
    <w:p w14:paraId="4E8D238F">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第二十条规定，</w:t>
      </w:r>
      <w:r>
        <w:rPr>
          <w:rFonts w:hint="eastAsia" w:ascii="仿宋" w:hAnsi="仿宋" w:eastAsia="仿宋" w:cs="仿宋"/>
          <w:color w:val="000000" w:themeColor="text1"/>
          <w:kern w:val="0"/>
          <w:szCs w:val="21"/>
          <w:lang w:bidi="ar"/>
          <w14:textFill>
            <w14:solidFill>
              <w14:schemeClr w14:val="tx1"/>
            </w14:solidFill>
          </w14:textFill>
        </w:rPr>
        <w:t>政府投资和以政府投资为主的建设项目，审计机关依法进行审计监督。</w:t>
      </w:r>
    </w:p>
    <w:p w14:paraId="1ADF1F52">
      <w:pPr>
        <w:widowControl/>
        <w:spacing w:after="0" w:line="360" w:lineRule="auto"/>
        <w:ind w:firstLine="422"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第四十条规定，</w:t>
      </w:r>
      <w:r>
        <w:rPr>
          <w:rFonts w:hint="eastAsia" w:ascii="仿宋" w:hAnsi="仿宋" w:eastAsia="仿宋" w:cs="仿宋"/>
          <w:color w:val="000000" w:themeColor="text1"/>
          <w:kern w:val="0"/>
          <w:szCs w:val="21"/>
          <w:lang w:bidi="ar"/>
          <w14:textFill>
            <w14:solidFill>
              <w14:schemeClr w14:val="tx1"/>
            </w14:solidFill>
          </w14:textFill>
        </w:rPr>
        <w:t>对依法应当追究有关人员责任的，向有关主管机关、单位提出给予处分的建议；对依法应当由有关主管机关处理、处罚的，移送有关主管机关；涉嫌犯罪的，移送司法机关。</w:t>
      </w:r>
    </w:p>
    <w:p w14:paraId="57F126C4">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五、全国“扫黑除恶”专项斗争涉及招投标工作</w:t>
      </w:r>
    </w:p>
    <w:p w14:paraId="7918B3F5">
      <w:pPr>
        <w:widowControl/>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根据中共中央、国务院《关于开展扫黑除恶专项斗争的通知》精神，扫黑除恶专项斗争打击的重点包括在建筑工程行业强揽工程、恶意竞标的黑恶势力。对有组织地恶意围标串标、强揽工程项目、强行推荐设计、施工、监理队伍、强行肢解分包工程的，招投标等行政监督部门需将问题线索提交市扫黑除恶专项斗争办公室进行查处。</w:t>
      </w:r>
    </w:p>
    <w:p w14:paraId="4B687CF0">
      <w:pPr>
        <w:adjustRightInd w:val="0"/>
        <w:spacing w:after="0" w:line="360" w:lineRule="auto"/>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br w:type="page"/>
      </w:r>
      <w:r>
        <w:rPr>
          <w:rFonts w:hint="eastAsia" w:ascii="仿宋" w:hAnsi="仿宋" w:eastAsia="仿宋" w:cs="仿宋"/>
          <w:b/>
          <w:color w:val="000000" w:themeColor="text1"/>
          <w:sz w:val="28"/>
          <w:szCs w:val="28"/>
          <w14:textFill>
            <w14:solidFill>
              <w14:schemeClr w14:val="tx1"/>
            </w14:solidFill>
          </w14:textFill>
        </w:rPr>
        <w:t>关于在全市工程建设项目招投标领域深入开展“扫黑除恶”</w:t>
      </w:r>
    </w:p>
    <w:p w14:paraId="5421051F">
      <w:pPr>
        <w:adjustRightInd w:val="0"/>
        <w:spacing w:after="0" w:line="360" w:lineRule="auto"/>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专项斗争的公开信</w:t>
      </w:r>
    </w:p>
    <w:p w14:paraId="2987D965">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2019年是党中央、国务院在全国开展“扫黑除恶”专项斗争的攻坚之年，洛阳市住建局在市委、市政府的坚强领导下，坚决贯彻落实习近平总书记关于“扫黑除恶”系列重要指示精神，压实工作责任，狠抓重点领域整治，大力营造全社会积极参与扫黑除恶的舆论氛围，“扫黑除恶” 工作取得阶段性成效。</w:t>
      </w:r>
    </w:p>
    <w:p w14:paraId="193C28C2">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扫黑除恶”是民心所向，为持续深入推进“扫黑除恶”专项斗争，维护公平公正的招标投标秩序，有力净化营商环境，保护企业和公民的合法权益，有效提升人民群众的获得感、安全感、幸福感，进一步依法严厉打击各类黑恶势力违法犯罪活动，确保社会长治久安，我们号召广大市民积极行动起来，主动参与到扫黑除恶专项斗争中来，通过来电、来函、来件等方式，踊跃揭发并提供以下8类黑恶势力性质违法犯罪活动线索：</w:t>
      </w:r>
    </w:p>
    <w:p w14:paraId="000DF279">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1、非法组织、领导、实施恶意竞标、围标、串标、虚假投标、敲诈勒索的；</w:t>
      </w:r>
    </w:p>
    <w:p w14:paraId="5D4704D4">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2、强拿硬要或者任意损毁、占用公私财物、标书、标的物、样品的；</w:t>
      </w:r>
    </w:p>
    <w:p w14:paraId="2F6B7652">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3、有组织地故意抬高或压低价格，伪造资质证书、证件、提供虚假材料进行恶意投标，谋取不正当利益的；</w:t>
      </w:r>
    </w:p>
    <w:p w14:paraId="2A0A4960">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4、聚众围堵开、评标现场，扰乱开标现场、恶意阻止投标人进入开标现场、干涉评委正常评标、干涉工作人员现场监督的；</w:t>
      </w:r>
    </w:p>
    <w:p w14:paraId="2678FD58">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5、以暴力、威胁、利诱等手段强迫他人参与或者退出投标，强迫中标人放弃中标、转包的；</w:t>
      </w:r>
    </w:p>
    <w:p w14:paraId="529A16AE">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6、交易过程中寻衅滋事，闹访、缠访、恶意投诉，以投诉、举报相威胁获取不正当利益的；</w:t>
      </w:r>
    </w:p>
    <w:p w14:paraId="38C00F87">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7、党员干部违反规定插手干预项目招投标活动，在招投标活动中与黑恶势力勾结，充当黑恶势力“保护伞”的；</w:t>
      </w:r>
    </w:p>
    <w:p w14:paraId="2D68FABC">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8、在工程建设招投标活动中有其他违纪违法行为的。</w:t>
      </w:r>
    </w:p>
    <w:p w14:paraId="279E82D4">
      <w:pPr>
        <w:adjustRightInd w:val="0"/>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我们郑重承诺：对举报人个人信息和举报线索严格保密。我们郑重声明：对包庇、纵容违法犯罪分子的恶意举报、诬告陷害他人的将依法追究法律责任；对举报人进行报复的，将依法从严、从重惩处。</w:t>
      </w:r>
    </w:p>
    <w:bookmarkEnd w:id="2"/>
    <w:p w14:paraId="4355E416">
      <w:pPr>
        <w:widowControl/>
        <w:spacing w:after="0" w:line="360" w:lineRule="auto"/>
        <w:rPr>
          <w:rFonts w:hint="eastAsia" w:ascii="仿宋" w:hAnsi="仿宋" w:eastAsia="仿宋" w:cs="仿宋"/>
          <w:b/>
          <w:bCs/>
          <w:color w:val="000000" w:themeColor="text1"/>
          <w:sz w:val="28"/>
          <w:szCs w:val="32"/>
          <w14:textFill>
            <w14:solidFill>
              <w14:schemeClr w14:val="tx1"/>
            </w14:solidFill>
          </w14:textFill>
        </w:rPr>
      </w:pPr>
      <w:r>
        <w:rPr>
          <w:rFonts w:hint="eastAsia" w:ascii="仿宋" w:hAnsi="仿宋" w:eastAsia="仿宋" w:cs="仿宋"/>
          <w:b/>
          <w:bCs/>
          <w:color w:val="000000" w:themeColor="text1"/>
          <w:sz w:val="28"/>
          <w:szCs w:val="32"/>
          <w14:textFill>
            <w14:solidFill>
              <w14:schemeClr w14:val="tx1"/>
            </w14:solidFill>
          </w14:textFill>
        </w:rPr>
        <w:br w:type="page"/>
      </w:r>
    </w:p>
    <w:p w14:paraId="5D0A576B">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sz w:val="28"/>
          <w:szCs w:val="32"/>
          <w14:textFill>
            <w14:solidFill>
              <w14:schemeClr w14:val="tx1"/>
            </w14:solidFill>
          </w14:textFill>
        </w:rPr>
        <w:t>目  录</w:t>
      </w:r>
      <w:bookmarkEnd w:id="3"/>
    </w:p>
    <w:p w14:paraId="0801E25D">
      <w:pPr>
        <w:pStyle w:val="18"/>
        <w:tabs>
          <w:tab w:val="right" w:leader="dot" w:pos="8630"/>
        </w:tabs>
        <w:rPr>
          <w:rFonts w:hint="eastAsia"/>
          <w:color w:val="000000" w:themeColor="text1"/>
          <w14:textFill>
            <w14:solidFill>
              <w14:schemeClr w14:val="tx1"/>
            </w14:solidFill>
          </w14:textFill>
          <w14:ligatures w14:val="standardContextual"/>
        </w:rPr>
      </w:pPr>
      <w:r>
        <w:rPr>
          <w:rFonts w:hint="eastAsia" w:ascii="仿宋" w:hAnsi="仿宋" w:eastAsia="仿宋" w:cs="仿宋"/>
          <w:color w:val="000000" w:themeColor="text1"/>
          <w14:textFill>
            <w14:solidFill>
              <w14:schemeClr w14:val="tx1"/>
            </w14:solidFill>
          </w14:textFill>
        </w:rPr>
        <w:fldChar w:fldCharType="begin"/>
      </w:r>
      <w:r>
        <w:rPr>
          <w:rFonts w:hint="eastAsia" w:ascii="仿宋" w:hAnsi="仿宋" w:eastAsia="仿宋" w:cs="仿宋"/>
          <w:color w:val="000000" w:themeColor="text1"/>
          <w14:textFill>
            <w14:solidFill>
              <w14:schemeClr w14:val="tx1"/>
            </w14:solidFill>
          </w14:textFill>
        </w:rPr>
        <w:instrText xml:space="preserve">TOC \o "1-2" \h \u </w:instrText>
      </w:r>
      <w:r>
        <w:rPr>
          <w:rFonts w:hint="eastAsia" w:ascii="仿宋" w:hAnsi="仿宋" w:eastAsia="仿宋" w:cs="仿宋"/>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"_Toc177142640"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第一章   招标公告</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_Toc177142640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60A9D0FE">
      <w:pPr>
        <w:pStyle w:val="18"/>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"_Toc177142641"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第二章   投标人须知</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_Toc177142641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A8F8CD9">
      <w:pPr>
        <w:pStyle w:val="18"/>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"_Toc177142656"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第三章   评标办法（综合评标法）</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_Toc177142656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607AD50">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"_Toc177142657" </w:instrText>
      </w:r>
      <w:r>
        <w:rPr>
          <w:color w:val="000000" w:themeColor="text1"/>
          <w14:textFill>
            <w14:solidFill>
              <w14:schemeClr w14:val="tx1"/>
            </w14:solidFill>
          </w14:textFill>
        </w:rPr>
        <w:fldChar w:fldCharType="separate"/>
      </w:r>
      <w:r>
        <w:rPr>
          <w:rStyle w:val="35"/>
          <w:rFonts w:hint="eastAsia" w:ascii="仿宋" w:hAnsi="仿宋" w:eastAsia="仿宋" w:cs="仿宋"/>
          <w:bCs/>
          <w:color w:val="000000" w:themeColor="text1"/>
          <w14:textFill>
            <w14:solidFill>
              <w14:schemeClr w14:val="tx1"/>
            </w14:solidFill>
          </w14:textFill>
        </w:rPr>
        <w:t>1.评标方法</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_Toc177142657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CD5FAAF">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"_Toc177142658"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2.评审</w:t>
      </w:r>
      <w:r>
        <w:rPr>
          <w:rStyle w:val="35"/>
          <w:rFonts w:hint="eastAsia" w:ascii="仿宋" w:hAnsi="仿宋" w:eastAsia="仿宋" w:cs="仿宋"/>
          <w:bCs/>
          <w:color w:val="000000" w:themeColor="text1"/>
          <w14:textFill>
            <w14:solidFill>
              <w14:schemeClr w14:val="tx1"/>
            </w14:solidFill>
          </w14:textFill>
        </w:rPr>
        <w:t>标准</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_Toc177142658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D526E6B">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"_Toc177142659"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3.</w:t>
      </w:r>
      <w:r>
        <w:rPr>
          <w:rStyle w:val="35"/>
          <w:rFonts w:hint="eastAsia" w:ascii="仿宋" w:hAnsi="仿宋" w:eastAsia="仿宋" w:cs="仿宋"/>
          <w:bCs/>
          <w:color w:val="000000" w:themeColor="text1"/>
          <w14:textFill>
            <w14:solidFill>
              <w14:schemeClr w14:val="tx1"/>
            </w14:solidFill>
          </w14:textFill>
        </w:rPr>
        <w:t>评标程序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_Toc177142659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14B94FC">
      <w:pPr>
        <w:pStyle w:val="18"/>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"_Toc177142660"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第四章   合同条款及格式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_Toc177142660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AD9A55B">
      <w:pPr>
        <w:pStyle w:val="18"/>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"_Toc177142661"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第五章   发包人要求</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_Toc177142661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CB48C09">
      <w:pPr>
        <w:pStyle w:val="18"/>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"_Toc177142662"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第六章   投标文件格式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_Toc177142662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E21F1C0">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"_Toc177142663"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一、投标函及投标函附录</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_Toc177142663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1C07415">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"_Toc177142664"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二、法定代表人身份证明</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_Toc177142664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8AF4A6E">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"_Toc177142665"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三、法定代表人授权委托书</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_Toc177142665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1D5CB540">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"_Toc177142666" </w:instrText>
      </w:r>
      <w:r>
        <w:rPr>
          <w:color w:val="000000" w:themeColor="text1"/>
          <w14:textFill>
            <w14:solidFill>
              <w14:schemeClr w14:val="tx1"/>
            </w14:solidFill>
          </w14:textFill>
        </w:rPr>
        <w:fldChar w:fldCharType="separate"/>
      </w:r>
      <w:r>
        <w:rPr>
          <w:rStyle w:val="35"/>
          <w:rFonts w:hint="eastAsia" w:ascii="仿宋" w:hAnsi="仿宋" w:eastAsia="仿宋" w:cs="仿宋"/>
          <w:b/>
          <w:bCs/>
          <w:color w:val="000000" w:themeColor="text1"/>
          <w14:textFill>
            <w14:solidFill>
              <w14:schemeClr w14:val="tx1"/>
            </w14:solidFill>
          </w14:textFill>
        </w:rPr>
        <w:t>四、投标保证金企业信用承诺函</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_Toc177142666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28DBD55A">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"_Toc177142667"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五、投标人基本资料</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_Toc177142667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40</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74401F32">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"_Toc177142668"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六、项目设计方案</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_Toc177142668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019ED48B">
      <w:pPr>
        <w:pStyle w:val="21"/>
        <w:tabs>
          <w:tab w:val="right" w:leader="dot" w:pos="8630"/>
        </w:tabs>
        <w:rPr>
          <w:rFonts w:hint="eastAsia"/>
          <w:color w:val="000000" w:themeColor="text1"/>
          <w14:textFill>
            <w14:solidFill>
              <w14:schemeClr w14:val="tx1"/>
            </w14:solidFill>
          </w14:textFill>
          <w14:ligatures w14:val="standardContextua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"_Toc177142669" </w:instrText>
      </w:r>
      <w:r>
        <w:rPr>
          <w:color w:val="000000" w:themeColor="text1"/>
          <w14:textFill>
            <w14:solidFill>
              <w14:schemeClr w14:val="tx1"/>
            </w14:solidFill>
          </w14:textFill>
        </w:rPr>
        <w:fldChar w:fldCharType="separate"/>
      </w:r>
      <w:r>
        <w:rPr>
          <w:rStyle w:val="35"/>
          <w:rFonts w:hint="eastAsia" w:ascii="仿宋" w:hAnsi="仿宋" w:eastAsia="仿宋" w:cs="仿宋"/>
          <w:color w:val="000000" w:themeColor="text1"/>
          <w14:textFill>
            <w14:solidFill>
              <w14:schemeClr w14:val="tx1"/>
            </w14:solidFill>
          </w14:textFill>
        </w:rPr>
        <w:t>七、其他资料</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instrText xml:space="preserve">PAGEREF _Toc177142669 \h</w:instrText>
      </w:r>
      <w:r>
        <w:rPr>
          <w:rFonts w:hint="eastAsia"/>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fldChar w:fldCharType="end"/>
      </w:r>
    </w:p>
    <w:p w14:paraId="3BF19936">
      <w:pPr>
        <w:pStyle w:val="2"/>
        <w:spacing w:before="0" w:after="0" w:line="360" w:lineRule="auto"/>
        <w:jc w:val="center"/>
        <w:rPr>
          <w:rFonts w:hint="eastAsia" w:ascii="仿宋" w:hAnsi="仿宋" w:eastAsia="仿宋" w:cs="仿宋"/>
          <w:color w:val="000000" w:themeColor="text1"/>
          <w14:textFill>
            <w14:solidFill>
              <w14:schemeClr w14:val="tx1"/>
            </w14:solidFill>
          </w14:textFill>
        </w:rPr>
        <w:sectPr>
          <w:pgSz w:w="12240" w:h="15841"/>
          <w:pgMar w:top="1134" w:right="1800" w:bottom="1135" w:left="1800" w:header="454" w:footer="170" w:gutter="0"/>
          <w:pgNumType w:fmt="decimal"/>
          <w:cols w:space="720" w:num="1"/>
          <w:docGrid w:linePitch="286" w:charSpace="0"/>
        </w:sectPr>
      </w:pPr>
      <w:r>
        <w:rPr>
          <w:rFonts w:hint="eastAsia" w:ascii="仿宋" w:hAnsi="仿宋" w:eastAsia="仿宋" w:cs="仿宋"/>
          <w:color w:val="000000" w:themeColor="text1"/>
          <w14:textFill>
            <w14:solidFill>
              <w14:schemeClr w14:val="tx1"/>
            </w14:solidFill>
          </w14:textFill>
        </w:rPr>
        <w:fldChar w:fldCharType="end"/>
      </w:r>
    </w:p>
    <w:p w14:paraId="32671586">
      <w:pPr>
        <w:pStyle w:val="2"/>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8" w:name="_Toc177142640"/>
      <w:r>
        <w:rPr>
          <w:rFonts w:hint="eastAsia" w:ascii="仿宋" w:hAnsi="仿宋" w:eastAsia="仿宋" w:cs="仿宋"/>
          <w:color w:val="000000" w:themeColor="text1"/>
          <w:sz w:val="32"/>
          <w14:textFill>
            <w14:solidFill>
              <w14:schemeClr w14:val="tx1"/>
            </w14:solidFill>
          </w14:textFill>
        </w:rPr>
        <w:t>第一章   招标公告</w:t>
      </w:r>
      <w:bookmarkEnd w:id="4"/>
      <w:bookmarkEnd w:id="5"/>
      <w:bookmarkEnd w:id="8"/>
    </w:p>
    <w:p w14:paraId="2D9FFC8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bookmarkStart w:id="9" w:name="_Toc8423527"/>
      <w:bookmarkStart w:id="10" w:name="_Toc152042303"/>
      <w:bookmarkStart w:id="11" w:name="_Toc152045527"/>
      <w:bookmarkStart w:id="12" w:name="_Toc144974495"/>
      <w:bookmarkStart w:id="13" w:name="_Toc40361839"/>
      <w:r>
        <w:rPr>
          <w:rFonts w:hint="eastAsia" w:ascii="仿宋" w:hAnsi="仿宋" w:eastAsia="仿宋" w:cs="仿宋"/>
          <w:b/>
          <w:bCs/>
          <w:i w:val="0"/>
          <w:iCs w:val="0"/>
          <w:caps w:val="0"/>
          <w:color w:val="4E5463"/>
          <w:spacing w:val="0"/>
          <w:sz w:val="21"/>
          <w:szCs w:val="21"/>
          <w:shd w:val="clear" w:color="auto" w:fill="FFFFFF"/>
        </w:rPr>
        <w:t>一、招标条件</w:t>
      </w:r>
    </w:p>
    <w:p w14:paraId="3C3A748C">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伊川县高山镇人民政府伊川县高山镇豫西中药材集散中心建设设计项目，经相关部门批复，具备招标条件。建基工程咨询有限公司受伊川县高山镇人民政府的委托，对本项目进行公开招标，欢迎潜在投标人参加。</w:t>
      </w:r>
    </w:p>
    <w:p w14:paraId="5377B9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二、项目概况与招标范围</w:t>
      </w:r>
    </w:p>
    <w:p w14:paraId="11AAEEA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1、项目名称：伊川县高山镇人民政府伊川县高山镇豫西中药材集散中心建设设计项目 2、项目代码：2303-410329-04-01-683295 3、招标编号：伊建招备（2024）37号 4、项目编号：伊川工服招标新(2024)0003号 5、政府采购备案采购编号：伊川政采公开-2024-116 6、项目概况：伊川县高山镇豫西中药材集散中心建设项目的设计服务包含勘察、测绘、初步设计（含概算的编制）、施工图设计等及后续服务工作。（具体内容详见招标文件） 7、招标范围：本招标项目的全部内容。 8、资金来源：专项债。 9、最高投标限价(招标控制价)：1895700.00元。 10、服务周期：30日历天。 11、质量要求：符合国家、行业、地方政府现行有关法律法规、设计规范及技术标准，满足本项目建设要求。 12、标段划分：本项目划分为一个标段。 13、政府采购政策： （1）本项目专门面向中小（含监狱、残疾人福利性单位）企业； （2）促进政府采购公平竞争优化营商环境，支持绿色发展、节约能源、保护环境，扶持不发达、少数民族地区的企业，促进自主创新产业发展、支持脱贫攻坚等相关政府采购政策。 （3）根据洛采购[2021]4号文件要求，参加政府采购项目的中小微企业供应商，持中标(成交)通知书可向金融机构申请合同融资。详情请登录《河南省政府采购网》，进入网站飘窗或业务指南窗口了解金融机构提供的融资服务内容。</w:t>
      </w:r>
    </w:p>
    <w:p w14:paraId="2A8EB65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三、投标人资格要求</w:t>
      </w:r>
    </w:p>
    <w:p w14:paraId="7CDCA948">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1、投标人须具备有效的营业执照或有效的事业单位登记证书。（须在投标文件中附证书的原件扫描件） 2、资质要求：投标人须具备建筑行业（建筑工程）甲级或甲级以上或综合甲级设计资质。（须在投标文件中附证书的原件扫描件。） 3、投标人拟派项目负责人：须具有一级注册建筑师证书。（投标文件中附证书和劳动合同的原件扫描件。） 4、根据《河南省全面推行证明事项告知承诺制工作实施方案》（豫政办〔2021〕2号）文件，投标人须按照规定提供“信用承诺函”（承诺函格式详见“投标文件格式”），招标人有权在签订合同前要求中标人提供相关证明材料以核实中标单位承诺事项的真实性，投标时不再需要提供以下证明材料： （1）符合国家相关规定的财务状况报告； （2）依法缴纳税收的证明材料； （3）依法缴纳社会保障资金的证明材料； （4）具备履行合同所必需的设备和专业技术能力的证明材料； （5）未被列入建筑市场“黑名单”，且在管理期内的； （6）未被列入国家企业信用信息公示系统严重违法失信名单，且在管理期内的； （7）未在“信用中国”网站重点领域严重失信主体名单被限制或禁止参与招标投标活动的“严重失信主体”，且在管理期限内的； （8）未被吊销许可证件、营业执照、限制开展生产经营活动、责令停业停产、责令关闭、限制从业等，依法取消投标资格的； （9）不存在法律法规、国家规定的不得参加投标的情形。 5、本项目不接受联合体投标。</w:t>
      </w:r>
    </w:p>
    <w:p w14:paraId="0C6B95E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四、招标文件的获取</w:t>
      </w:r>
    </w:p>
    <w:p w14:paraId="5562B32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1、本次招标文件在网上获取，请登录洛阳市公共资源交易中心网站（lyggzyjy.ly.gov.cn），点击“http://lyggzyjy.ly.gov.cn/tpbidder”进入“洛阳市电子招投标交易平台”进行用户注册，并办理CA数字证书。详见洛阳市公共资源交易中心网站—办事指南—办事流程—新交易平台使用手册。</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2、办理数字证书后，请于2024年12月13日 至2024年12月19日24:00，登录洛阳市公共资源交易中心网站，点击“http://lyggzyjy.ly.gov.cn/tpbidder”，登录后，免费下载招标文件。如投多个标段，则应就所</w:t>
      </w:r>
      <w:bookmarkStart w:id="460" w:name="_GoBack"/>
      <w:bookmarkEnd w:id="460"/>
      <w:r>
        <w:rPr>
          <w:rFonts w:hint="eastAsia" w:ascii="仿宋" w:hAnsi="仿宋" w:eastAsia="仿宋" w:cs="仿宋"/>
          <w:i w:val="0"/>
          <w:iCs w:val="0"/>
          <w:caps w:val="0"/>
          <w:color w:val="4E5463"/>
          <w:spacing w:val="0"/>
          <w:sz w:val="21"/>
          <w:szCs w:val="21"/>
          <w:shd w:val="clear" w:color="auto" w:fill="FFFFFF"/>
        </w:rPr>
        <w:t>投每个标段分别下载获取。联合体投标的，由联合体牵头人完成招标文件下载。</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3、获取招标文件后，请到洛阳市公共资源交易中心网站—办事指南—下载中心栏目下载并安装最新版本投标文件制作软件，查看招标文件和制作电子投标文件。</w:t>
      </w:r>
    </w:p>
    <w:p w14:paraId="2A89AF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五、投标文件的递交</w:t>
      </w:r>
    </w:p>
    <w:p w14:paraId="3036DE5E">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1、投标文件递交的截止时间（投标截止时间）为 2025年01月03日09时30分 (北京时间)。</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2、投标文件接收地点及开标地点为开标一室。</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3、投标人应在投标截止时间前，通过互联网使用CA数字证书或移动CA扫码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4、本项目采用远程不见面交易的模式，开标当日，投标人无需到开标现场参加开标会议，投标人应当在投标截止时间前，访问到http://lyggzyjy.ly.gov.cn/BidOpening进入，在线准时参加开标活动并进行投标文件解密等。因投标人原因未能解密、解密失败或解密超时的将被拒绝。请参照洛阳市公共资源交易中心首页-办事指南-下载中心-新交易平台使用手册。</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5、除电子投标文件外，投标时不再接受任何纸质文件、资料等。逾期送达的或者未送达指定地点的投标文件，招标人不予受理。</w:t>
      </w:r>
    </w:p>
    <w:p w14:paraId="2D4AAD0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六、投标保证金缴纳</w:t>
      </w:r>
    </w:p>
    <w:p w14:paraId="013A0B3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执行洛发改公管〔2021〕2号规定。可采用银行保函、保险保单、担保保函、银行汇款等方式缴纳。其中政府投资的建设工程有关服务和货物招标项目免缴投标保证金。</w:t>
      </w:r>
    </w:p>
    <w:p w14:paraId="5EF7965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七、提出异议的渠道和方式</w:t>
      </w:r>
    </w:p>
    <w:p w14:paraId="6BC8EF6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异议。投标人或者其他利害关系人对资格预审文件、招标文件、开标和评标结果有异议的，通过公共资源交易平台向招标人提出异议。</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投诉。投标人或者其他利害关系人对招标投标活动需要投诉的，可以自知道或者应当知道之日起10日内，通过公共资源交易平台投诉或者直接向招标公告上公布的监管部门投诉。</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注：投诉应当有明确的请求和必要的证明材料。对资格预审文件、招标文件、开标和评标结果的的投诉，应当先向招标人提出异议，异议答复期间不计算在10日内。行政监督部门自收到投诉之日起3个工作日内决定是否受理投诉，自受理投诉之日起30个工作日内作出书面处理决定。</w:t>
      </w:r>
    </w:p>
    <w:p w14:paraId="7A0496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八、中标通知书发放</w:t>
      </w:r>
    </w:p>
    <w:p w14:paraId="60F60C8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通过公共资源交易平台以数据电文形式向中标人发出中标通知书，向未中标人发出中标结果通知。</w:t>
      </w:r>
    </w:p>
    <w:p w14:paraId="42A952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九、签订合同</w:t>
      </w:r>
    </w:p>
    <w:p w14:paraId="7873D2B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招标人通过公共资源交易平台凭电子印章以数据电文形式与中标人签订合同。</w:t>
      </w:r>
    </w:p>
    <w:p w14:paraId="5B5298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十、发布公告的媒体</w:t>
      </w:r>
    </w:p>
    <w:p w14:paraId="1D2D82B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1、本次招标公告同时在 《河南省政府采购网》、《中国招标投标公共服务平台》、《洛阳市公共资源交易中心网》 上发布。</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2、投标人在参与本项目招标采购活动期间应及时关注本网站获取相关澄清或变更等信息。</w:t>
      </w:r>
    </w:p>
    <w:p w14:paraId="19ECA1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b/>
          <w:bCs/>
          <w:i w:val="0"/>
          <w:iCs w:val="0"/>
          <w:caps w:val="0"/>
          <w:color w:val="4E5463"/>
          <w:spacing w:val="0"/>
          <w:sz w:val="21"/>
          <w:szCs w:val="21"/>
        </w:rPr>
      </w:pPr>
      <w:r>
        <w:rPr>
          <w:rFonts w:hint="eastAsia" w:ascii="仿宋" w:hAnsi="仿宋" w:eastAsia="仿宋" w:cs="仿宋"/>
          <w:b/>
          <w:bCs/>
          <w:i w:val="0"/>
          <w:iCs w:val="0"/>
          <w:caps w:val="0"/>
          <w:color w:val="4E5463"/>
          <w:spacing w:val="0"/>
          <w:sz w:val="21"/>
          <w:szCs w:val="21"/>
          <w:shd w:val="clear" w:color="auto" w:fill="FFFFFF"/>
        </w:rPr>
        <w:t>十一、联系方式</w:t>
      </w:r>
    </w:p>
    <w:p w14:paraId="5431491C">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仿宋" w:hAnsi="仿宋" w:eastAsia="仿宋" w:cs="仿宋"/>
          <w:i w:val="0"/>
          <w:iCs w:val="0"/>
          <w:caps w:val="0"/>
          <w:color w:val="4E5463"/>
          <w:spacing w:val="0"/>
          <w:sz w:val="21"/>
          <w:szCs w:val="21"/>
        </w:rPr>
      </w:pPr>
      <w:r>
        <w:rPr>
          <w:rFonts w:hint="eastAsia" w:ascii="仿宋" w:hAnsi="仿宋" w:eastAsia="仿宋" w:cs="仿宋"/>
          <w:i w:val="0"/>
          <w:iCs w:val="0"/>
          <w:caps w:val="0"/>
          <w:color w:val="4E5463"/>
          <w:spacing w:val="0"/>
          <w:sz w:val="21"/>
          <w:szCs w:val="21"/>
          <w:shd w:val="clear" w:color="auto" w:fill="FFFFFF"/>
        </w:rPr>
        <w:t>        招 标 人：伊川县高山镇人民政府</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地     址：伊川县高山镇古马路73号</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联 系 人：黄先生</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电     话：0379-68510003</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代理机构：建基工程咨询有限公司</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地     址：河南省郑州市管城回族区城东路100号1号楼1单元14层1401号</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联 系 人：何佳丽</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电     话：19103861385</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监管部门：伊川县住房和城乡建设局</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监管部门联系人：胡先生</w:t>
      </w:r>
      <w:r>
        <w:rPr>
          <w:rFonts w:hint="eastAsia" w:ascii="仿宋" w:hAnsi="仿宋" w:eastAsia="仿宋" w:cs="仿宋"/>
          <w:i w:val="0"/>
          <w:iCs w:val="0"/>
          <w:caps w:val="0"/>
          <w:color w:val="4E5463"/>
          <w:spacing w:val="0"/>
          <w:sz w:val="21"/>
          <w:szCs w:val="21"/>
          <w:shd w:val="clear" w:color="auto" w:fill="FFFFFF"/>
        </w:rPr>
        <w:br w:type="textWrapping"/>
      </w:r>
      <w:r>
        <w:rPr>
          <w:rFonts w:hint="eastAsia" w:ascii="仿宋" w:hAnsi="仿宋" w:eastAsia="仿宋" w:cs="仿宋"/>
          <w:i w:val="0"/>
          <w:iCs w:val="0"/>
          <w:caps w:val="0"/>
          <w:color w:val="4E5463"/>
          <w:spacing w:val="0"/>
          <w:sz w:val="21"/>
          <w:szCs w:val="21"/>
          <w:shd w:val="clear" w:color="auto" w:fill="FFFFFF"/>
        </w:rPr>
        <w:t>        监管部门联系方式：0379-69378911</w:t>
      </w:r>
    </w:p>
    <w:p w14:paraId="704F72D9">
      <w:pPr>
        <w:spacing w:after="0" w:line="360" w:lineRule="auto"/>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br w:type="page"/>
      </w:r>
    </w:p>
    <w:p w14:paraId="295BB506">
      <w:pPr>
        <w:pStyle w:val="2"/>
        <w:keepNext w:val="0"/>
        <w:keepLines w:val="0"/>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14" w:name="_Toc177142641"/>
      <w:r>
        <w:rPr>
          <w:rFonts w:hint="eastAsia" w:ascii="仿宋" w:hAnsi="仿宋" w:eastAsia="仿宋" w:cs="仿宋"/>
          <w:color w:val="000000" w:themeColor="text1"/>
          <w:sz w:val="32"/>
          <w14:textFill>
            <w14:solidFill>
              <w14:schemeClr w14:val="tx1"/>
            </w14:solidFill>
          </w14:textFill>
        </w:rPr>
        <w:t>第二章   投标人须知</w:t>
      </w:r>
      <w:bookmarkEnd w:id="9"/>
      <w:bookmarkEnd w:id="10"/>
      <w:bookmarkEnd w:id="11"/>
      <w:bookmarkEnd w:id="12"/>
      <w:bookmarkEnd w:id="13"/>
      <w:bookmarkEnd w:id="14"/>
    </w:p>
    <w:p w14:paraId="1785A70A">
      <w:pPr>
        <w:pStyle w:val="47"/>
        <w:keepNext w:val="0"/>
        <w:keepLines w:val="0"/>
        <w:spacing w:before="0" w:line="360" w:lineRule="auto"/>
        <w:jc w:val="center"/>
        <w:outlineLvl w:val="9"/>
        <w:rPr>
          <w:rFonts w:hint="eastAsia" w:ascii="仿宋" w:hAnsi="仿宋" w:eastAsia="仿宋" w:cs="仿宋"/>
          <w:color w:val="000000" w:themeColor="text1"/>
          <w:sz w:val="24"/>
          <w:szCs w:val="18"/>
          <w14:textFill>
            <w14:solidFill>
              <w14:schemeClr w14:val="tx1"/>
            </w14:solidFill>
          </w14:textFill>
        </w:rPr>
      </w:pPr>
      <w:bookmarkStart w:id="15" w:name="_Toc185"/>
      <w:bookmarkStart w:id="16" w:name="_Toc26538215"/>
      <w:bookmarkStart w:id="17" w:name="_Toc152045528"/>
      <w:bookmarkStart w:id="18" w:name="_Toc11733"/>
      <w:bookmarkStart w:id="19" w:name="_Toc23027"/>
      <w:bookmarkStart w:id="20" w:name="_Toc152042304"/>
      <w:bookmarkStart w:id="21" w:name="_Toc40361840"/>
      <w:bookmarkStart w:id="22" w:name="_Toc144974496"/>
      <w:bookmarkStart w:id="23" w:name="_Toc10056"/>
      <w:bookmarkStart w:id="24" w:name="_Toc2692"/>
      <w:bookmarkStart w:id="25" w:name="_Toc8423528"/>
      <w:bookmarkStart w:id="26" w:name="_Toc14765"/>
      <w:bookmarkStart w:id="27" w:name="_Toc31266"/>
      <w:r>
        <w:rPr>
          <w:rFonts w:hint="eastAsia" w:ascii="仿宋" w:hAnsi="仿宋" w:eastAsia="仿宋" w:cs="仿宋"/>
          <w:color w:val="000000" w:themeColor="text1"/>
          <w:sz w:val="24"/>
          <w:szCs w:val="18"/>
          <w14:textFill>
            <w14:solidFill>
              <w14:schemeClr w14:val="tx1"/>
            </w14:solidFill>
          </w14:textFill>
        </w:rPr>
        <w:t>投标人须知前附表</w:t>
      </w:r>
      <w:bookmarkEnd w:id="15"/>
      <w:bookmarkEnd w:id="16"/>
      <w:bookmarkEnd w:id="17"/>
      <w:bookmarkEnd w:id="18"/>
      <w:bookmarkEnd w:id="19"/>
      <w:bookmarkEnd w:id="20"/>
      <w:bookmarkEnd w:id="21"/>
      <w:bookmarkEnd w:id="22"/>
      <w:bookmarkEnd w:id="23"/>
      <w:bookmarkEnd w:id="24"/>
      <w:bookmarkEnd w:id="25"/>
      <w:bookmarkEnd w:id="26"/>
      <w:bookmarkEnd w:id="27"/>
    </w:p>
    <w:tbl>
      <w:tblPr>
        <w:tblStyle w:val="27"/>
        <w:tblW w:w="5000" w:type="pct"/>
        <w:jc w:val="center"/>
        <w:tblLayout w:type="autofit"/>
        <w:tblCellMar>
          <w:top w:w="0" w:type="dxa"/>
          <w:left w:w="108" w:type="dxa"/>
          <w:bottom w:w="0" w:type="dxa"/>
          <w:right w:w="108" w:type="dxa"/>
        </w:tblCellMar>
      </w:tblPr>
      <w:tblGrid>
        <w:gridCol w:w="946"/>
        <w:gridCol w:w="2356"/>
        <w:gridCol w:w="5554"/>
      </w:tblGrid>
      <w:tr w14:paraId="75C48C40">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FFD653E">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lang w:bidi="ar"/>
                <w14:textFill>
                  <w14:solidFill>
                    <w14:schemeClr w14:val="tx1"/>
                  </w14:solidFill>
                </w14:textFill>
              </w:rPr>
              <w:t>条款号</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FBD873A">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lang w:bidi="ar"/>
                <w14:textFill>
                  <w14:solidFill>
                    <w14:schemeClr w14:val="tx1"/>
                  </w14:solidFill>
                </w14:textFill>
              </w:rPr>
              <w:t>条  款  名  称</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D17801E">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lang w:bidi="ar"/>
                <w14:textFill>
                  <w14:solidFill>
                    <w14:schemeClr w14:val="tx1"/>
                  </w14:solidFill>
                </w14:textFill>
              </w:rPr>
              <w:t>编  列  内  容</w:t>
            </w:r>
          </w:p>
        </w:tc>
      </w:tr>
      <w:tr w14:paraId="096AE2E6">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2772A1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67B94D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招标人</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112C9E2">
            <w:pPr>
              <w:tabs>
                <w:tab w:val="left" w:pos="3600"/>
                <w:tab w:val="left" w:pos="7230"/>
                <w:tab w:val="left" w:pos="8222"/>
              </w:tabs>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招标人：</w:t>
            </w:r>
            <w:r>
              <w:rPr>
                <w:rFonts w:hint="eastAsia" w:ascii="仿宋" w:hAnsi="仿宋" w:eastAsia="仿宋" w:cs="仿宋"/>
                <w:color w:val="000000" w:themeColor="text1"/>
                <w:szCs w:val="21"/>
                <w:lang w:eastAsia="zh-CN"/>
                <w14:textFill>
                  <w14:solidFill>
                    <w14:schemeClr w14:val="tx1"/>
                  </w14:solidFill>
                </w14:textFill>
              </w:rPr>
              <w:t>伊川县高山镇人民政府</w:t>
            </w:r>
          </w:p>
          <w:p w14:paraId="508F2F38">
            <w:pPr>
              <w:tabs>
                <w:tab w:val="left" w:pos="3600"/>
                <w:tab w:val="left" w:pos="7230"/>
                <w:tab w:val="left" w:pos="8222"/>
              </w:tabs>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地址：</w:t>
            </w:r>
            <w:r>
              <w:rPr>
                <w:rFonts w:hint="eastAsia" w:ascii="仿宋" w:hAnsi="仿宋" w:eastAsia="仿宋" w:cs="仿宋"/>
                <w:color w:val="000000" w:themeColor="text1"/>
                <w:szCs w:val="21"/>
                <w:lang w:eastAsia="zh-CN"/>
                <w14:textFill>
                  <w14:solidFill>
                    <w14:schemeClr w14:val="tx1"/>
                  </w14:solidFill>
                </w14:textFill>
              </w:rPr>
              <w:t>伊川县高山镇古马路73号</w:t>
            </w:r>
          </w:p>
          <w:p w14:paraId="3569353F">
            <w:pPr>
              <w:tabs>
                <w:tab w:val="left" w:pos="3600"/>
                <w:tab w:val="left" w:pos="7230"/>
                <w:tab w:val="left" w:pos="8222"/>
              </w:tabs>
              <w:spacing w:after="0" w:line="360" w:lineRule="auto"/>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联系人：</w:t>
            </w:r>
            <w:r>
              <w:rPr>
                <w:rFonts w:hint="eastAsia" w:ascii="仿宋" w:hAnsi="仿宋" w:eastAsia="仿宋" w:cs="仿宋"/>
                <w:color w:val="000000" w:themeColor="text1"/>
                <w:szCs w:val="21"/>
                <w:highlight w:val="none"/>
                <w:lang w:val="en-US" w:eastAsia="zh-CN"/>
                <w14:textFill>
                  <w14:solidFill>
                    <w14:schemeClr w14:val="tx1"/>
                  </w14:solidFill>
                </w14:textFill>
              </w:rPr>
              <w:t>黄先生</w:t>
            </w:r>
          </w:p>
          <w:p w14:paraId="7B496C49">
            <w:pPr>
              <w:tabs>
                <w:tab w:val="left" w:pos="3600"/>
                <w:tab w:val="left" w:pos="7230"/>
                <w:tab w:val="left" w:pos="8222"/>
              </w:tabs>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联系方式：</w:t>
            </w:r>
            <w:r>
              <w:rPr>
                <w:rFonts w:hint="eastAsia" w:ascii="仿宋" w:hAnsi="仿宋" w:eastAsia="仿宋" w:cs="仿宋"/>
                <w:color w:val="000000" w:themeColor="text1"/>
                <w:szCs w:val="21"/>
                <w:lang w:eastAsia="zh-CN"/>
                <w14:textFill>
                  <w14:solidFill>
                    <w14:schemeClr w14:val="tx1"/>
                  </w14:solidFill>
                </w14:textFill>
              </w:rPr>
              <w:t>0379-68510003</w:t>
            </w:r>
          </w:p>
        </w:tc>
      </w:tr>
      <w:tr w14:paraId="7A65D420">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C70E7C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2A463FD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招标代理机构</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B1DACC6">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名称：</w:t>
            </w:r>
            <w:r>
              <w:rPr>
                <w:rFonts w:hint="eastAsia" w:ascii="仿宋" w:hAnsi="仿宋" w:eastAsia="仿宋" w:cs="仿宋"/>
                <w:color w:val="000000" w:themeColor="text1"/>
                <w:szCs w:val="21"/>
                <w:lang w:eastAsia="zh-CN"/>
                <w14:textFill>
                  <w14:solidFill>
                    <w14:schemeClr w14:val="tx1"/>
                  </w14:solidFill>
                </w14:textFill>
              </w:rPr>
              <w:t>建基工程咨询有限公司</w:t>
            </w:r>
          </w:p>
          <w:p w14:paraId="21B30D28">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地址：</w:t>
            </w:r>
            <w:r>
              <w:rPr>
                <w:rFonts w:hint="eastAsia" w:ascii="仿宋" w:hAnsi="仿宋" w:eastAsia="仿宋" w:cs="仿宋"/>
                <w:color w:val="000000" w:themeColor="text1"/>
                <w:szCs w:val="21"/>
                <w:lang w:eastAsia="zh-CN"/>
                <w14:textFill>
                  <w14:solidFill>
                    <w14:schemeClr w14:val="tx1"/>
                  </w14:solidFill>
                </w14:textFill>
              </w:rPr>
              <w:t>河南省郑州市管城回族区城东路100号1号楼1单元14层1401号</w:t>
            </w:r>
          </w:p>
          <w:p w14:paraId="4120F2B8">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联系人：</w:t>
            </w:r>
            <w:r>
              <w:rPr>
                <w:rFonts w:hint="eastAsia" w:ascii="仿宋" w:hAnsi="仿宋" w:eastAsia="仿宋" w:cs="仿宋"/>
                <w:color w:val="000000" w:themeColor="text1"/>
                <w:szCs w:val="21"/>
                <w:lang w:eastAsia="zh-CN"/>
                <w14:textFill>
                  <w14:solidFill>
                    <w14:schemeClr w14:val="tx1"/>
                  </w14:solidFill>
                </w14:textFill>
              </w:rPr>
              <w:t>苏女士，何女士</w:t>
            </w:r>
          </w:p>
          <w:p w14:paraId="0FBCB6A5">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电话：</w:t>
            </w:r>
            <w:r>
              <w:rPr>
                <w:rFonts w:hint="eastAsia" w:ascii="仿宋" w:hAnsi="仿宋" w:eastAsia="仿宋" w:cs="仿宋"/>
                <w:color w:val="000000" w:themeColor="text1"/>
                <w:szCs w:val="21"/>
                <w:lang w:eastAsia="zh-CN"/>
                <w14:textFill>
                  <w14:solidFill>
                    <w14:schemeClr w14:val="tx1"/>
                  </w14:solidFill>
                </w14:textFill>
              </w:rPr>
              <w:t>17838489921</w:t>
            </w:r>
          </w:p>
        </w:tc>
      </w:tr>
      <w:tr w14:paraId="27A0226A">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9AA2B0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5A2927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项目名称</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D9A7D5D">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伊川县高山镇人民政府伊川县高山镇豫西中药材集散中心建设设计项目</w:t>
            </w:r>
          </w:p>
        </w:tc>
      </w:tr>
      <w:tr w14:paraId="44C681DB">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07ECA3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1.1.5</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2329C0C2">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项目地点</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28EF0138">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洛阳市伊川县。</w:t>
            </w:r>
          </w:p>
        </w:tc>
      </w:tr>
      <w:tr w14:paraId="59FFC0B1">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438E03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1.1.6</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0FFEFD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项目概况</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DE2EDEF">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详见第一章招标公告</w:t>
            </w:r>
          </w:p>
        </w:tc>
      </w:tr>
      <w:tr w14:paraId="0042CA28">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C1A1F3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1.2.1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1A9231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资金来源</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E26E02C">
            <w:pPr>
              <w:spacing w:after="0" w:line="360" w:lineRule="auto"/>
              <w:jc w:val="both"/>
              <w:textAlignment w:val="baseline"/>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专项债</w:t>
            </w:r>
          </w:p>
        </w:tc>
      </w:tr>
      <w:tr w14:paraId="7404CEA8">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18E6CC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1.2.2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89033B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资金落实情况</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FF3DA4D">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已落实</w:t>
            </w:r>
          </w:p>
        </w:tc>
      </w:tr>
      <w:tr w14:paraId="58EED49C">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EA337BC">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1.3.1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E5B123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招标范围</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F24F7FD">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详见第一章招标公告</w:t>
            </w:r>
          </w:p>
        </w:tc>
      </w:tr>
      <w:tr w14:paraId="5F7B45C8">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2024A3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1.3.2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D56A876">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服务周期</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54223D0">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详见第一章招标公告</w:t>
            </w:r>
          </w:p>
        </w:tc>
      </w:tr>
      <w:tr w14:paraId="393E767D">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5217D2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1.3.3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05ED41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质量要求</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7E5AC4C">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详见第一章招标公告</w:t>
            </w:r>
          </w:p>
        </w:tc>
      </w:tr>
      <w:tr w14:paraId="0EE91554">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6797013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1.4.1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EEC125B">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投标人资格要求</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6F0B9AC">
            <w:pPr>
              <w:spacing w:after="0" w:line="360" w:lineRule="auto"/>
              <w:jc w:val="both"/>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w:t>
            </w:r>
            <w:r>
              <w:rPr>
                <w:rFonts w:hint="eastAsia" w:ascii="仿宋" w:hAnsi="仿宋" w:eastAsia="仿宋" w:cs="仿宋"/>
                <w:color w:val="000000" w:themeColor="text1"/>
                <w:szCs w:val="21"/>
                <w:lang w:bidi="ar"/>
                <w14:textFill>
                  <w14:solidFill>
                    <w14:schemeClr w14:val="tx1"/>
                  </w14:solidFill>
                </w14:textFill>
              </w:rPr>
              <w:t>见第一章招标公告</w:t>
            </w:r>
          </w:p>
        </w:tc>
      </w:tr>
      <w:tr w14:paraId="3BF04D2F">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50A6562">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1.4.2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2B08947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是否接受联合体投标</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651A58F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不接受</w:t>
            </w:r>
          </w:p>
        </w:tc>
      </w:tr>
      <w:tr w14:paraId="2AC6CD9D">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20DCBE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1.4.3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9397F5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投标人不得存在的其他情形</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097A5C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见投标人须知1.4.3规定</w:t>
            </w:r>
          </w:p>
        </w:tc>
      </w:tr>
      <w:tr w14:paraId="0614AF12">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A2B0672">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1.4.4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9F5D803">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落实政府采购政策要求</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71BE4856">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（1）本项目专门面向中小（含监狱、残疾人福利性单位）企业；</w:t>
            </w:r>
          </w:p>
          <w:p w14:paraId="2659FCC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（2）促进政府采购公平竞争优化营商环境，支持绿色发展、节约能源、保护环境，扶持不发达、少数民族地区的企业，促进自主创新产业发展、支持脱贫攻坚等相关政府采购政策。</w:t>
            </w:r>
          </w:p>
          <w:p w14:paraId="154D4AC3">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3）根据洛采购[2021]4号文件要求，参加政府采购项目的中小微企业供应商，持中标(成交)通知书可向金融机构申请合同融资。详情请登录《河南省政府采购网》，进入网站飘窗或业务指南窗口了解金融机构提供的融资服务内容。</w:t>
            </w:r>
          </w:p>
          <w:p w14:paraId="7299FA15">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eastAsia="zh-CN" w:bidi="ar"/>
                <w14:textFill>
                  <w14:solidFill>
                    <w14:schemeClr w14:val="tx1"/>
                  </w14:solidFill>
                </w14:textFill>
              </w:rPr>
              <w:t>（</w:t>
            </w:r>
            <w:r>
              <w:rPr>
                <w:rFonts w:hint="eastAsia" w:ascii="仿宋" w:hAnsi="仿宋" w:eastAsia="仿宋" w:cs="仿宋"/>
                <w:color w:val="000000" w:themeColor="text1"/>
                <w:szCs w:val="21"/>
                <w:lang w:val="en-US" w:eastAsia="zh-CN" w:bidi="ar"/>
                <w14:textFill>
                  <w14:solidFill>
                    <w14:schemeClr w14:val="tx1"/>
                  </w14:solidFill>
                </w14:textFill>
              </w:rPr>
              <w:t>4</w:t>
            </w:r>
            <w:r>
              <w:rPr>
                <w:rFonts w:hint="eastAsia" w:ascii="仿宋" w:hAnsi="仿宋" w:eastAsia="仿宋" w:cs="仿宋"/>
                <w:color w:val="000000" w:themeColor="text1"/>
                <w:szCs w:val="21"/>
                <w:lang w:eastAsia="zh-CN" w:bidi="ar"/>
                <w14:textFill>
                  <w14:solidFill>
                    <w14:schemeClr w14:val="tx1"/>
                  </w14:solidFill>
                </w14:textFill>
              </w:rPr>
              <w:t>）</w:t>
            </w:r>
            <w:r>
              <w:rPr>
                <w:rFonts w:hint="eastAsia" w:ascii="仿宋" w:hAnsi="仿宋" w:eastAsia="仿宋" w:cs="仿宋"/>
                <w:color w:val="000000" w:themeColor="text1"/>
                <w:szCs w:val="21"/>
                <w:lang w:bidi="ar"/>
                <w14:textFill>
                  <w14:solidFill>
                    <w14:schemeClr w14:val="tx1"/>
                  </w14:solidFill>
                </w14:textFill>
              </w:rPr>
              <w:t>供应商应当根据企业自身的实际状况，审慎出具《中小企业声明函》或监狱企业或残疾人福利性单位证明材料，内容不实的，属于弄虚作假骗取中标，并承担相应的法律责任。</w:t>
            </w:r>
          </w:p>
          <w:p w14:paraId="3F136B2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eastAsia="zh-CN" w:bidi="ar"/>
                <w14:textFill>
                  <w14:solidFill>
                    <w14:schemeClr w14:val="tx1"/>
                  </w14:solidFill>
                </w14:textFill>
              </w:rPr>
              <w:t>（</w:t>
            </w:r>
            <w:r>
              <w:rPr>
                <w:rFonts w:hint="eastAsia" w:ascii="仿宋" w:hAnsi="仿宋" w:eastAsia="仿宋" w:cs="仿宋"/>
                <w:color w:val="000000" w:themeColor="text1"/>
                <w:szCs w:val="21"/>
                <w:lang w:val="en-US" w:eastAsia="zh-CN" w:bidi="ar"/>
                <w14:textFill>
                  <w14:solidFill>
                    <w14:schemeClr w14:val="tx1"/>
                  </w14:solidFill>
                </w14:textFill>
              </w:rPr>
              <w:t>5</w:t>
            </w:r>
            <w:r>
              <w:rPr>
                <w:rFonts w:hint="eastAsia" w:ascii="仿宋" w:hAnsi="仿宋" w:eastAsia="仿宋" w:cs="仿宋"/>
                <w:color w:val="000000" w:themeColor="text1"/>
                <w:szCs w:val="21"/>
                <w:lang w:eastAsia="zh-CN" w:bidi="ar"/>
                <w14:textFill>
                  <w14:solidFill>
                    <w14:schemeClr w14:val="tx1"/>
                  </w14:solidFill>
                </w14:textFill>
              </w:rPr>
              <w:t>）</w:t>
            </w:r>
            <w:r>
              <w:rPr>
                <w:rFonts w:hint="eastAsia" w:ascii="仿宋" w:hAnsi="仿宋" w:eastAsia="仿宋" w:cs="仿宋"/>
                <w:color w:val="000000" w:themeColor="text1"/>
                <w:szCs w:val="21"/>
                <w:lang w:bidi="ar"/>
                <w14:textFill>
                  <w14:solidFill>
                    <w14:schemeClr w14:val="tx1"/>
                  </w14:solidFill>
                </w14:textFill>
              </w:rPr>
              <w:t>按照《关于印发中小企业划型标准规定的通知》（工信部联企业[2011]300号）文的规定，本次采购项目对应的中小微企业划分标准所属行业为：</w:t>
            </w:r>
            <w:r>
              <w:rPr>
                <w:rFonts w:hint="eastAsia" w:ascii="仿宋" w:hAnsi="仿宋" w:eastAsia="仿宋" w:cs="仿宋"/>
                <w:b/>
                <w:bCs/>
                <w:color w:val="000000" w:themeColor="text1"/>
                <w:szCs w:val="21"/>
                <w:lang w:bidi="ar"/>
                <w14:textFill>
                  <w14:solidFill>
                    <w14:schemeClr w14:val="tx1"/>
                  </w14:solidFill>
                </w14:textFill>
              </w:rPr>
              <w:t>“建筑业”</w:t>
            </w:r>
            <w:r>
              <w:rPr>
                <w:rFonts w:hint="eastAsia" w:ascii="仿宋" w:hAnsi="仿宋" w:eastAsia="仿宋" w:cs="仿宋"/>
                <w:color w:val="000000" w:themeColor="text1"/>
                <w:szCs w:val="21"/>
                <w:lang w:bidi="ar"/>
                <w14:textFill>
                  <w14:solidFill>
                    <w14:schemeClr w14:val="tx1"/>
                  </w14:solidFill>
                </w14:textFill>
              </w:rPr>
              <w:t>。</w:t>
            </w:r>
          </w:p>
        </w:tc>
      </w:tr>
      <w:tr w14:paraId="25C45D5C">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E291410">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1.9.1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991D663">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踏勘现场</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D1EB469">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不组织</w:t>
            </w:r>
          </w:p>
        </w:tc>
      </w:tr>
      <w:tr w14:paraId="2F2B2966">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7A15BDB">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1.10.1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6E40EA3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投标预备会</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EEDCE11">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不召开</w:t>
            </w:r>
          </w:p>
        </w:tc>
      </w:tr>
      <w:tr w14:paraId="55F4C073">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55EF9B1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1.11.1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EADD9D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分包</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BD57B4F">
            <w:pPr>
              <w:spacing w:after="0" w:line="360" w:lineRule="auto"/>
              <w:jc w:val="both"/>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不允许</w:t>
            </w:r>
          </w:p>
        </w:tc>
      </w:tr>
      <w:tr w14:paraId="71A4598B">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719C35B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1.12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5F6552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偏离</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61CBA001">
            <w:pPr>
              <w:spacing w:after="0" w:line="360" w:lineRule="auto"/>
              <w:jc w:val="both"/>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不允许</w:t>
            </w:r>
          </w:p>
        </w:tc>
      </w:tr>
      <w:tr w14:paraId="28F24609">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7F1ADD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2.2.1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086096E">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投标人要求澄清招标文件的截止时间及形式</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DF429F9">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提交投标文件截止时间10日前，由投标人在洛阳市电子招投标交易平台上进行提问。</w:t>
            </w:r>
          </w:p>
          <w:p w14:paraId="0B5A33E1">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在投标截止时间前10日内，招标人、招标代理机构不再受理投标人提出的问题。</w:t>
            </w:r>
          </w:p>
          <w:p w14:paraId="33BE83F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文件的澄清、修改将在指定媒介上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tc>
      </w:tr>
      <w:tr w14:paraId="4484CC07">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5BF0169A">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2.2.2</w:t>
            </w:r>
          </w:p>
        </w:tc>
        <w:tc>
          <w:tcPr>
            <w:tcW w:w="1330" w:type="pct"/>
            <w:tcBorders>
              <w:top w:val="single" w:color="auto" w:sz="4" w:space="0"/>
              <w:left w:val="single" w:color="auto" w:sz="4" w:space="0"/>
              <w:bottom w:val="single" w:color="auto" w:sz="4" w:space="0"/>
              <w:right w:val="single" w:color="auto" w:sz="4" w:space="0"/>
            </w:tcBorders>
            <w:vAlign w:val="center"/>
          </w:tcPr>
          <w:p w14:paraId="4CDFDEA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投标截止时间</w:t>
            </w:r>
          </w:p>
        </w:tc>
        <w:tc>
          <w:tcPr>
            <w:tcW w:w="3135" w:type="pct"/>
            <w:tcBorders>
              <w:top w:val="single" w:color="auto" w:sz="4" w:space="0"/>
              <w:left w:val="single" w:color="auto" w:sz="4" w:space="0"/>
              <w:bottom w:val="single" w:color="auto" w:sz="4" w:space="0"/>
              <w:right w:val="single" w:color="auto" w:sz="4" w:space="0"/>
            </w:tcBorders>
            <w:vAlign w:val="center"/>
          </w:tcPr>
          <w:p w14:paraId="71FB8015">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详见第一章招标公告</w:t>
            </w:r>
          </w:p>
        </w:tc>
      </w:tr>
      <w:tr w14:paraId="269F1871">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8A524E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62A2113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报价方式</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516D898C">
            <w:pPr>
              <w:spacing w:after="0" w:line="360" w:lineRule="auto"/>
              <w:textAlignment w:val="baseline"/>
              <w:rPr>
                <w:color w:val="000000" w:themeColor="text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总价。本项目按总价执行，已包含完成本项目的所有费用及税费，招标人不再另行支付任何费用。请投标人充分考虑投标风险，考虑不可预见费用的发生。</w:t>
            </w:r>
          </w:p>
        </w:tc>
      </w:tr>
      <w:tr w14:paraId="3D4F5BB9">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vAlign w:val="center"/>
          </w:tcPr>
          <w:p w14:paraId="5FD8038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3.2.4</w:t>
            </w:r>
          </w:p>
        </w:tc>
        <w:tc>
          <w:tcPr>
            <w:tcW w:w="1330" w:type="pct"/>
            <w:tcBorders>
              <w:top w:val="single" w:color="auto" w:sz="4" w:space="0"/>
              <w:left w:val="single" w:color="auto" w:sz="4" w:space="0"/>
              <w:bottom w:val="single" w:color="auto" w:sz="4" w:space="0"/>
              <w:right w:val="single" w:color="auto" w:sz="4" w:space="0"/>
            </w:tcBorders>
            <w:vAlign w:val="center"/>
          </w:tcPr>
          <w:p w14:paraId="07A2E4F4">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最高投标限价(招标控制价)</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3E8310C">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b/>
                <w:bCs/>
                <w:color w:val="000000" w:themeColor="text1"/>
                <w:szCs w:val="21"/>
                <w:lang w:bidi="ar"/>
                <w14:textFill>
                  <w14:solidFill>
                    <w14:schemeClr w14:val="tx1"/>
                  </w14:solidFill>
                </w14:textFill>
              </w:rPr>
              <w:t>最高投标限价(招标控制价)：</w:t>
            </w:r>
            <w:r>
              <w:rPr>
                <w:rFonts w:hint="eastAsia" w:ascii="仿宋" w:hAnsi="仿宋" w:eastAsia="仿宋" w:cs="仿宋"/>
                <w:b/>
                <w:bCs/>
                <w:color w:val="000000" w:themeColor="text1"/>
                <w:szCs w:val="21"/>
                <w:lang w:val="en-US" w:eastAsia="zh-CN" w:bidi="ar"/>
                <w14:textFill>
                  <w14:solidFill>
                    <w14:schemeClr w14:val="tx1"/>
                  </w14:solidFill>
                </w14:textFill>
              </w:rPr>
              <w:t>1895700.00</w:t>
            </w:r>
            <w:r>
              <w:rPr>
                <w:rFonts w:hint="eastAsia" w:ascii="仿宋" w:hAnsi="仿宋" w:eastAsia="仿宋" w:cs="仿宋"/>
                <w:b/>
                <w:bCs/>
                <w:color w:val="000000" w:themeColor="text1"/>
                <w:szCs w:val="21"/>
                <w:lang w:bidi="ar"/>
                <w14:textFill>
                  <w14:solidFill>
                    <w14:schemeClr w14:val="tx1"/>
                  </w14:solidFill>
                </w14:textFill>
              </w:rPr>
              <w:t>元。</w:t>
            </w:r>
          </w:p>
          <w:p w14:paraId="25ECA0E3">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投标人的报价超过本项目最高投标限价(招标控制价)的，其投标将被否决。</w:t>
            </w:r>
          </w:p>
        </w:tc>
      </w:tr>
      <w:tr w14:paraId="3B81BCCE">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732455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3.2.5</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BE452B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投标报价的其他要求</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78EEB1A5">
            <w:pPr>
              <w:spacing w:after="0" w:line="360" w:lineRule="auto"/>
              <w:jc w:val="both"/>
              <w:textAlignment w:val="baseline"/>
              <w:rPr>
                <w:rFonts w:hint="eastAsia" w:ascii="仿宋" w:hAnsi="仿宋" w:eastAsia="仿宋" w:cs="仿宋"/>
                <w:b/>
                <w:bCs/>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报价应包含为完成本项目所需要的全部费用（包含且不限于所投服务、税费、交付后约定期限内免费后续服务等工作所发生的一切应有费用及加班费、物品损耗、图册资料、差旅交通、办公通讯费费等全部费用）；投标人应充分了解该项目的总体情况以及影响投标报价的其他要素，任何因对项目的情况了解不足或考虑不周，而导致的</w:t>
            </w:r>
            <w:r>
              <w:rPr>
                <w:rFonts w:hint="eastAsia" w:ascii="仿宋" w:hAnsi="仿宋" w:eastAsia="仿宋" w:cs="仿宋"/>
                <w:color w:val="000000" w:themeColor="text1"/>
                <w:szCs w:val="21"/>
                <w:lang w:eastAsia="zh-CN" w:bidi="ar"/>
                <w14:textFill>
                  <w14:solidFill>
                    <w14:schemeClr w14:val="tx1"/>
                  </w14:solidFill>
                </w14:textFill>
              </w:rPr>
              <w:t>服务周期</w:t>
            </w:r>
            <w:r>
              <w:rPr>
                <w:rFonts w:hint="eastAsia" w:ascii="仿宋" w:hAnsi="仿宋" w:eastAsia="仿宋" w:cs="仿宋"/>
                <w:color w:val="000000" w:themeColor="text1"/>
                <w:szCs w:val="21"/>
                <w:lang w:bidi="ar"/>
                <w14:textFill>
                  <w14:solidFill>
                    <w14:schemeClr w14:val="tx1"/>
                  </w14:solidFill>
                </w14:textFill>
              </w:rPr>
              <w:t>和费用增加，由投标人自行承担。</w:t>
            </w:r>
          </w:p>
        </w:tc>
      </w:tr>
      <w:tr w14:paraId="70D557BC">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2380C2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r>
              <w:rPr>
                <w:rFonts w:ascii="仿宋" w:hAnsi="仿宋" w:eastAsia="仿宋" w:cs="仿宋"/>
                <w:color w:val="000000" w:themeColor="text1"/>
                <w:szCs w:val="21"/>
                <w14:textFill>
                  <w14:solidFill>
                    <w14:schemeClr w14:val="tx1"/>
                  </w14:solidFill>
                </w14:textFill>
              </w:rPr>
              <w:t>.2.6</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4592C0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报价相关说明</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275A6579">
            <w:pPr>
              <w:spacing w:after="0" w:line="360" w:lineRule="auto"/>
              <w:jc w:val="both"/>
              <w:textAlignment w:val="baseline"/>
              <w:rPr>
                <w:color w:val="000000" w:themeColor="text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w:t>
            </w:r>
          </w:p>
        </w:tc>
      </w:tr>
      <w:tr w14:paraId="4B1FB741">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6C2E24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3.3.1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CDBCF5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投标有效期</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D262E26">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投标截止之日起90日历天</w:t>
            </w:r>
          </w:p>
        </w:tc>
      </w:tr>
      <w:tr w14:paraId="40BF97B9">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6A1B8A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3.4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D21024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投标保证金</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5255C1C">
            <w:pPr>
              <w:autoSpaceDE w:val="0"/>
              <w:autoSpaceDN w:val="0"/>
              <w:spacing w:after="0" w:line="360" w:lineRule="auto"/>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本项目不缴纳投标保证金，投标人须在投标文件中提供《投标保证金企业信用承诺函》，格式见投标文件格式。</w:t>
            </w:r>
          </w:p>
        </w:tc>
      </w:tr>
      <w:tr w14:paraId="5F3F4550">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1B53E4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3.5</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7E2C7D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资格审查方式</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D6F562B">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资格后审</w:t>
            </w:r>
          </w:p>
        </w:tc>
      </w:tr>
      <w:tr w14:paraId="1EB44976">
        <w:tblPrEx>
          <w:tblCellMar>
            <w:top w:w="0" w:type="dxa"/>
            <w:left w:w="108" w:type="dxa"/>
            <w:bottom w:w="0" w:type="dxa"/>
            <w:right w:w="108" w:type="dxa"/>
          </w:tblCellMar>
        </w:tblPrEx>
        <w:trPr>
          <w:trHeight w:val="692"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AB9DFB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3.6</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BA6E3B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是否允许递交备选投标方案</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7B74EBDE">
            <w:pPr>
              <w:pStyle w:val="8"/>
              <w:topLinePunct/>
              <w:spacing w:line="360" w:lineRule="auto"/>
              <w:textAlignment w:val="baseline"/>
              <w:rPr>
                <w:rFonts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 w:val="21"/>
                <w:szCs w:val="21"/>
                <w14:textFill>
                  <w14:solidFill>
                    <w14:schemeClr w14:val="tx1"/>
                  </w14:solidFill>
                </w14:textFill>
              </w:rPr>
              <w:t>不允许</w:t>
            </w:r>
          </w:p>
        </w:tc>
      </w:tr>
      <w:tr w14:paraId="058A359D">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67D697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4.1.1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AD1F7F9">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签字或盖章要求</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70A14853">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文件格式中要求盖单位章和（或）签字的地方，投标人均应使用CA数字证书加盖投标人的单位电子签章和（或）法定代表人的个人电子签章。签名可以是手签后上传扫描件，也可以是电子手写签名或个人电子签章。</w:t>
            </w:r>
          </w:p>
        </w:tc>
      </w:tr>
      <w:tr w14:paraId="17196AB8">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8F45B6B">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4.1.2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10E689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投标文件份数</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8E5AEF2">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加密的电子投标文件一份（*.lytf格式）</w:t>
            </w:r>
          </w:p>
        </w:tc>
      </w:tr>
      <w:tr w14:paraId="170F9B35">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71044FB">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4.2.3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35B534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投标文件上传问题联系方式</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22F93C31">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投标人因洛阳市电子招投标交易平台问题无法上传电子投标文件时，请在工作时间与交易中心联系。联系方式：400-998-0000。</w:t>
            </w:r>
          </w:p>
          <w:p w14:paraId="12A19350">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b/>
                <w:bCs/>
                <w:color w:val="000000" w:themeColor="text1"/>
                <w:szCs w:val="21"/>
                <w:lang w:bidi="ar"/>
                <w14:textFill>
                  <w14:solidFill>
                    <w14:schemeClr w14:val="tx1"/>
                  </w14:solidFill>
                </w14:textFill>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14:paraId="642E7F32">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4F9598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4.2.4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4F500A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是否退还投标文件</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BC03924">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否</w:t>
            </w:r>
          </w:p>
        </w:tc>
      </w:tr>
      <w:tr w14:paraId="6371F906">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08EFB535">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5.1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D5E5C50">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开标时间和地点</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8BD0FB5">
            <w:pPr>
              <w:spacing w:after="0" w:line="360" w:lineRule="auto"/>
              <w:jc w:val="both"/>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开标时间：同投标截止时间</w:t>
            </w:r>
          </w:p>
          <w:p w14:paraId="7442C847">
            <w:pPr>
              <w:spacing w:after="0" w:line="360" w:lineRule="auto"/>
              <w:jc w:val="both"/>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开标地点：同递交投标文件地点</w:t>
            </w:r>
          </w:p>
        </w:tc>
      </w:tr>
      <w:tr w14:paraId="6DB3C2CD">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FD8381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6.1.1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61A685C">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评标委员会的组建</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9FDD0FB">
            <w:pPr>
              <w:spacing w:after="0" w:line="360" w:lineRule="auto"/>
              <w:jc w:val="both"/>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评标委员会构成：</w:t>
            </w:r>
            <w:r>
              <w:rPr>
                <w:rFonts w:hint="eastAsia" w:ascii="仿宋" w:hAnsi="仿宋" w:eastAsia="仿宋" w:cs="仿宋"/>
                <w:color w:val="000000" w:themeColor="text1"/>
                <w:szCs w:val="21"/>
                <w:u w:val="single"/>
                <w:lang w:bidi="ar"/>
                <w14:textFill>
                  <w14:solidFill>
                    <w14:schemeClr w14:val="tx1"/>
                  </w14:solidFill>
                </w14:textFill>
              </w:rPr>
              <w:t>5</w:t>
            </w:r>
            <w:r>
              <w:rPr>
                <w:rFonts w:hint="eastAsia" w:ascii="仿宋" w:hAnsi="仿宋" w:eastAsia="仿宋" w:cs="仿宋"/>
                <w:color w:val="000000" w:themeColor="text1"/>
                <w:szCs w:val="21"/>
                <w:lang w:bidi="ar"/>
                <w14:textFill>
                  <w14:solidFill>
                    <w14:schemeClr w14:val="tx1"/>
                  </w14:solidFill>
                </w14:textFill>
              </w:rPr>
              <w:t>人</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bidi="ar"/>
                <w14:textFill>
                  <w14:solidFill>
                    <w14:schemeClr w14:val="tx1"/>
                  </w14:solidFill>
                </w14:textFill>
              </w:rPr>
              <w:t>其中招标人代表</w:t>
            </w:r>
            <w:r>
              <w:rPr>
                <w:rFonts w:hint="eastAsia" w:ascii="仿宋" w:hAnsi="仿宋" w:eastAsia="仿宋" w:cs="仿宋"/>
                <w:color w:val="000000" w:themeColor="text1"/>
                <w:szCs w:val="21"/>
                <w:u w:val="single"/>
                <w:lang w:bidi="ar"/>
                <w14:textFill>
                  <w14:solidFill>
                    <w14:schemeClr w14:val="tx1"/>
                  </w14:solidFill>
                </w14:textFill>
              </w:rPr>
              <w:t>1</w:t>
            </w:r>
            <w:r>
              <w:rPr>
                <w:rFonts w:hint="eastAsia" w:ascii="仿宋" w:hAnsi="仿宋" w:eastAsia="仿宋" w:cs="仿宋"/>
                <w:color w:val="000000" w:themeColor="text1"/>
                <w:szCs w:val="21"/>
                <w:lang w:bidi="ar"/>
                <w14:textFill>
                  <w14:solidFill>
                    <w14:schemeClr w14:val="tx1"/>
                  </w14:solidFill>
                </w14:textFill>
              </w:rPr>
              <w:t>人，专家</w:t>
            </w:r>
            <w:r>
              <w:rPr>
                <w:rFonts w:hint="eastAsia" w:ascii="仿宋" w:hAnsi="仿宋" w:eastAsia="仿宋" w:cs="仿宋"/>
                <w:color w:val="000000" w:themeColor="text1"/>
                <w:szCs w:val="21"/>
                <w:u w:val="single"/>
                <w:lang w:bidi="ar"/>
                <w14:textFill>
                  <w14:solidFill>
                    <w14:schemeClr w14:val="tx1"/>
                  </w14:solidFill>
                </w14:textFill>
              </w:rPr>
              <w:t>4</w:t>
            </w:r>
            <w:r>
              <w:rPr>
                <w:rFonts w:hint="eastAsia" w:ascii="仿宋" w:hAnsi="仿宋" w:eastAsia="仿宋" w:cs="仿宋"/>
                <w:color w:val="000000" w:themeColor="text1"/>
                <w:szCs w:val="21"/>
                <w:lang w:bidi="ar"/>
                <w14:textFill>
                  <w14:solidFill>
                    <w14:schemeClr w14:val="tx1"/>
                  </w14:solidFill>
                </w14:textFill>
              </w:rPr>
              <w:t>人；</w:t>
            </w:r>
          </w:p>
          <w:p w14:paraId="4494E6EE">
            <w:pPr>
              <w:spacing w:after="0" w:line="360" w:lineRule="auto"/>
              <w:jc w:val="both"/>
              <w:textAlignment w:val="baseline"/>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评标专家确定方式：经济、技术专家应从河南省综合评标专家库中随机抽取确定。</w:t>
            </w:r>
          </w:p>
        </w:tc>
      </w:tr>
      <w:tr w14:paraId="04EA22F5">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nil"/>
              <w:right w:val="single" w:color="auto" w:sz="4" w:space="0"/>
            </w:tcBorders>
            <w:shd w:val="clear" w:color="auto" w:fill="auto"/>
            <w:vAlign w:val="center"/>
          </w:tcPr>
          <w:p w14:paraId="0369F29E">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46752927">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是否授权评标委员会确定中标人</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6EDF683E">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否，按照综合得分由高到低的顺序推荐前3名为中标候选人。</w:t>
            </w:r>
          </w:p>
          <w:p w14:paraId="2B84664E">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中标候选人排序方法详见第三章评标办法。</w:t>
            </w:r>
          </w:p>
          <w:p w14:paraId="2A80134F">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若排名第一的中标候选人放弃中标、因不可抗力不能履行合同、或者被查实存在影响中标结果的违法行为等情形，不符合中标条件的，招标人可以按照评标委员会提出的中标候选人名单排序依次确定其他中标候选人为中标人或者重新招标。</w:t>
            </w:r>
          </w:p>
        </w:tc>
      </w:tr>
      <w:tr w14:paraId="7B35D48B">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50A4024">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3073DF3F">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中标候选人公示媒介及期限</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8B59F6D">
            <w:pPr>
              <w:spacing w:after="0" w:line="360" w:lineRule="auto"/>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公示媒介：招标公告同一发布媒介</w:t>
            </w:r>
          </w:p>
          <w:p w14:paraId="0EE7E8AF">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公示期限：3日历天</w:t>
            </w:r>
          </w:p>
        </w:tc>
      </w:tr>
      <w:tr w14:paraId="7C949931">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63ADA8F">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E15080E">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4E0D670">
            <w:pPr>
              <w:pStyle w:val="9"/>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本项目不收取履约保证金</w:t>
            </w:r>
          </w:p>
        </w:tc>
      </w:tr>
      <w:tr w14:paraId="74742C5C">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24D5892">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lang w:bidi="ar"/>
                <w14:textFill>
                  <w14:solidFill>
                    <w14:schemeClr w14:val="tx1"/>
                  </w14:solidFill>
                </w14:textFill>
              </w:rPr>
              <w:t>10</w:t>
            </w:r>
          </w:p>
        </w:tc>
        <w:tc>
          <w:tcPr>
            <w:tcW w:w="446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126EB1">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lang w:bidi="ar"/>
                <w14:textFill>
                  <w14:solidFill>
                    <w14:schemeClr w14:val="tx1"/>
                  </w14:solidFill>
                </w14:textFill>
              </w:rPr>
              <w:t>需要补充的其他内容</w:t>
            </w:r>
          </w:p>
        </w:tc>
      </w:tr>
      <w:tr w14:paraId="63A10D66">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EE72961">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10.1</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5E952B4">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是否采用电子招标投标</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66577556">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是</w:t>
            </w:r>
          </w:p>
        </w:tc>
      </w:tr>
      <w:tr w14:paraId="688D2058">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3F5BBE0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10.2</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70A1F9C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投标人违法行为的处理</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C64D6A5">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人若发现评标委员会推举的中标候选人有借用资质、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14:paraId="4F2DE385">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98E78F9">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10.3</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0286740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投标文件中所附证明资料</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1AE56B96">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投标文件中所附证明材料均为原件的扫描件</w:t>
            </w:r>
            <w:r>
              <w:rPr>
                <w:rFonts w:hint="eastAsia" w:ascii="仿宋" w:hAnsi="仿宋" w:eastAsia="仿宋" w:cs="仿宋"/>
                <w:color w:val="000000" w:themeColor="text1"/>
                <w:szCs w:val="21"/>
                <w14:textFill>
                  <w14:solidFill>
                    <w14:schemeClr w14:val="tx1"/>
                  </w14:solidFill>
                </w14:textFill>
              </w:rPr>
              <w:t>（或照片）</w:t>
            </w:r>
            <w:r>
              <w:rPr>
                <w:rFonts w:hint="eastAsia" w:ascii="仿宋" w:hAnsi="仿宋" w:eastAsia="仿宋" w:cs="仿宋"/>
                <w:color w:val="000000" w:themeColor="text1"/>
                <w:szCs w:val="21"/>
                <w:lang w:bidi="ar"/>
                <w14:textFill>
                  <w14:solidFill>
                    <w14:schemeClr w14:val="tx1"/>
                  </w14:solidFill>
                </w14:textFill>
              </w:rPr>
              <w:t>，尺寸和清晰度应该能够在电脑上被阅读、识别和判断；若投标人未按要求提供证明材料或提供不清晰的扫描件</w:t>
            </w:r>
            <w:r>
              <w:rPr>
                <w:rFonts w:hint="eastAsia" w:ascii="仿宋" w:hAnsi="仿宋" w:eastAsia="仿宋" w:cs="仿宋"/>
                <w:color w:val="000000" w:themeColor="text1"/>
                <w:szCs w:val="21"/>
                <w14:textFill>
                  <w14:solidFill>
                    <w14:schemeClr w14:val="tx1"/>
                  </w14:solidFill>
                </w14:textFill>
              </w:rPr>
              <w:t>（或照片）</w:t>
            </w:r>
            <w:r>
              <w:rPr>
                <w:rFonts w:hint="eastAsia" w:ascii="仿宋" w:hAnsi="仿宋" w:eastAsia="仿宋" w:cs="仿宋"/>
                <w:color w:val="000000" w:themeColor="text1"/>
                <w:szCs w:val="21"/>
                <w:lang w:bidi="ar"/>
                <w14:textFill>
                  <w14:solidFill>
                    <w14:schemeClr w14:val="tx1"/>
                  </w14:solidFill>
                </w14:textFill>
              </w:rPr>
              <w:t>的，评标委员会有权认定其投标文件未对招标文件有关要求进行响应，涉及资格性审查或符合性审查的将不予通过。</w:t>
            </w:r>
          </w:p>
        </w:tc>
      </w:tr>
      <w:tr w14:paraId="1D2EB7C0">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68DE0B7">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10.4</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27DDF4AD">
            <w:pPr>
              <w:spacing w:after="0" w:line="360" w:lineRule="auto"/>
              <w:jc w:val="center"/>
              <w:textAlignment w:val="baseline"/>
              <w:rPr>
                <w:rFonts w:hint="eastAsia" w:ascii="仿宋" w:hAnsi="仿宋" w:eastAsia="仿宋" w:cs="仿宋"/>
                <w:color w:val="000000" w:themeColor="text1"/>
                <w:szCs w:val="21"/>
                <w:highlight w:val="none"/>
                <w:lang w:bidi="ar"/>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付款办法</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38DB8B2C">
            <w:pPr>
              <w:spacing w:after="0" w:line="360" w:lineRule="auto"/>
              <w:textAlignment w:val="baseline"/>
              <w:rPr>
                <w:rFonts w:hint="eastAsia" w:ascii="仿宋" w:hAnsi="仿宋" w:eastAsia="仿宋" w:cs="仿宋"/>
                <w:color w:val="000000" w:themeColor="text1"/>
                <w:szCs w:val="21"/>
                <w:highlight w:val="none"/>
                <w:lang w:bidi="ar"/>
                <w14:textFill>
                  <w14:solidFill>
                    <w14:schemeClr w14:val="tx1"/>
                  </w14:solidFill>
                </w14:textFill>
              </w:rPr>
            </w:pPr>
            <w:r>
              <w:rPr>
                <w:rFonts w:hint="eastAsia" w:ascii="仿宋" w:hAnsi="仿宋" w:eastAsia="仿宋" w:cs="仿宋"/>
                <w:strike w:val="0"/>
                <w:dstrike w:val="0"/>
                <w:color w:val="000000" w:themeColor="text1"/>
                <w:szCs w:val="21"/>
                <w:highlight w:val="none"/>
                <w:lang w:bidi="ar"/>
                <w14:textFill>
                  <w14:solidFill>
                    <w14:schemeClr w14:val="tx1"/>
                  </w14:solidFill>
                </w14:textFill>
              </w:rPr>
              <w:t>由招标人支付。签订合同后出效果图支付合同额30%</w:t>
            </w:r>
            <w:r>
              <w:rPr>
                <w:rFonts w:hint="eastAsia" w:ascii="仿宋" w:hAnsi="仿宋" w:eastAsia="仿宋" w:cs="仿宋"/>
                <w:strike w:val="0"/>
                <w:dstrike w:val="0"/>
                <w:color w:val="000000" w:themeColor="text1"/>
                <w:szCs w:val="21"/>
                <w:highlight w:val="none"/>
                <w:lang w:val="en-US" w:eastAsia="zh-CN" w:bidi="ar"/>
                <w14:textFill>
                  <w14:solidFill>
                    <w14:schemeClr w14:val="tx1"/>
                  </w14:solidFill>
                </w14:textFill>
              </w:rPr>
              <w:t xml:space="preserve"> </w:t>
            </w:r>
            <w:r>
              <w:rPr>
                <w:rFonts w:hint="eastAsia" w:ascii="仿宋" w:hAnsi="仿宋" w:eastAsia="仿宋" w:cs="仿宋"/>
                <w:strike w:val="0"/>
                <w:dstrike w:val="0"/>
                <w:color w:val="000000" w:themeColor="text1"/>
                <w:szCs w:val="21"/>
                <w:highlight w:val="none"/>
                <w:lang w:bidi="ar"/>
                <w14:textFill>
                  <w14:solidFill>
                    <w14:schemeClr w14:val="tx1"/>
                  </w14:solidFill>
                </w14:textFill>
              </w:rPr>
              <w:t>；交付施工图成果后支付至合同额60%</w:t>
            </w:r>
            <w:r>
              <w:rPr>
                <w:rFonts w:hint="eastAsia" w:ascii="仿宋" w:hAnsi="仿宋" w:eastAsia="仿宋" w:cs="仿宋"/>
                <w:strike w:val="0"/>
                <w:dstrike w:val="0"/>
                <w:color w:val="000000" w:themeColor="text1"/>
                <w:szCs w:val="21"/>
                <w:highlight w:val="none"/>
                <w:lang w:val="en-US" w:eastAsia="zh-CN" w:bidi="ar"/>
                <w14:textFill>
                  <w14:solidFill>
                    <w14:schemeClr w14:val="tx1"/>
                  </w14:solidFill>
                </w14:textFill>
              </w:rPr>
              <w:t xml:space="preserve"> </w:t>
            </w:r>
            <w:r>
              <w:rPr>
                <w:rFonts w:hint="eastAsia" w:ascii="仿宋" w:hAnsi="仿宋" w:eastAsia="仿宋" w:cs="仿宋"/>
                <w:strike w:val="0"/>
                <w:dstrike w:val="0"/>
                <w:color w:val="000000" w:themeColor="text1"/>
                <w:szCs w:val="21"/>
                <w:highlight w:val="none"/>
                <w:lang w:bidi="ar"/>
                <w14:textFill>
                  <w14:solidFill>
                    <w14:schemeClr w14:val="tx1"/>
                  </w14:solidFill>
                </w14:textFill>
              </w:rPr>
              <w:t>；竣工验收完成后支付合同额100%</w:t>
            </w:r>
            <w:r>
              <w:rPr>
                <w:rFonts w:hint="eastAsia" w:ascii="仿宋" w:hAnsi="仿宋" w:eastAsia="仿宋" w:cs="仿宋"/>
                <w:strike w:val="0"/>
                <w:dstrike w:val="0"/>
                <w:color w:val="000000" w:themeColor="text1"/>
                <w:szCs w:val="21"/>
                <w:highlight w:val="none"/>
                <w:lang w:val="en-US" w:eastAsia="zh-CN" w:bidi="ar"/>
                <w14:textFill>
                  <w14:solidFill>
                    <w14:schemeClr w14:val="tx1"/>
                  </w14:solidFill>
                </w14:textFill>
              </w:rPr>
              <w:t xml:space="preserve"> </w:t>
            </w:r>
            <w:r>
              <w:rPr>
                <w:rFonts w:hint="eastAsia" w:ascii="仿宋" w:hAnsi="仿宋" w:eastAsia="仿宋" w:cs="仿宋"/>
                <w:strike w:val="0"/>
                <w:dstrike w:val="0"/>
                <w:color w:val="000000" w:themeColor="text1"/>
                <w:szCs w:val="21"/>
                <w:highlight w:val="none"/>
                <w:lang w:bidi="ar"/>
                <w14:textFill>
                  <w14:solidFill>
                    <w14:schemeClr w14:val="tx1"/>
                  </w14:solidFill>
                </w14:textFill>
              </w:rPr>
              <w:t>。具体付款方式由双方自行协商，在合同中约定。</w:t>
            </w:r>
          </w:p>
        </w:tc>
      </w:tr>
      <w:tr w14:paraId="0C8F82CB">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96C3C84">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10.5</w:t>
            </w:r>
          </w:p>
        </w:tc>
        <w:tc>
          <w:tcPr>
            <w:tcW w:w="1330" w:type="pct"/>
            <w:tcBorders>
              <w:top w:val="single" w:color="auto" w:sz="4" w:space="0"/>
              <w:left w:val="single" w:color="auto" w:sz="4" w:space="0"/>
              <w:bottom w:val="single" w:color="auto" w:sz="4" w:space="0"/>
              <w:right w:val="single" w:color="auto" w:sz="4" w:space="0"/>
            </w:tcBorders>
            <w:vAlign w:val="center"/>
          </w:tcPr>
          <w:p w14:paraId="1AE9DDF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电子雷同性检查</w:t>
            </w:r>
          </w:p>
        </w:tc>
        <w:tc>
          <w:tcPr>
            <w:tcW w:w="3135" w:type="pct"/>
            <w:tcBorders>
              <w:top w:val="single" w:color="auto" w:sz="4" w:space="0"/>
              <w:left w:val="single" w:color="auto" w:sz="4" w:space="0"/>
              <w:bottom w:val="single" w:color="auto" w:sz="4" w:space="0"/>
              <w:right w:val="single" w:color="auto" w:sz="4" w:space="0"/>
            </w:tcBorders>
            <w:vAlign w:val="center"/>
          </w:tcPr>
          <w:p w14:paraId="34534569">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洛阳市住房和城乡建设局关于进一步做好房屋建筑和市政基础设施工程电子投标文件雷同认定与处理的通知》（洛建〔2022〕47号），房屋建筑和市政基础设施工程数据电文形式投标文件（以下简称电子投标文件）的雷同认定如下：</w:t>
            </w:r>
          </w:p>
          <w:p w14:paraId="6DE2497C">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一、开评标过程中，电子开评标系统提示不同投标人的电子投标文件记录的文件制作机器码、文件创建标识码、文件生成标识码、IP地址、计价软件电子加密锁锁号、计价软件电子加密锁企业实名认证信息等软硬件信息中有一条及以上一致的，评标委员会应当对提示内容集体认定是否属于《中华人民共和国招标投标法实施条例》第四十条“视为投标人相互串通投标”第（一）项“不同投标人的投标文件由同一单位或者个人编制”的情形。</w:t>
            </w:r>
          </w:p>
          <w:p w14:paraId="12C79C8A">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二、开评标过程中，电子开评标系统提示不同投标人的投标技术文件存在高度雷同、投标报价或报价组成出现一致或者呈规律性变化的，评标委员会应当对提示内容进行综合分析研判，集体认定是否属于《中华人民共和国招标投标法实施条例》第四十条“视为投标人相互串通投标”第（四）项“不同投标人的投标文件异常一致或者投标报价呈规律性差异”的情形。</w:t>
            </w:r>
          </w:p>
          <w:p w14:paraId="22B49969">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评标委员会在认定串通投标行为时，认为有必要的，可以要求投标人对有关情况作出书面澄清。经认定，属于《中华人民共和国招标投标法实施条例》第四十条“视为投标人相互串通投标”情形的，评标委员会应当按照《中华人民共和国招标投标法实施条例》第四十条和第五十一条第（七）项的规定否决相应投标人的投标，并在评标报告中进行记录。评标委员会应当对电子开评标系统作出的雷同性提示内容以及串通投标行为的认定情况，在评标报告中进行详细记录。招标人或其委托的招标代理机构应当对评标委员会关于串通投标行为的认定情况和否决投标情况在招标投标情况书面报告中作出说明。</w:t>
            </w:r>
          </w:p>
          <w:p w14:paraId="32AA6BA8">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四、经查实，不同投标人存在串通投标行为的，按照《中华人民共和国招标投标法》第五十三条和《中华人民共和国招标投标法实施条例》第六十七条的规定处罚；涉嫌构成犯罪的，依法移送公安机关追究刑事责任。</w:t>
            </w:r>
          </w:p>
          <w:p w14:paraId="40316BBA">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五、在计价软件电子加密锁实名信息库内填报虚假信息的，按照《河南省建筑市场信用管理实施办法（暂行）》的规定，对企业的不良行为信息录入全省建筑市场公共信用管理系统并予以公示。</w:t>
            </w:r>
          </w:p>
          <w:p w14:paraId="6247B422">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六、经查实，投标人使用存在虚假实名认证信息的计价软件电子加密锁编制已标价工程量清单进行投标、或者篡改电子投标文件和已标价工程量清单记录的软硬件信息等弄虚作假行为的，按照《中华人民共和国招标投标法》第五十四条和《中华人民共和国招标投标法实施条例》第六十八条的规定处罚；涉嫌构成犯罪的，依法移送公安机关追究刑事责任。</w:t>
            </w:r>
          </w:p>
          <w:p w14:paraId="0640276F">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七、采用电子招标投标的，招标人及其委托的招标代理机构应当将本通知中所列情形及处理方式在招标文件中予以明确。招标人或其委托的招标代理机构未按要求编制资格预审文件或招标文件的，由住房和城乡建设主管部门责令改正。</w:t>
            </w:r>
          </w:p>
          <w:p w14:paraId="52B67036">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八、评标委员会未按照招标文件规定对电子开评标系统作出的雷同性提示内容进行认定或做相应处理的，按照《中华人民共和国招标投标法实施条例》第七十一条的规定，由住房和城乡建设主管部门责令改正；情节严重的，禁止在一定期限内参加依法必须进行招标的项目的评标；情节特别严重的，取消担任评标委员会成员的资格。</w:t>
            </w:r>
          </w:p>
          <w:p w14:paraId="73C8FEB7">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电子开评标系统对不同投标人的电子投标文件作出雷同性提示或预警的，评标委员会集体表决认定属于《中华人民共和国招标投标法实施条例》第四十条“视为投标人相互串通投标”的情形，同时写出串（围）标行为认定报告并签字的，按废标处理。</w:t>
            </w:r>
          </w:p>
        </w:tc>
      </w:tr>
      <w:tr w14:paraId="4214DC72">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52A54FA4">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10.6</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51BB4D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解释权</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3F50E16A">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解释权：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14:paraId="6ACCFDFB">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22042DD">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10.7</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18CC0DAF">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招标代理服务费</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056265F2">
            <w:pPr>
              <w:spacing w:after="0" w:line="360" w:lineRule="auto"/>
              <w:textAlignment w:val="baseline"/>
              <w:rPr>
                <w:color w:val="000000" w:themeColor="text1"/>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本项目招标代理服务费按照河南省招标代理服务收费计算标准（豫招协【2023】002号）文件标准计取。由中标人在领取中标通知书时向代理机构一次性支付。此费用由投标人在投标报价中综合考虑。</w:t>
            </w:r>
          </w:p>
        </w:tc>
      </w:tr>
      <w:tr w14:paraId="32CF126A">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298208F8">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10.8</w:t>
            </w:r>
          </w:p>
        </w:tc>
        <w:tc>
          <w:tcPr>
            <w:tcW w:w="1330" w:type="pct"/>
            <w:tcBorders>
              <w:top w:val="single" w:color="auto" w:sz="4" w:space="0"/>
              <w:left w:val="single" w:color="auto" w:sz="4" w:space="0"/>
              <w:bottom w:val="single" w:color="auto" w:sz="4" w:space="0"/>
              <w:right w:val="single" w:color="auto" w:sz="4" w:space="0"/>
            </w:tcBorders>
            <w:shd w:val="clear" w:color="auto" w:fill="auto"/>
            <w:vAlign w:val="center"/>
          </w:tcPr>
          <w:p w14:paraId="5ACE72D8">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技术成果经济补偿</w:t>
            </w:r>
          </w:p>
        </w:tc>
        <w:tc>
          <w:tcPr>
            <w:tcW w:w="3135" w:type="pct"/>
            <w:tcBorders>
              <w:top w:val="single" w:color="auto" w:sz="4" w:space="0"/>
              <w:left w:val="single" w:color="auto" w:sz="4" w:space="0"/>
              <w:bottom w:val="single" w:color="auto" w:sz="4" w:space="0"/>
              <w:right w:val="single" w:color="auto" w:sz="4" w:space="0"/>
            </w:tcBorders>
            <w:shd w:val="clear" w:color="auto" w:fill="auto"/>
            <w:vAlign w:val="center"/>
          </w:tcPr>
          <w:p w14:paraId="4C0B0E6F">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不补偿</w:t>
            </w:r>
          </w:p>
        </w:tc>
      </w:tr>
      <w:tr w14:paraId="002FC504">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4AE151D3">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10.9</w:t>
            </w:r>
          </w:p>
        </w:tc>
        <w:tc>
          <w:tcPr>
            <w:tcW w:w="446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C38797">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其它未尽事宜，按国家有关法律、法规执行。</w:t>
            </w:r>
          </w:p>
        </w:tc>
      </w:tr>
      <w:tr w14:paraId="364FA084">
        <w:tblPrEx>
          <w:tblCellMar>
            <w:top w:w="0" w:type="dxa"/>
            <w:left w:w="108" w:type="dxa"/>
            <w:bottom w:w="0" w:type="dxa"/>
            <w:right w:w="108" w:type="dxa"/>
          </w:tblCellMar>
        </w:tblPrEx>
        <w:trPr>
          <w:trHeight w:val="23" w:hRule="atLeast"/>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14:paraId="1C9695EA">
            <w:pPr>
              <w:spacing w:after="0" w:line="360" w:lineRule="auto"/>
              <w:jc w:val="center"/>
              <w:textAlignment w:val="baseline"/>
              <w:rPr>
                <w:rFonts w:hint="eastAsia" w:ascii="仿宋" w:hAnsi="仿宋" w:eastAsia="仿宋" w:cs="仿宋"/>
                <w:color w:val="000000" w:themeColor="text1"/>
                <w:szCs w:val="21"/>
                <w:lang w:bidi="ar"/>
                <w14:textFill>
                  <w14:solidFill>
                    <w14:schemeClr w14:val="tx1"/>
                  </w14:solidFill>
                </w14:textFill>
              </w:rPr>
            </w:pPr>
            <w:bookmarkStart w:id="28" w:name="_Toc40361841"/>
            <w:r>
              <w:rPr>
                <w:rFonts w:hint="eastAsia" w:ascii="仿宋" w:hAnsi="仿宋" w:eastAsia="仿宋" w:cs="仿宋"/>
                <w:color w:val="000000" w:themeColor="text1"/>
                <w:szCs w:val="21"/>
                <w:lang w:bidi="ar"/>
                <w14:textFill>
                  <w14:solidFill>
                    <w14:schemeClr w14:val="tx1"/>
                  </w14:solidFill>
                </w14:textFill>
              </w:rPr>
              <w:t>10.10</w:t>
            </w:r>
          </w:p>
        </w:tc>
        <w:tc>
          <w:tcPr>
            <w:tcW w:w="446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C1FD06">
            <w:pPr>
              <w:spacing w:after="0" w:line="360" w:lineRule="auto"/>
              <w:textAlignment w:val="baseline"/>
              <w:rPr>
                <w:rFonts w:hint="eastAsia" w:ascii="仿宋" w:hAnsi="仿宋" w:eastAsia="仿宋" w:cs="仿宋"/>
                <w:color w:val="000000" w:themeColor="text1"/>
                <w:szCs w:val="21"/>
                <w:lang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监管部门：</w:t>
            </w:r>
            <w:r>
              <w:rPr>
                <w:rFonts w:hint="eastAsia" w:ascii="仿宋" w:hAnsi="仿宋" w:eastAsia="仿宋" w:cs="仿宋"/>
                <w:color w:val="000000" w:themeColor="text1"/>
                <w:szCs w:val="21"/>
                <w:lang w:eastAsia="zh-CN" w:bidi="ar"/>
                <w14:textFill>
                  <w14:solidFill>
                    <w14:schemeClr w14:val="tx1"/>
                  </w14:solidFill>
                </w14:textFill>
              </w:rPr>
              <w:t>伊川县住房和城乡建设局</w:t>
            </w:r>
          </w:p>
          <w:p w14:paraId="6179CF34">
            <w:pPr>
              <w:spacing w:after="0" w:line="360" w:lineRule="auto"/>
              <w:textAlignment w:val="baseline"/>
              <w:rPr>
                <w:rFonts w:hint="eastAsia" w:ascii="仿宋" w:hAnsi="仿宋" w:eastAsia="仿宋" w:cs="仿宋"/>
                <w:color w:val="000000" w:themeColor="text1"/>
                <w:szCs w:val="21"/>
                <w:lang w:eastAsia="zh-CN"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监管部门联系人：</w:t>
            </w:r>
            <w:r>
              <w:rPr>
                <w:rFonts w:hint="eastAsia" w:ascii="仿宋" w:hAnsi="仿宋" w:eastAsia="仿宋" w:cs="仿宋"/>
                <w:color w:val="000000" w:themeColor="text1"/>
                <w:szCs w:val="21"/>
                <w:lang w:eastAsia="zh-CN" w:bidi="ar"/>
                <w14:textFill>
                  <w14:solidFill>
                    <w14:schemeClr w14:val="tx1"/>
                  </w14:solidFill>
                </w14:textFill>
              </w:rPr>
              <w:t>胡先生</w:t>
            </w:r>
          </w:p>
          <w:p w14:paraId="63F30D8B">
            <w:pPr>
              <w:spacing w:after="0" w:line="360" w:lineRule="auto"/>
              <w:textAlignment w:val="baseline"/>
              <w:rPr>
                <w:rFonts w:hint="eastAsia" w:ascii="仿宋" w:hAnsi="仿宋" w:eastAsia="仿宋" w:cs="仿宋"/>
                <w:color w:val="000000" w:themeColor="text1"/>
                <w:szCs w:val="21"/>
                <w:lang w:eastAsia="zh-CN" w:bidi="ar"/>
                <w14:textFill>
                  <w14:solidFill>
                    <w14:schemeClr w14:val="tx1"/>
                  </w14:solidFill>
                </w14:textFill>
              </w:rPr>
            </w:pPr>
            <w:r>
              <w:rPr>
                <w:rFonts w:hint="eastAsia" w:ascii="仿宋" w:hAnsi="仿宋" w:eastAsia="仿宋" w:cs="仿宋"/>
                <w:color w:val="000000" w:themeColor="text1"/>
                <w:szCs w:val="21"/>
                <w:lang w:bidi="ar"/>
                <w14:textFill>
                  <w14:solidFill>
                    <w14:schemeClr w14:val="tx1"/>
                  </w14:solidFill>
                </w14:textFill>
              </w:rPr>
              <w:t>监管部门联系方式：</w:t>
            </w:r>
            <w:r>
              <w:rPr>
                <w:rFonts w:hint="eastAsia" w:ascii="仿宋" w:hAnsi="仿宋" w:eastAsia="仿宋" w:cs="仿宋"/>
                <w:color w:val="000000" w:themeColor="text1"/>
                <w:szCs w:val="21"/>
                <w:lang w:eastAsia="zh-CN" w:bidi="ar"/>
                <w14:textFill>
                  <w14:solidFill>
                    <w14:schemeClr w14:val="tx1"/>
                  </w14:solidFill>
                </w14:textFill>
              </w:rPr>
              <w:t>0379-69378911</w:t>
            </w:r>
          </w:p>
        </w:tc>
      </w:tr>
    </w:tbl>
    <w:p w14:paraId="0484CE8E">
      <w:pPr>
        <w:pStyle w:val="9"/>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29F5E1F">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29" w:name="_Toc12686"/>
      <w:bookmarkStart w:id="30" w:name="_Toc31125"/>
      <w:bookmarkStart w:id="31" w:name="_Toc29667"/>
      <w:bookmarkStart w:id="32" w:name="_Toc29272"/>
      <w:bookmarkStart w:id="33" w:name="_Toc177142642"/>
      <w:bookmarkStart w:id="34" w:name="_Toc15371"/>
      <w:bookmarkStart w:id="35" w:name="_Toc28676"/>
      <w:bookmarkStart w:id="36" w:name="_Toc25883"/>
      <w:r>
        <w:rPr>
          <w:rFonts w:hint="eastAsia" w:ascii="仿宋" w:hAnsi="仿宋" w:eastAsia="仿宋" w:cs="仿宋"/>
          <w:bCs/>
          <w:color w:val="000000" w:themeColor="text1"/>
          <w:sz w:val="24"/>
          <w:szCs w:val="18"/>
          <w14:textFill>
            <w14:solidFill>
              <w14:schemeClr w14:val="tx1"/>
            </w14:solidFill>
          </w14:textFill>
        </w:rPr>
        <w:t>1.总则</w:t>
      </w:r>
      <w:bookmarkEnd w:id="28"/>
      <w:bookmarkEnd w:id="29"/>
      <w:bookmarkEnd w:id="30"/>
      <w:bookmarkEnd w:id="31"/>
      <w:bookmarkEnd w:id="32"/>
      <w:bookmarkEnd w:id="33"/>
      <w:bookmarkEnd w:id="34"/>
      <w:bookmarkEnd w:id="35"/>
      <w:bookmarkEnd w:id="36"/>
    </w:p>
    <w:p w14:paraId="3373FC15">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37" w:name="_Toc70433587"/>
      <w:bookmarkStart w:id="38" w:name="_Toc21530"/>
      <w:bookmarkStart w:id="39" w:name="_Toc40361842"/>
      <w:bookmarkStart w:id="40" w:name="_Toc4837"/>
      <w:r>
        <w:rPr>
          <w:rFonts w:hint="eastAsia" w:ascii="仿宋" w:hAnsi="仿宋" w:eastAsia="仿宋" w:cs="仿宋"/>
          <w:b/>
          <w:bCs/>
          <w:color w:val="000000" w:themeColor="text1"/>
          <w:sz w:val="21"/>
          <w:szCs w:val="21"/>
          <w14:textFill>
            <w14:solidFill>
              <w14:schemeClr w14:val="tx1"/>
            </w14:solidFill>
          </w14:textFill>
        </w:rPr>
        <w:t>1.1招标项目概况</w:t>
      </w:r>
      <w:bookmarkEnd w:id="37"/>
      <w:bookmarkEnd w:id="38"/>
      <w:bookmarkEnd w:id="39"/>
      <w:bookmarkEnd w:id="40"/>
    </w:p>
    <w:p w14:paraId="5DE5E2C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1.1.1 根据《中华人民共和国招标投标法》、《中华人民共和国招标投标法实施条例》等有关法律、法规和规章的规定，本招标项目已具备招标条件，现对本项目进行公开招标。</w:t>
      </w:r>
    </w:p>
    <w:p w14:paraId="5823E0CE">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1.1.2 招标人：见投标人须知前附表。</w:t>
      </w:r>
    </w:p>
    <w:p w14:paraId="07194CA5">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1.1.3 招标代理机构：见投标人须知前附表。</w:t>
      </w:r>
    </w:p>
    <w:p w14:paraId="2E11D78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1.1.4 项目名称：见投标人须知前附表。</w:t>
      </w:r>
    </w:p>
    <w:p w14:paraId="2C3023E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1.1.5 项目地点：见投标人须知前附表。</w:t>
      </w:r>
    </w:p>
    <w:p w14:paraId="459C4216">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1.1.6 项目概况：见投标人须知前附表。</w:t>
      </w:r>
    </w:p>
    <w:p w14:paraId="49CD9A76">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41" w:name="_Toc40361843"/>
      <w:bookmarkStart w:id="42" w:name="_Toc18382"/>
      <w:bookmarkStart w:id="43" w:name="_Toc1437"/>
      <w:bookmarkStart w:id="44" w:name="_Toc70433588"/>
      <w:r>
        <w:rPr>
          <w:rFonts w:hint="eastAsia" w:ascii="仿宋" w:hAnsi="仿宋" w:eastAsia="仿宋" w:cs="仿宋"/>
          <w:b/>
          <w:bCs/>
          <w:color w:val="000000" w:themeColor="text1"/>
          <w:sz w:val="21"/>
          <w:szCs w:val="21"/>
          <w14:textFill>
            <w14:solidFill>
              <w14:schemeClr w14:val="tx1"/>
            </w14:solidFill>
          </w14:textFill>
        </w:rPr>
        <w:t>1.2招标项目的资金来源和落实情况</w:t>
      </w:r>
      <w:bookmarkEnd w:id="41"/>
      <w:bookmarkEnd w:id="42"/>
      <w:bookmarkEnd w:id="43"/>
      <w:bookmarkEnd w:id="44"/>
    </w:p>
    <w:p w14:paraId="0A83D68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资金来源：见投标人须知前附表。</w:t>
      </w:r>
    </w:p>
    <w:p w14:paraId="48C0174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1.2.2 资金落实情况：见投标人须知前附表。</w:t>
      </w:r>
    </w:p>
    <w:p w14:paraId="3A4A8C04">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45" w:name="_Toc26473"/>
      <w:bookmarkStart w:id="46" w:name="_Toc40361844"/>
      <w:bookmarkStart w:id="47" w:name="_Toc1643"/>
      <w:bookmarkStart w:id="48" w:name="_Toc70433589"/>
      <w:r>
        <w:rPr>
          <w:rFonts w:hint="eastAsia" w:ascii="仿宋" w:hAnsi="仿宋" w:eastAsia="仿宋" w:cs="仿宋"/>
          <w:b/>
          <w:bCs/>
          <w:color w:val="000000" w:themeColor="text1"/>
          <w:sz w:val="21"/>
          <w:szCs w:val="21"/>
          <w14:textFill>
            <w14:solidFill>
              <w14:schemeClr w14:val="tx1"/>
            </w14:solidFill>
          </w14:textFill>
        </w:rPr>
        <w:t>1.3招标范围、服务周期和质量要求</w:t>
      </w:r>
      <w:bookmarkEnd w:id="45"/>
      <w:bookmarkEnd w:id="46"/>
      <w:bookmarkEnd w:id="47"/>
      <w:bookmarkEnd w:id="48"/>
    </w:p>
    <w:p w14:paraId="2333C98C">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1.3.1 招标范围：见投标人须知前附表。</w:t>
      </w:r>
    </w:p>
    <w:p w14:paraId="3BF1B839">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服务周期：见投标人须知前附表。</w:t>
      </w:r>
    </w:p>
    <w:p w14:paraId="3DA33472">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质量要求：见投标人须知前附表。</w:t>
      </w:r>
    </w:p>
    <w:p w14:paraId="7F2944F4">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49" w:name="_Toc70433590"/>
      <w:bookmarkStart w:id="50" w:name="_Toc12995"/>
      <w:bookmarkStart w:id="51" w:name="_Toc40361845"/>
      <w:bookmarkStart w:id="52" w:name="_Toc13869"/>
      <w:r>
        <w:rPr>
          <w:rFonts w:hint="eastAsia" w:ascii="仿宋" w:hAnsi="仿宋" w:eastAsia="仿宋" w:cs="仿宋"/>
          <w:b/>
          <w:bCs/>
          <w:color w:val="000000" w:themeColor="text1"/>
          <w:sz w:val="21"/>
          <w:szCs w:val="21"/>
          <w14:textFill>
            <w14:solidFill>
              <w14:schemeClr w14:val="tx1"/>
            </w14:solidFill>
          </w14:textFill>
        </w:rPr>
        <w:t>1.4投标人资格要求</w:t>
      </w:r>
      <w:bookmarkEnd w:id="49"/>
      <w:bookmarkEnd w:id="50"/>
      <w:bookmarkEnd w:id="51"/>
      <w:bookmarkEnd w:id="52"/>
    </w:p>
    <w:p w14:paraId="1C2773B1">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投标人资格要求：见投标人须知前附表第1.4.1项。</w:t>
      </w:r>
    </w:p>
    <w:p w14:paraId="50126A0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投标人须知前附表规定接受联合体投标的，联合体除应符合本章第1.4.1项和投标人须知前附表的要求外，还应遵守以下规定：</w:t>
      </w:r>
    </w:p>
    <w:p w14:paraId="28DE8BD8">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（1）联合体各方应按招标文件提供的格式签订联合体协议书，明确联合体牵头人和各方权利义务，并承诺就中标项目向招标人承担连带责任；</w:t>
      </w:r>
    </w:p>
    <w:p w14:paraId="5CDC356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（2）根据联合体协议分工，组成的联合体承担同一专业工程的，按照联合体各方资质等级低的认定其资质；不同专业组成的联合体，按照联合体协议分工承担范围认定其资质；</w:t>
      </w:r>
    </w:p>
    <w:p w14:paraId="3C3FAF3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（3）联合体各方不得再以自己名义单独或参加其他联合体在本招标项目中投标，否则各相关投标均无效。</w:t>
      </w:r>
    </w:p>
    <w:p w14:paraId="63617A3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1.4.3 投标人不得存在下列情形之一：</w:t>
      </w:r>
    </w:p>
    <w:p w14:paraId="7B386CC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（1）为招标人不具有独立法人资格的附属机构（单位）；</w:t>
      </w:r>
    </w:p>
    <w:p w14:paraId="44C69B8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（2）与招标人存在利害关系且可能影响招标公正性；</w:t>
      </w:r>
    </w:p>
    <w:p w14:paraId="4F6F8E5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（3）与本招标项目的其他投标人为同一个单位负责人；</w:t>
      </w:r>
    </w:p>
    <w:p w14:paraId="6A30343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（4）与本招标项目的其他投标人存在控股、管理关系；</w:t>
      </w:r>
    </w:p>
    <w:p w14:paraId="6630537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（5）为本招标项目的代建人；</w:t>
      </w:r>
    </w:p>
    <w:p w14:paraId="7FB487B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（6）为本招标项目的招标代理机构；</w:t>
      </w:r>
    </w:p>
    <w:p w14:paraId="6E6F4F0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（7）与本招标项目的代建人或招标代理机构同为一个法定代表人；</w:t>
      </w:r>
    </w:p>
    <w:p w14:paraId="7A3F7BD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（8）与本招标项目的代建人或招标代理机构存在控股或参股关系；</w:t>
      </w:r>
    </w:p>
    <w:p w14:paraId="282A5A8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（9）被依法暂停或者取消投标资格；</w:t>
      </w:r>
    </w:p>
    <w:p w14:paraId="77199C88">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（10）被责令停产停业、暂扣或者吊销许可证、暂扣或者吊销执照；</w:t>
      </w:r>
    </w:p>
    <w:p w14:paraId="63630699">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（11）进入清算程序，或被宣告破产，或其他丧失履约能力的情形；</w:t>
      </w:r>
    </w:p>
    <w:p w14:paraId="71A8A77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（12）在最近三年内发生重大地质勘查及设计质量问题（以相关行业主管部门的行政处罚决定或司法机关出具的有关法律文书为准）；</w:t>
      </w:r>
    </w:p>
    <w:p w14:paraId="4B685E22">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（13）被工商行政管理机关在全国企业信用信息公示系统中列入严重违法失信企业名单； </w:t>
      </w:r>
    </w:p>
    <w:p w14:paraId="235E67F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（14）被最高人民法院在“中国执行信息公开网”网站或各级信用信息共享平台中列入失信被执行人名单； </w:t>
      </w:r>
    </w:p>
    <w:p w14:paraId="67F095F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（15）法律法规或投标人须知前附表规定的其他情形。</w:t>
      </w:r>
    </w:p>
    <w:p w14:paraId="2106B55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（16）单位负责人为同一人或者存在控股、管理关系的不同投标人,同时参加同一标段或未划分标段的同一项目投标的。</w:t>
      </w:r>
    </w:p>
    <w:p w14:paraId="298BC74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bookmarkStart w:id="53" w:name="_Toc40361846"/>
      <w:bookmarkStart w:id="54" w:name="_Toc31189"/>
      <w:bookmarkStart w:id="55" w:name="_Toc70433591"/>
      <w:bookmarkStart w:id="56" w:name="_Toc25256"/>
      <w:r>
        <w:rPr>
          <w:rFonts w:hint="eastAsia" w:ascii="仿宋" w:hAnsi="仿宋" w:eastAsia="仿宋" w:cs="仿宋"/>
          <w:color w:val="000000" w:themeColor="text1"/>
          <w:szCs w:val="21"/>
          <w14:textFill>
            <w14:solidFill>
              <w14:schemeClr w14:val="tx1"/>
            </w14:solidFill>
          </w14:textFill>
        </w:rPr>
        <w:t>1.4.4落实政府采购政策要求：见投标人须知前附表。</w:t>
      </w:r>
    </w:p>
    <w:p w14:paraId="6A13899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1.5费用承担</w:t>
      </w:r>
      <w:bookmarkEnd w:id="53"/>
      <w:bookmarkEnd w:id="54"/>
      <w:bookmarkEnd w:id="55"/>
      <w:bookmarkEnd w:id="56"/>
    </w:p>
    <w:p w14:paraId="47AE8F0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投标人准备和参加投标活动发生的费用自理。</w:t>
      </w:r>
    </w:p>
    <w:p w14:paraId="6BA76078">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57" w:name="_Toc70433592"/>
      <w:bookmarkStart w:id="58" w:name="_Toc11212"/>
      <w:bookmarkStart w:id="59" w:name="_Toc40361847"/>
      <w:bookmarkStart w:id="60" w:name="_Toc14789"/>
      <w:r>
        <w:rPr>
          <w:rFonts w:hint="eastAsia" w:ascii="仿宋" w:hAnsi="仿宋" w:eastAsia="仿宋" w:cs="仿宋"/>
          <w:b/>
          <w:bCs/>
          <w:color w:val="000000" w:themeColor="text1"/>
          <w:sz w:val="21"/>
          <w:szCs w:val="21"/>
          <w14:textFill>
            <w14:solidFill>
              <w14:schemeClr w14:val="tx1"/>
            </w14:solidFill>
          </w14:textFill>
        </w:rPr>
        <w:t>1.6保密</w:t>
      </w:r>
      <w:bookmarkEnd w:id="57"/>
      <w:bookmarkEnd w:id="58"/>
      <w:bookmarkEnd w:id="59"/>
      <w:bookmarkEnd w:id="60"/>
    </w:p>
    <w:p w14:paraId="2B60D12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参与招标投标活动的各方</w:t>
      </w:r>
      <w:r>
        <w:rPr>
          <w:rFonts w:hint="eastAsia" w:ascii="仿宋" w:hAnsi="仿宋" w:eastAsia="仿宋" w:cs="仿宋"/>
          <w:color w:val="000000" w:themeColor="text1"/>
          <w:szCs w:val="21"/>
          <w14:textFill>
            <w14:solidFill>
              <w14:schemeClr w14:val="tx1"/>
            </w14:solidFill>
          </w14:textFill>
        </w:rPr>
        <w:t>应对</w:t>
      </w:r>
      <w:r>
        <w:rPr>
          <w:rFonts w:hint="eastAsia" w:ascii="仿宋" w:hAnsi="仿宋" w:eastAsia="仿宋" w:cs="仿宋"/>
          <w:color w:val="000000" w:themeColor="text1"/>
          <w:kern w:val="0"/>
          <w:szCs w:val="21"/>
          <w:lang w:bidi="ar"/>
          <w14:textFill>
            <w14:solidFill>
              <w14:schemeClr w14:val="tx1"/>
            </w14:solidFill>
          </w14:textFill>
        </w:rPr>
        <w:t>招标文件和投标文件中的商业和技术等秘密保密，否则应承担相应的法律责任。</w:t>
      </w:r>
    </w:p>
    <w:p w14:paraId="0097D21F">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61" w:name="_Toc22995"/>
      <w:bookmarkStart w:id="62" w:name="_Toc70433593"/>
      <w:bookmarkStart w:id="63" w:name="_Toc40361848"/>
      <w:bookmarkStart w:id="64" w:name="_Toc3628"/>
      <w:r>
        <w:rPr>
          <w:rFonts w:hint="eastAsia" w:ascii="仿宋" w:hAnsi="仿宋" w:eastAsia="仿宋" w:cs="仿宋"/>
          <w:b/>
          <w:bCs/>
          <w:color w:val="000000" w:themeColor="text1"/>
          <w:sz w:val="21"/>
          <w:szCs w:val="21"/>
          <w14:textFill>
            <w14:solidFill>
              <w14:schemeClr w14:val="tx1"/>
            </w14:solidFill>
          </w14:textFill>
        </w:rPr>
        <w:t>1.7语言文字</w:t>
      </w:r>
      <w:bookmarkEnd w:id="61"/>
      <w:bookmarkEnd w:id="62"/>
      <w:bookmarkEnd w:id="63"/>
      <w:bookmarkEnd w:id="64"/>
    </w:p>
    <w:p w14:paraId="69AB560D">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除专用术语外，与招标投标有关的语言均使用中文。必要时专用术语应附有中文注释。</w:t>
      </w:r>
    </w:p>
    <w:p w14:paraId="169F1C80">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65" w:name="_Toc14230"/>
      <w:bookmarkStart w:id="66" w:name="_Toc40361849"/>
      <w:bookmarkStart w:id="67" w:name="_Toc70433594"/>
      <w:bookmarkStart w:id="68" w:name="_Toc30082"/>
      <w:r>
        <w:rPr>
          <w:rFonts w:hint="eastAsia" w:ascii="仿宋" w:hAnsi="仿宋" w:eastAsia="仿宋" w:cs="仿宋"/>
          <w:b/>
          <w:bCs/>
          <w:color w:val="000000" w:themeColor="text1"/>
          <w:sz w:val="21"/>
          <w:szCs w:val="21"/>
          <w14:textFill>
            <w14:solidFill>
              <w14:schemeClr w14:val="tx1"/>
            </w14:solidFill>
          </w14:textFill>
        </w:rPr>
        <w:t>1.8计量单位</w:t>
      </w:r>
      <w:bookmarkEnd w:id="65"/>
      <w:bookmarkEnd w:id="66"/>
      <w:bookmarkEnd w:id="67"/>
      <w:bookmarkEnd w:id="68"/>
    </w:p>
    <w:p w14:paraId="43CB5E8C">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所有计量均采用</w:t>
      </w:r>
      <w:r>
        <w:rPr>
          <w:rFonts w:hint="eastAsia" w:ascii="仿宋" w:hAnsi="仿宋" w:eastAsia="仿宋" w:cs="仿宋"/>
          <w:color w:val="000000" w:themeColor="text1"/>
          <w:szCs w:val="21"/>
          <w14:textFill>
            <w14:solidFill>
              <w14:schemeClr w14:val="tx1"/>
            </w14:solidFill>
          </w14:textFill>
        </w:rPr>
        <w:t>中华人民共和国</w:t>
      </w:r>
      <w:r>
        <w:rPr>
          <w:rFonts w:hint="eastAsia" w:ascii="仿宋" w:hAnsi="仿宋" w:eastAsia="仿宋" w:cs="仿宋"/>
          <w:color w:val="000000" w:themeColor="text1"/>
          <w:kern w:val="0"/>
          <w:szCs w:val="21"/>
          <w:lang w:bidi="ar"/>
          <w14:textFill>
            <w14:solidFill>
              <w14:schemeClr w14:val="tx1"/>
            </w14:solidFill>
          </w14:textFill>
        </w:rPr>
        <w:t>法定计量单位。</w:t>
      </w:r>
    </w:p>
    <w:p w14:paraId="1034AE9A">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69" w:name="_Toc6715"/>
      <w:bookmarkStart w:id="70" w:name="_Toc40361850"/>
      <w:bookmarkStart w:id="71" w:name="_Toc28236"/>
      <w:bookmarkStart w:id="72" w:name="_Toc70433595"/>
      <w:r>
        <w:rPr>
          <w:rFonts w:hint="eastAsia" w:ascii="仿宋" w:hAnsi="仿宋" w:eastAsia="仿宋" w:cs="仿宋"/>
          <w:b/>
          <w:bCs/>
          <w:color w:val="000000" w:themeColor="text1"/>
          <w:sz w:val="21"/>
          <w:szCs w:val="21"/>
          <w14:textFill>
            <w14:solidFill>
              <w14:schemeClr w14:val="tx1"/>
            </w14:solidFill>
          </w14:textFill>
        </w:rPr>
        <w:t>1.9踏勘现场</w:t>
      </w:r>
      <w:bookmarkEnd w:id="69"/>
      <w:bookmarkEnd w:id="70"/>
      <w:bookmarkEnd w:id="71"/>
      <w:bookmarkEnd w:id="72"/>
    </w:p>
    <w:p w14:paraId="22A39B4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1.9.1 投标人须知前附表规定组织踏勘现场的，招标人按投标人须知前附表规定的时间、地点组织投标人踏勘项目现场。部分投标人未按时参加踏勘现场的，不影响踏勘现场的正常进行。</w:t>
      </w:r>
    </w:p>
    <w:p w14:paraId="1C891D4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1.9.2 投标人</w:t>
      </w:r>
      <w:r>
        <w:rPr>
          <w:rFonts w:hint="eastAsia" w:ascii="仿宋" w:hAnsi="仿宋" w:eastAsia="仿宋" w:cs="仿宋"/>
          <w:color w:val="000000" w:themeColor="text1"/>
          <w:szCs w:val="21"/>
          <w14:textFill>
            <w14:solidFill>
              <w14:schemeClr w14:val="tx1"/>
            </w14:solidFill>
          </w14:textFill>
        </w:rPr>
        <w:t>踏勘</w:t>
      </w:r>
      <w:r>
        <w:rPr>
          <w:rFonts w:hint="eastAsia" w:ascii="仿宋" w:hAnsi="仿宋" w:eastAsia="仿宋" w:cs="仿宋"/>
          <w:color w:val="000000" w:themeColor="text1"/>
          <w:kern w:val="0"/>
          <w:szCs w:val="21"/>
          <w:lang w:bidi="ar"/>
          <w14:textFill>
            <w14:solidFill>
              <w14:schemeClr w14:val="tx1"/>
            </w14:solidFill>
          </w14:textFill>
        </w:rPr>
        <w:t>现场发生的费用自理。</w:t>
      </w:r>
    </w:p>
    <w:p w14:paraId="3749902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1.9.3 除招标人的原因外，投标人自行负责在踏勘现场中所发生的人员伤亡和财产损失。</w:t>
      </w:r>
    </w:p>
    <w:p w14:paraId="6D19744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1.9.4 招标人在踏勘现场中介绍的工程场地和相关的周边环境情况，供投标人在编制投标文件时参考，招标人不对投标人据此作出的判断和决策负责。</w:t>
      </w:r>
    </w:p>
    <w:p w14:paraId="25DE6B52">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73" w:name="_Toc40361851"/>
      <w:bookmarkStart w:id="74" w:name="_Toc9267"/>
      <w:bookmarkStart w:id="75" w:name="_Toc8764"/>
      <w:bookmarkStart w:id="76" w:name="_Toc70433596"/>
      <w:r>
        <w:rPr>
          <w:rFonts w:hint="eastAsia" w:ascii="仿宋" w:hAnsi="仿宋" w:eastAsia="仿宋" w:cs="仿宋"/>
          <w:b/>
          <w:bCs/>
          <w:color w:val="000000" w:themeColor="text1"/>
          <w:sz w:val="21"/>
          <w:szCs w:val="21"/>
          <w14:textFill>
            <w14:solidFill>
              <w14:schemeClr w14:val="tx1"/>
            </w14:solidFill>
          </w14:textFill>
        </w:rPr>
        <w:t>1.10投标预备会</w:t>
      </w:r>
      <w:bookmarkEnd w:id="73"/>
      <w:bookmarkEnd w:id="74"/>
      <w:bookmarkEnd w:id="75"/>
      <w:bookmarkEnd w:id="76"/>
    </w:p>
    <w:p w14:paraId="5389B30F">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 xml:space="preserve">1.10.1 </w:t>
      </w:r>
      <w:r>
        <w:rPr>
          <w:rFonts w:hint="eastAsia" w:ascii="仿宋" w:hAnsi="仿宋" w:eastAsia="仿宋" w:cs="仿宋"/>
          <w:color w:val="000000" w:themeColor="text1"/>
          <w:szCs w:val="21"/>
          <w14:textFill>
            <w14:solidFill>
              <w14:schemeClr w14:val="tx1"/>
            </w14:solidFill>
          </w14:textFill>
        </w:rPr>
        <w:t>投标</w:t>
      </w:r>
      <w:r>
        <w:rPr>
          <w:rFonts w:hint="eastAsia" w:ascii="仿宋" w:hAnsi="仿宋" w:eastAsia="仿宋" w:cs="仿宋"/>
          <w:color w:val="000000" w:themeColor="text1"/>
          <w:kern w:val="0"/>
          <w:szCs w:val="21"/>
          <w:lang w:bidi="ar"/>
          <w14:textFill>
            <w14:solidFill>
              <w14:schemeClr w14:val="tx1"/>
            </w14:solidFill>
          </w14:textFill>
        </w:rPr>
        <w:t>人须知前附表规定召开投标预备会的，招标人按投标人须知前附表规定的时间和地点召开投标预备会，澄清投标人提出的问题。</w:t>
      </w:r>
    </w:p>
    <w:p w14:paraId="3D2FBFAA">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 xml:space="preserve">1.10.2 </w:t>
      </w:r>
      <w:r>
        <w:rPr>
          <w:rFonts w:hint="eastAsia" w:ascii="仿宋" w:hAnsi="仿宋" w:eastAsia="仿宋" w:cs="仿宋"/>
          <w:color w:val="000000" w:themeColor="text1"/>
          <w:szCs w:val="21"/>
          <w14:textFill>
            <w14:solidFill>
              <w14:schemeClr w14:val="tx1"/>
            </w14:solidFill>
          </w14:textFill>
        </w:rPr>
        <w:t>投标</w:t>
      </w:r>
      <w:r>
        <w:rPr>
          <w:rFonts w:hint="eastAsia" w:ascii="仿宋" w:hAnsi="仿宋" w:eastAsia="仿宋" w:cs="仿宋"/>
          <w:color w:val="000000" w:themeColor="text1"/>
          <w:kern w:val="0"/>
          <w:szCs w:val="21"/>
          <w:lang w:bidi="ar"/>
          <w14:textFill>
            <w14:solidFill>
              <w14:schemeClr w14:val="tx1"/>
            </w14:solidFill>
          </w14:textFill>
        </w:rPr>
        <w:t>人应按投标人须知前附表规定的时间和形式将提出的问题送达招标人，以便招标人在会议期间澄清。</w:t>
      </w:r>
    </w:p>
    <w:p w14:paraId="7C05F6B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 xml:space="preserve">1.10.3 </w:t>
      </w:r>
      <w:r>
        <w:rPr>
          <w:rFonts w:hint="eastAsia" w:ascii="仿宋" w:hAnsi="仿宋" w:eastAsia="仿宋" w:cs="仿宋"/>
          <w:color w:val="000000" w:themeColor="text1"/>
          <w:szCs w:val="21"/>
          <w14:textFill>
            <w14:solidFill>
              <w14:schemeClr w14:val="tx1"/>
            </w14:solidFill>
          </w14:textFill>
        </w:rPr>
        <w:t>投标</w:t>
      </w:r>
      <w:r>
        <w:rPr>
          <w:rFonts w:hint="eastAsia" w:ascii="仿宋" w:hAnsi="仿宋" w:eastAsia="仿宋" w:cs="仿宋"/>
          <w:color w:val="000000" w:themeColor="text1"/>
          <w:kern w:val="0"/>
          <w:szCs w:val="21"/>
          <w:lang w:bidi="ar"/>
          <w14:textFill>
            <w14:solidFill>
              <w14:schemeClr w14:val="tx1"/>
            </w14:solidFill>
          </w14:textFill>
        </w:rPr>
        <w:t>预备会后，招标人将对投标人所提问题的澄清，以投标人须知前附表规定的形式通知所有购买招标文件的投标人。该澄清内容为招标文件的组成部分。</w:t>
      </w:r>
    </w:p>
    <w:p w14:paraId="22BD7BDE">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77" w:name="_Toc40361852"/>
      <w:bookmarkStart w:id="78" w:name="_Toc70433597"/>
      <w:bookmarkStart w:id="79" w:name="_Toc16262"/>
      <w:bookmarkStart w:id="80" w:name="_Toc27503"/>
      <w:r>
        <w:rPr>
          <w:rFonts w:hint="eastAsia" w:ascii="仿宋" w:hAnsi="仿宋" w:eastAsia="仿宋" w:cs="仿宋"/>
          <w:b/>
          <w:bCs/>
          <w:color w:val="000000" w:themeColor="text1"/>
          <w:sz w:val="21"/>
          <w:szCs w:val="21"/>
          <w14:textFill>
            <w14:solidFill>
              <w14:schemeClr w14:val="tx1"/>
            </w14:solidFill>
          </w14:textFill>
        </w:rPr>
        <w:t>1.11分包</w:t>
      </w:r>
      <w:bookmarkEnd w:id="77"/>
      <w:bookmarkEnd w:id="78"/>
      <w:bookmarkEnd w:id="79"/>
      <w:bookmarkEnd w:id="80"/>
    </w:p>
    <w:p w14:paraId="27ACB0F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1.11.1 本项目不允许分包。</w:t>
      </w:r>
    </w:p>
    <w:p w14:paraId="334F740A">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81" w:name="_Toc70433598"/>
      <w:bookmarkStart w:id="82" w:name="_Toc25708"/>
      <w:bookmarkStart w:id="83" w:name="_Toc24832"/>
      <w:bookmarkStart w:id="84" w:name="_Toc40361853"/>
      <w:r>
        <w:rPr>
          <w:rFonts w:hint="eastAsia" w:ascii="仿宋" w:hAnsi="仿宋" w:eastAsia="仿宋" w:cs="仿宋"/>
          <w:b/>
          <w:bCs/>
          <w:color w:val="000000" w:themeColor="text1"/>
          <w:sz w:val="21"/>
          <w:szCs w:val="21"/>
          <w14:textFill>
            <w14:solidFill>
              <w14:schemeClr w14:val="tx1"/>
            </w14:solidFill>
          </w14:textFill>
        </w:rPr>
        <w:t>1.12</w:t>
      </w:r>
      <w:bookmarkEnd w:id="81"/>
      <w:bookmarkEnd w:id="82"/>
      <w:bookmarkEnd w:id="83"/>
      <w:bookmarkEnd w:id="84"/>
      <w:r>
        <w:rPr>
          <w:rFonts w:hint="eastAsia" w:ascii="仿宋" w:hAnsi="仿宋" w:eastAsia="仿宋" w:cs="仿宋"/>
          <w:b/>
          <w:bCs/>
          <w:color w:val="000000" w:themeColor="text1"/>
          <w:sz w:val="21"/>
          <w:szCs w:val="21"/>
          <w14:textFill>
            <w14:solidFill>
              <w14:schemeClr w14:val="tx1"/>
            </w14:solidFill>
          </w14:textFill>
        </w:rPr>
        <w:t>偏离</w:t>
      </w:r>
    </w:p>
    <w:p w14:paraId="4B00EF1E">
      <w:pPr>
        <w:spacing w:after="0" w:line="360" w:lineRule="auto"/>
        <w:ind w:firstLine="420" w:firstLineChars="20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投标人须知前附表允许投标文件偏离招标文件某些要求的，偏离应当符合招标文件规定的偏离范围和幅度。</w:t>
      </w:r>
    </w:p>
    <w:p w14:paraId="28C1EAB8">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85" w:name="_Toc22124"/>
      <w:bookmarkStart w:id="86" w:name="_Toc31925"/>
      <w:bookmarkStart w:id="87" w:name="_Toc177142643"/>
      <w:bookmarkStart w:id="88" w:name="_Toc25817"/>
      <w:bookmarkStart w:id="89" w:name="_Toc19393"/>
      <w:bookmarkStart w:id="90" w:name="_Toc15364"/>
      <w:bookmarkStart w:id="91" w:name="_Toc28513"/>
      <w:bookmarkStart w:id="92" w:name="_Toc40361854"/>
      <w:bookmarkStart w:id="93" w:name="_Toc19551"/>
      <w:r>
        <w:rPr>
          <w:rFonts w:hint="eastAsia" w:ascii="仿宋" w:hAnsi="仿宋" w:eastAsia="仿宋" w:cs="仿宋"/>
          <w:bCs/>
          <w:color w:val="000000" w:themeColor="text1"/>
          <w:sz w:val="24"/>
          <w:szCs w:val="18"/>
          <w14:textFill>
            <w14:solidFill>
              <w14:schemeClr w14:val="tx1"/>
            </w14:solidFill>
          </w14:textFill>
        </w:rPr>
        <w:t>2.招标文件</w:t>
      </w:r>
      <w:bookmarkEnd w:id="85"/>
      <w:bookmarkEnd w:id="86"/>
      <w:bookmarkEnd w:id="87"/>
      <w:bookmarkEnd w:id="88"/>
      <w:bookmarkEnd w:id="89"/>
      <w:bookmarkEnd w:id="90"/>
      <w:bookmarkEnd w:id="91"/>
      <w:bookmarkEnd w:id="92"/>
      <w:bookmarkEnd w:id="93"/>
    </w:p>
    <w:p w14:paraId="3FFBC8F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94" w:name="_Toc19051"/>
      <w:bookmarkStart w:id="95" w:name="_Toc40361855"/>
      <w:bookmarkStart w:id="96" w:name="_Toc10320"/>
      <w:bookmarkStart w:id="97" w:name="_Toc70433600"/>
      <w:r>
        <w:rPr>
          <w:rFonts w:hint="eastAsia" w:ascii="仿宋" w:hAnsi="仿宋" w:eastAsia="仿宋" w:cs="仿宋"/>
          <w:b/>
          <w:bCs/>
          <w:color w:val="000000" w:themeColor="text1"/>
          <w:sz w:val="21"/>
          <w:szCs w:val="21"/>
          <w14:textFill>
            <w14:solidFill>
              <w14:schemeClr w14:val="tx1"/>
            </w14:solidFill>
          </w14:textFill>
        </w:rPr>
        <w:t>2.1招标文件的组成</w:t>
      </w:r>
      <w:bookmarkEnd w:id="94"/>
      <w:bookmarkEnd w:id="95"/>
      <w:bookmarkEnd w:id="96"/>
      <w:bookmarkEnd w:id="97"/>
    </w:p>
    <w:p w14:paraId="0292C4A8">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本招标文件包括：</w:t>
      </w:r>
    </w:p>
    <w:p w14:paraId="7F738AB6">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（1）招标公告；</w:t>
      </w:r>
    </w:p>
    <w:p w14:paraId="036A1F9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（2）投标人须知；</w:t>
      </w:r>
    </w:p>
    <w:p w14:paraId="671801A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（3）评标办法；</w:t>
      </w:r>
    </w:p>
    <w:p w14:paraId="6C3D954D">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（4）合同条款及格式；</w:t>
      </w:r>
    </w:p>
    <w:p w14:paraId="5835DBD8">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（5）发包人要求；</w:t>
      </w:r>
    </w:p>
    <w:p w14:paraId="036E7E1A">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（6）投标文件格式；</w:t>
      </w:r>
    </w:p>
    <w:p w14:paraId="16C1BA88">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（7）投标人须知前附表规定的其他资料。</w:t>
      </w:r>
    </w:p>
    <w:p w14:paraId="6ADAC9CC">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根据本章第1.10款、第2.2款和第2.3款对招标文件所作的澄清、修改，构成招标文件的组成部分。</w:t>
      </w:r>
    </w:p>
    <w:p w14:paraId="7267EECE">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98" w:name="_Toc40361856"/>
      <w:bookmarkStart w:id="99" w:name="_Toc70433601"/>
      <w:bookmarkStart w:id="100" w:name="_Toc30109"/>
      <w:bookmarkStart w:id="101" w:name="_Toc3191"/>
      <w:r>
        <w:rPr>
          <w:rFonts w:hint="eastAsia" w:ascii="仿宋" w:hAnsi="仿宋" w:eastAsia="仿宋" w:cs="仿宋"/>
          <w:b/>
          <w:bCs/>
          <w:color w:val="000000" w:themeColor="text1"/>
          <w:sz w:val="21"/>
          <w:szCs w:val="21"/>
          <w14:textFill>
            <w14:solidFill>
              <w14:schemeClr w14:val="tx1"/>
            </w14:solidFill>
          </w14:textFill>
        </w:rPr>
        <w:t>2.2招标文件的澄清</w:t>
      </w:r>
      <w:bookmarkEnd w:id="98"/>
      <w:bookmarkEnd w:id="99"/>
      <w:bookmarkEnd w:id="100"/>
      <w:bookmarkEnd w:id="101"/>
    </w:p>
    <w:p w14:paraId="4A6A1CE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2.2.1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14:paraId="0C1CA94D">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2.2.2 招标文件的澄清将在投标人须知前附表规定的投标截止时间15天前发布，如果澄清发出的时间距投标截止时间不足15天，且澄清的内容影响投标文件编制的，相应延长投标截止时间。</w:t>
      </w:r>
    </w:p>
    <w:p w14:paraId="68FDDBB6">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招标文件的澄清将在与招标公告发布媒介的同一媒介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1F9F4947">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2.2.3 投标人确认收到招标文件澄清的时间见投标人须知前附表。因洛阳市电子招投标交易平台在开标前具有保密性，投标人在投标文件递交截止时间前须自行查看项目进展、变更通知、澄清及回复，因投标人未及时查看而造成的后果自负。</w:t>
      </w:r>
    </w:p>
    <w:p w14:paraId="7980079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02" w:name="_Toc40361857"/>
      <w:bookmarkStart w:id="103" w:name="_Toc30841"/>
      <w:bookmarkStart w:id="104" w:name="_Toc70433602"/>
      <w:bookmarkStart w:id="105" w:name="_Toc14362"/>
      <w:r>
        <w:rPr>
          <w:rFonts w:hint="eastAsia" w:ascii="仿宋" w:hAnsi="仿宋" w:eastAsia="仿宋" w:cs="仿宋"/>
          <w:b/>
          <w:bCs/>
          <w:color w:val="000000" w:themeColor="text1"/>
          <w:sz w:val="21"/>
          <w:szCs w:val="21"/>
          <w14:textFill>
            <w14:solidFill>
              <w14:schemeClr w14:val="tx1"/>
            </w14:solidFill>
          </w14:textFill>
        </w:rPr>
        <w:t>2.3招标文件的修改</w:t>
      </w:r>
      <w:bookmarkEnd w:id="102"/>
      <w:bookmarkEnd w:id="103"/>
      <w:bookmarkEnd w:id="104"/>
      <w:bookmarkEnd w:id="105"/>
    </w:p>
    <w:p w14:paraId="70031DD9">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bookmarkStart w:id="106" w:name="_Toc40361859"/>
      <w:r>
        <w:rPr>
          <w:rFonts w:hint="eastAsia" w:ascii="仿宋" w:hAnsi="仿宋" w:eastAsia="仿宋" w:cs="仿宋"/>
          <w:color w:val="000000" w:themeColor="text1"/>
          <w:kern w:val="0"/>
          <w:szCs w:val="21"/>
          <w:lang w:bidi="ar"/>
          <w14:textFill>
            <w14:solidFill>
              <w14:schemeClr w14:val="tx1"/>
            </w14:solidFill>
          </w14:textFill>
        </w:rPr>
        <w:t>2.3.1 招标文件的修改将在投标人须知前附表规定的投标截止时间15天前发布，如果修改发出的时间距投标截止时间不足15天，且修改的内容影响投标文件编制的，相应延长投标截止时间。</w:t>
      </w:r>
    </w:p>
    <w:p w14:paraId="2CD50215">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招标文件的修改将在与招标公告发布媒介的同一媒介发布“变更公告”，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投标人自行承担。</w:t>
      </w:r>
    </w:p>
    <w:p w14:paraId="766506D3">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2.3.2 投标人确认收到招标文件修改的时间见投标人须知前附表。因洛阳市电子招投标交易平台在开标前具有保密性，投标人在投标文件递交截止时间前须自行查看项目进展、变更通知、澄清及回复，因投标人未及时查看而造成的后果自负。</w:t>
      </w:r>
    </w:p>
    <w:p w14:paraId="553C7C80">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107" w:name="_Toc32501"/>
      <w:bookmarkStart w:id="108" w:name="_Toc177142644"/>
      <w:bookmarkStart w:id="109" w:name="_Toc10607"/>
      <w:bookmarkStart w:id="110" w:name="_Toc30854"/>
      <w:bookmarkStart w:id="111" w:name="_Toc24306"/>
      <w:bookmarkStart w:id="112" w:name="_Toc27347"/>
      <w:bookmarkStart w:id="113" w:name="_Toc29382"/>
      <w:bookmarkStart w:id="114" w:name="_Toc5626"/>
      <w:r>
        <w:rPr>
          <w:rFonts w:hint="eastAsia" w:ascii="仿宋" w:hAnsi="仿宋" w:eastAsia="仿宋" w:cs="仿宋"/>
          <w:bCs/>
          <w:color w:val="000000" w:themeColor="text1"/>
          <w:sz w:val="24"/>
          <w:szCs w:val="18"/>
          <w14:textFill>
            <w14:solidFill>
              <w14:schemeClr w14:val="tx1"/>
            </w14:solidFill>
          </w14:textFill>
        </w:rPr>
        <w:t>3.投标文件</w:t>
      </w:r>
      <w:bookmarkEnd w:id="106"/>
      <w:bookmarkEnd w:id="107"/>
      <w:bookmarkEnd w:id="108"/>
      <w:bookmarkEnd w:id="109"/>
      <w:bookmarkEnd w:id="110"/>
      <w:bookmarkEnd w:id="111"/>
      <w:bookmarkEnd w:id="112"/>
      <w:bookmarkEnd w:id="113"/>
      <w:bookmarkEnd w:id="114"/>
    </w:p>
    <w:p w14:paraId="0CA8C471">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15" w:name="_Toc70433605"/>
      <w:bookmarkStart w:id="116" w:name="_Toc2808"/>
      <w:bookmarkStart w:id="117" w:name="_Toc18070"/>
      <w:bookmarkStart w:id="118" w:name="_Toc40361860"/>
      <w:r>
        <w:rPr>
          <w:rFonts w:hint="eastAsia" w:ascii="仿宋" w:hAnsi="仿宋" w:eastAsia="仿宋" w:cs="仿宋"/>
          <w:b/>
          <w:bCs/>
          <w:color w:val="000000" w:themeColor="text1"/>
          <w:sz w:val="21"/>
          <w:szCs w:val="21"/>
          <w14:textFill>
            <w14:solidFill>
              <w14:schemeClr w14:val="tx1"/>
            </w14:solidFill>
          </w14:textFill>
        </w:rPr>
        <w:t>3.1投标文件的组成</w:t>
      </w:r>
      <w:bookmarkEnd w:id="115"/>
      <w:bookmarkEnd w:id="116"/>
      <w:bookmarkEnd w:id="117"/>
      <w:bookmarkEnd w:id="118"/>
    </w:p>
    <w:p w14:paraId="65047226">
      <w:pPr>
        <w:pStyle w:val="51"/>
        <w:keepNext w:val="0"/>
        <w:keepLines w:val="0"/>
        <w:spacing w:line="360" w:lineRule="auto"/>
        <w:ind w:firstLine="420" w:firstLineChars="200"/>
        <w:outlineLvl w:val="9"/>
        <w:rPr>
          <w:rFonts w:hint="eastAsia" w:ascii="仿宋" w:hAnsi="仿宋" w:eastAsia="仿宋" w:cs="仿宋"/>
          <w:color w:val="000000" w:themeColor="text1"/>
          <w:kern w:val="0"/>
          <w:sz w:val="21"/>
          <w:szCs w:val="21"/>
          <w:lang w:bidi="ar"/>
          <w14:textFill>
            <w14:solidFill>
              <w14:schemeClr w14:val="tx1"/>
            </w14:solidFill>
          </w14:textFill>
        </w:rPr>
      </w:pPr>
      <w:bookmarkStart w:id="119" w:name="_Toc30858"/>
      <w:r>
        <w:rPr>
          <w:rFonts w:hint="eastAsia" w:ascii="仿宋" w:hAnsi="仿宋" w:eastAsia="仿宋" w:cs="仿宋"/>
          <w:color w:val="000000" w:themeColor="text1"/>
          <w:kern w:val="0"/>
          <w:sz w:val="21"/>
          <w:szCs w:val="21"/>
          <w:lang w:bidi="ar"/>
          <w14:textFill>
            <w14:solidFill>
              <w14:schemeClr w14:val="tx1"/>
            </w14:solidFill>
          </w14:textFill>
        </w:rPr>
        <w:t>详见投标文件格式。</w:t>
      </w:r>
      <w:bookmarkEnd w:id="119"/>
    </w:p>
    <w:p w14:paraId="4C8DE4B1">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20" w:name="_Toc8438"/>
      <w:bookmarkStart w:id="121" w:name="_Toc40361861"/>
      <w:bookmarkStart w:id="122" w:name="_Toc70433606"/>
      <w:bookmarkStart w:id="123" w:name="_Toc22877"/>
      <w:r>
        <w:rPr>
          <w:rFonts w:hint="eastAsia" w:ascii="仿宋" w:hAnsi="仿宋" w:eastAsia="仿宋" w:cs="仿宋"/>
          <w:b/>
          <w:bCs/>
          <w:color w:val="000000" w:themeColor="text1"/>
          <w:sz w:val="21"/>
          <w:szCs w:val="21"/>
          <w14:textFill>
            <w14:solidFill>
              <w14:schemeClr w14:val="tx1"/>
            </w14:solidFill>
          </w14:textFill>
        </w:rPr>
        <w:t>3.2投标报价</w:t>
      </w:r>
      <w:bookmarkEnd w:id="120"/>
      <w:bookmarkEnd w:id="121"/>
      <w:bookmarkEnd w:id="122"/>
      <w:bookmarkEnd w:id="123"/>
    </w:p>
    <w:p w14:paraId="384859BB">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3.2.1 投标报价应包括国家规定的增值税税金，除投标人须知前附表另有规定外，增值税税金按一般计税方法计算。投标人应按第六章“投标文件格式”的要求进行报价。</w:t>
      </w:r>
    </w:p>
    <w:p w14:paraId="3B157B9C">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3.2.2 投标人应充分了解该项目的总体情况以及影响投标报价的其他要素。</w:t>
      </w:r>
    </w:p>
    <w:p w14:paraId="6151E76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3.2.3 本项目的报价方式见投标人须知前附表。投标人在投标截止时间前修改投标函中的投标报价金额的，须符合本章第4.3款的有关要求。</w:t>
      </w:r>
    </w:p>
    <w:p w14:paraId="04DC7207">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3.2.4 招标人设有最高投标限价的，投标人的投标报价不得超过最高投标限价，最高投标限价在投标人须知前附表中载明。</w:t>
      </w:r>
    </w:p>
    <w:p w14:paraId="42ED742F">
      <w:pPr>
        <w:spacing w:after="0" w:line="360" w:lineRule="auto"/>
        <w:ind w:left="420" w:left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3.2.5 投标报价的其他要求见投标人须知前附表。</w:t>
      </w:r>
      <w:r>
        <w:rPr>
          <w:rFonts w:ascii="仿宋" w:hAnsi="仿宋" w:eastAsia="仿宋" w:cs="仿宋"/>
          <w:color w:val="000000" w:themeColor="text1"/>
          <w:kern w:val="0"/>
          <w:szCs w:val="21"/>
          <w:lang w:bidi="ar"/>
          <w14:textFill>
            <w14:solidFill>
              <w14:schemeClr w14:val="tx1"/>
            </w14:solidFill>
          </w14:textFill>
        </w:rPr>
        <w:br w:type="textWrapping"/>
      </w:r>
      <w:r>
        <w:rPr>
          <w:rFonts w:hint="eastAsia" w:ascii="仿宋" w:hAnsi="仿宋" w:eastAsia="仿宋" w:cs="仿宋"/>
          <w:color w:val="000000" w:themeColor="text1"/>
          <w:kern w:val="0"/>
          <w:szCs w:val="21"/>
          <w:lang w:bidi="ar"/>
          <w14:textFill>
            <w14:solidFill>
              <w14:schemeClr w14:val="tx1"/>
            </w14:solidFill>
          </w14:textFill>
        </w:rPr>
        <w:t>3</w:t>
      </w:r>
      <w:r>
        <w:rPr>
          <w:rFonts w:ascii="仿宋" w:hAnsi="仿宋" w:eastAsia="仿宋" w:cs="仿宋"/>
          <w:color w:val="000000" w:themeColor="text1"/>
          <w:kern w:val="0"/>
          <w:szCs w:val="21"/>
          <w:lang w:bidi="ar"/>
          <w14:textFill>
            <w14:solidFill>
              <w14:schemeClr w14:val="tx1"/>
            </w14:solidFill>
          </w14:textFill>
        </w:rPr>
        <w:t xml:space="preserve">.2.6 </w:t>
      </w:r>
      <w:r>
        <w:rPr>
          <w:rFonts w:hint="eastAsia" w:ascii="仿宋" w:hAnsi="仿宋" w:eastAsia="仿宋" w:cs="仿宋"/>
          <w:color w:val="000000" w:themeColor="text1"/>
          <w:kern w:val="0"/>
          <w:szCs w:val="21"/>
          <w:lang w:bidi="ar"/>
          <w14:textFill>
            <w14:solidFill>
              <w14:schemeClr w14:val="tx1"/>
            </w14:solidFill>
          </w14:textFill>
        </w:rPr>
        <w:t>报价相关说明见投标人须知前附表。</w:t>
      </w:r>
    </w:p>
    <w:p w14:paraId="54108129">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24" w:name="_Toc30260"/>
      <w:bookmarkStart w:id="125" w:name="_Toc40361862"/>
      <w:bookmarkStart w:id="126" w:name="_Toc70433607"/>
      <w:bookmarkStart w:id="127" w:name="_Toc24313"/>
      <w:r>
        <w:rPr>
          <w:rFonts w:hint="eastAsia" w:ascii="仿宋" w:hAnsi="仿宋" w:eastAsia="仿宋" w:cs="仿宋"/>
          <w:b/>
          <w:bCs/>
          <w:color w:val="000000" w:themeColor="text1"/>
          <w:sz w:val="21"/>
          <w:szCs w:val="21"/>
          <w14:textFill>
            <w14:solidFill>
              <w14:schemeClr w14:val="tx1"/>
            </w14:solidFill>
          </w14:textFill>
        </w:rPr>
        <w:t>3.3投标有效期</w:t>
      </w:r>
      <w:bookmarkEnd w:id="124"/>
      <w:bookmarkEnd w:id="125"/>
      <w:bookmarkEnd w:id="126"/>
      <w:bookmarkEnd w:id="127"/>
    </w:p>
    <w:p w14:paraId="13AE85CE">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3.3.1 除投标人须知前附表另有规定外，投标有效期为投标截止之日起90日历天。</w:t>
      </w:r>
    </w:p>
    <w:p w14:paraId="620C7702">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3.3.2 在投标有效期内，投标人撤销投标文件的，应承担招标文件和法律规定的责任。</w:t>
      </w:r>
    </w:p>
    <w:p w14:paraId="2FC5E06B">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3.3.3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6271CC8">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28" w:name="_Toc7948"/>
      <w:bookmarkStart w:id="129" w:name="_Toc40361863"/>
      <w:bookmarkStart w:id="130" w:name="_Toc70433608"/>
      <w:bookmarkStart w:id="131" w:name="_Toc24539"/>
      <w:r>
        <w:rPr>
          <w:rFonts w:hint="eastAsia" w:ascii="仿宋" w:hAnsi="仿宋" w:eastAsia="仿宋" w:cs="仿宋"/>
          <w:b/>
          <w:bCs/>
          <w:color w:val="000000" w:themeColor="text1"/>
          <w:sz w:val="21"/>
          <w:szCs w:val="21"/>
          <w14:textFill>
            <w14:solidFill>
              <w14:schemeClr w14:val="tx1"/>
            </w14:solidFill>
          </w14:textFill>
        </w:rPr>
        <w:t>3.4投标保证金</w:t>
      </w:r>
      <w:bookmarkEnd w:id="128"/>
      <w:bookmarkEnd w:id="129"/>
      <w:bookmarkEnd w:id="130"/>
      <w:bookmarkEnd w:id="131"/>
    </w:p>
    <w:p w14:paraId="10AE7FB8">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bookmarkStart w:id="132" w:name="_Hlk131864653"/>
      <w:bookmarkStart w:id="133" w:name="_Toc70433609"/>
      <w:bookmarkStart w:id="134" w:name="_Toc25427"/>
      <w:bookmarkStart w:id="135" w:name="_Toc40361864"/>
      <w:r>
        <w:rPr>
          <w:rFonts w:hint="eastAsia" w:ascii="仿宋" w:hAnsi="仿宋" w:eastAsia="仿宋" w:cs="仿宋"/>
          <w:color w:val="000000" w:themeColor="text1"/>
          <w:szCs w:val="21"/>
          <w14:textFill>
            <w14:solidFill>
              <w14:schemeClr w14:val="tx1"/>
            </w14:solidFill>
          </w14:textFill>
        </w:rPr>
        <w:t>本项目不缴纳投标保证金，投标人须在投标文件中提供《投标保证金企业信用承诺函》，格式见投标文件格式。</w:t>
      </w:r>
    </w:p>
    <w:bookmarkEnd w:id="132"/>
    <w:bookmarkEnd w:id="133"/>
    <w:p w14:paraId="174298BB">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36" w:name="_Toc70433610"/>
      <w:bookmarkStart w:id="137" w:name="_Toc20659"/>
      <w:r>
        <w:rPr>
          <w:rFonts w:hint="eastAsia" w:ascii="仿宋" w:hAnsi="仿宋" w:eastAsia="仿宋" w:cs="仿宋"/>
          <w:b/>
          <w:bCs/>
          <w:color w:val="000000" w:themeColor="text1"/>
          <w:sz w:val="21"/>
          <w:szCs w:val="21"/>
          <w14:textFill>
            <w14:solidFill>
              <w14:schemeClr w14:val="tx1"/>
            </w14:solidFill>
          </w14:textFill>
        </w:rPr>
        <w:t>3.5资格审查</w:t>
      </w:r>
      <w:bookmarkEnd w:id="134"/>
      <w:bookmarkEnd w:id="135"/>
      <w:bookmarkEnd w:id="136"/>
      <w:r>
        <w:rPr>
          <w:rFonts w:hint="eastAsia" w:ascii="仿宋" w:hAnsi="仿宋" w:eastAsia="仿宋" w:cs="仿宋"/>
          <w:b/>
          <w:bCs/>
          <w:color w:val="000000" w:themeColor="text1"/>
          <w:sz w:val="21"/>
          <w:szCs w:val="21"/>
          <w14:textFill>
            <w14:solidFill>
              <w14:schemeClr w14:val="tx1"/>
            </w14:solidFill>
          </w14:textFill>
        </w:rPr>
        <w:t>方式</w:t>
      </w:r>
      <w:bookmarkEnd w:id="137"/>
    </w:p>
    <w:p w14:paraId="2752591A">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本项目实行资格后审。</w:t>
      </w:r>
    </w:p>
    <w:p w14:paraId="631A4445">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38" w:name="_Toc70433611"/>
      <w:bookmarkStart w:id="139" w:name="_Toc21715"/>
      <w:bookmarkStart w:id="140" w:name="_Toc40361865"/>
      <w:bookmarkStart w:id="141" w:name="_Toc1419"/>
      <w:r>
        <w:rPr>
          <w:rFonts w:hint="eastAsia" w:ascii="仿宋" w:hAnsi="仿宋" w:eastAsia="仿宋" w:cs="仿宋"/>
          <w:b/>
          <w:bCs/>
          <w:color w:val="000000" w:themeColor="text1"/>
          <w:sz w:val="21"/>
          <w:szCs w:val="21"/>
          <w14:textFill>
            <w14:solidFill>
              <w14:schemeClr w14:val="tx1"/>
            </w14:solidFill>
          </w14:textFill>
        </w:rPr>
        <w:t>3.6备选投标方案</w:t>
      </w:r>
      <w:bookmarkEnd w:id="138"/>
      <w:bookmarkEnd w:id="139"/>
      <w:bookmarkEnd w:id="140"/>
      <w:bookmarkEnd w:id="141"/>
    </w:p>
    <w:p w14:paraId="21100806">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bookmarkStart w:id="142" w:name="_Toc40361866"/>
      <w:bookmarkStart w:id="143" w:name="_Toc70433612"/>
      <w:bookmarkStart w:id="144" w:name="_Toc5388"/>
      <w:r>
        <w:rPr>
          <w:rFonts w:hint="eastAsia" w:ascii="仿宋" w:hAnsi="仿宋" w:eastAsia="仿宋" w:cs="仿宋"/>
          <w:color w:val="000000" w:themeColor="text1"/>
          <w:kern w:val="0"/>
          <w:szCs w:val="21"/>
          <w:lang w:bidi="ar"/>
          <w14:textFill>
            <w14:solidFill>
              <w14:schemeClr w14:val="tx1"/>
            </w14:solidFill>
          </w14:textFill>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869AB68">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45" w:name="_Toc27468"/>
      <w:r>
        <w:rPr>
          <w:rFonts w:hint="eastAsia" w:ascii="仿宋" w:hAnsi="仿宋" w:eastAsia="仿宋" w:cs="仿宋"/>
          <w:b/>
          <w:bCs/>
          <w:color w:val="000000" w:themeColor="text1"/>
          <w:sz w:val="21"/>
          <w:szCs w:val="21"/>
          <w14:textFill>
            <w14:solidFill>
              <w14:schemeClr w14:val="tx1"/>
            </w14:solidFill>
          </w14:textFill>
        </w:rPr>
        <w:t>3.7投标文件的编制</w:t>
      </w:r>
      <w:bookmarkEnd w:id="142"/>
      <w:bookmarkEnd w:id="143"/>
      <w:bookmarkEnd w:id="144"/>
      <w:bookmarkEnd w:id="145"/>
    </w:p>
    <w:p w14:paraId="1C1C5EAB">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3.7.1 投标文件应按第六章“投标文件格式”进行编写，如有必要，可以增加附页，作为投标文件的组成部分。其中，投标函附录在满足招标文件实质性要求的基础上，可以提出比招标文件要求更有利于招标人的承诺。</w:t>
      </w:r>
    </w:p>
    <w:p w14:paraId="3BD68048">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3.7.2 投标文件应当对招标文件有关服务周期、质量要求、投标有效期、发包人要求等实质性内容作出响应。</w:t>
      </w:r>
      <w:r>
        <w:rPr>
          <w:rFonts w:hint="eastAsia" w:ascii="仿宋" w:hAnsi="仿宋" w:eastAsia="仿宋" w:cs="仿宋"/>
          <w:color w:val="000000" w:themeColor="text1"/>
          <w:kern w:val="0"/>
          <w:szCs w:val="21"/>
          <w:lang w:bidi="ar"/>
          <w14:textFill>
            <w14:solidFill>
              <w14:schemeClr w14:val="tx1"/>
            </w14:solidFill>
          </w14:textFill>
        </w:rPr>
        <w:br w:type="textWrapping"/>
      </w:r>
      <w:r>
        <w:rPr>
          <w:rFonts w:hint="eastAsia" w:ascii="仿宋" w:hAnsi="仿宋" w:eastAsia="仿宋" w:cs="仿宋"/>
          <w:color w:val="000000" w:themeColor="text1"/>
          <w:kern w:val="0"/>
          <w:szCs w:val="21"/>
          <w:lang w:bidi="ar"/>
          <w14:textFill>
            <w14:solidFill>
              <w14:schemeClr w14:val="tx1"/>
            </w14:solidFill>
          </w14:textFill>
        </w:rPr>
        <w:t xml:space="preserve">    3.7.3投标人登录“洛阳市公共资源交易中心”网站，按要求下载“新点投标文件制作软件”。</w:t>
      </w:r>
    </w:p>
    <w:p w14:paraId="1E7D0D05">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3.7.4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29C44405">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3.7.5加密的电子投标文件为“洛阳市公共资源交易中心”网站提供的“新点投标文件制作软件”制作生成的加密版投标文件。</w:t>
      </w:r>
    </w:p>
    <w:p w14:paraId="2D95D140">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3.7.6招标文件格式所要求包含的全部资料应全部制作在投标文件内，严格按照本项目招标文件所有格式如实填写（不涉及的内容除外），不应存在漏项或缺项，否则将存在投标文件被否决的风险。</w:t>
      </w:r>
    </w:p>
    <w:p w14:paraId="6D9BF64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3.7.7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14:paraId="4A012B96">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3.7.8投标文件制作的具体方法详见“全国公共资源交易平台（河南省·洛阳市）”-办事指南-下载中心-操作手册-《洛阳市投标文件制作工具操作手册》及投标文件制作工具中的帮助文档。</w:t>
      </w:r>
    </w:p>
    <w:p w14:paraId="2A4A78B4">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3.7.9因投标人自身原因而导致投标文件无法导入“全国公共资源交易平台（河南省·洛阳市）”（http://lyggzyjy.ly.gov.cn）-“洛阳市电子招投标交易平台”电子开标、评标系统，该投标视为无效投标，投标人自行承担由此导致的全部责任。</w:t>
      </w:r>
    </w:p>
    <w:p w14:paraId="171793FB">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146" w:name="_Toc40361867"/>
      <w:bookmarkStart w:id="147" w:name="_Toc6308"/>
      <w:bookmarkStart w:id="148" w:name="_Toc11269"/>
      <w:bookmarkStart w:id="149" w:name="_Toc177142645"/>
      <w:bookmarkStart w:id="150" w:name="_Toc4304"/>
      <w:bookmarkStart w:id="151" w:name="_Toc10594"/>
      <w:bookmarkStart w:id="152" w:name="_Toc4718"/>
      <w:bookmarkStart w:id="153" w:name="_Toc10177"/>
      <w:bookmarkStart w:id="154" w:name="_Toc22871"/>
      <w:r>
        <w:rPr>
          <w:rFonts w:hint="eastAsia" w:ascii="仿宋" w:hAnsi="仿宋" w:eastAsia="仿宋" w:cs="仿宋"/>
          <w:bCs/>
          <w:color w:val="000000" w:themeColor="text1"/>
          <w:sz w:val="24"/>
          <w:szCs w:val="18"/>
          <w14:textFill>
            <w14:solidFill>
              <w14:schemeClr w14:val="tx1"/>
            </w14:solidFill>
          </w14:textFill>
        </w:rPr>
        <w:t>4.投标</w:t>
      </w:r>
      <w:bookmarkEnd w:id="146"/>
      <w:bookmarkEnd w:id="147"/>
      <w:bookmarkEnd w:id="148"/>
      <w:bookmarkEnd w:id="149"/>
      <w:bookmarkEnd w:id="150"/>
      <w:bookmarkEnd w:id="151"/>
      <w:bookmarkEnd w:id="152"/>
      <w:bookmarkEnd w:id="153"/>
      <w:bookmarkEnd w:id="154"/>
    </w:p>
    <w:p w14:paraId="236E9C9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55" w:name="_Toc70433614"/>
      <w:bookmarkStart w:id="156" w:name="_Toc40361868"/>
      <w:bookmarkStart w:id="157" w:name="_Toc22474"/>
      <w:bookmarkStart w:id="158" w:name="_Toc30379"/>
      <w:r>
        <w:rPr>
          <w:rFonts w:hint="eastAsia" w:ascii="仿宋" w:hAnsi="仿宋" w:eastAsia="仿宋" w:cs="仿宋"/>
          <w:b/>
          <w:bCs/>
          <w:color w:val="000000" w:themeColor="text1"/>
          <w:sz w:val="21"/>
          <w:szCs w:val="21"/>
          <w14:textFill>
            <w14:solidFill>
              <w14:schemeClr w14:val="tx1"/>
            </w14:solidFill>
          </w14:textFill>
        </w:rPr>
        <w:t>4.1</w:t>
      </w:r>
      <w:bookmarkEnd w:id="155"/>
      <w:bookmarkEnd w:id="156"/>
      <w:bookmarkEnd w:id="157"/>
      <w:r>
        <w:rPr>
          <w:rFonts w:hint="eastAsia" w:ascii="仿宋" w:hAnsi="仿宋" w:eastAsia="仿宋" w:cs="仿宋"/>
          <w:b/>
          <w:bCs/>
          <w:color w:val="000000" w:themeColor="text1"/>
          <w:sz w:val="21"/>
          <w:szCs w:val="21"/>
          <w14:textFill>
            <w14:solidFill>
              <w14:schemeClr w14:val="tx1"/>
            </w14:solidFill>
          </w14:textFill>
        </w:rPr>
        <w:t>投标文件的盖章、份数</w:t>
      </w:r>
      <w:bookmarkEnd w:id="158"/>
    </w:p>
    <w:p w14:paraId="7F88C749">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4.1.1 投标文件盖章要求投标人须知前附表。</w:t>
      </w:r>
    </w:p>
    <w:p w14:paraId="6C11860E">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4.1.2 投标文件的份数见投标人须知前附表。</w:t>
      </w:r>
    </w:p>
    <w:p w14:paraId="03B7FB7F">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59" w:name="_Toc3708"/>
      <w:bookmarkStart w:id="160" w:name="_Toc11272"/>
      <w:bookmarkStart w:id="161" w:name="_Toc70433615"/>
      <w:bookmarkStart w:id="162" w:name="_Toc40361869"/>
      <w:r>
        <w:rPr>
          <w:rFonts w:hint="eastAsia" w:ascii="仿宋" w:hAnsi="仿宋" w:eastAsia="仿宋" w:cs="仿宋"/>
          <w:b/>
          <w:bCs/>
          <w:color w:val="000000" w:themeColor="text1"/>
          <w:sz w:val="21"/>
          <w:szCs w:val="21"/>
          <w14:textFill>
            <w14:solidFill>
              <w14:schemeClr w14:val="tx1"/>
            </w14:solidFill>
          </w14:textFill>
        </w:rPr>
        <w:t>4.2投标文件的递交</w:t>
      </w:r>
      <w:bookmarkEnd w:id="159"/>
      <w:bookmarkEnd w:id="160"/>
      <w:bookmarkEnd w:id="161"/>
      <w:bookmarkEnd w:id="162"/>
    </w:p>
    <w:p w14:paraId="3D0B449E">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bookmarkStart w:id="163" w:name="_Toc70433616"/>
      <w:bookmarkStart w:id="164" w:name="_Toc40361870"/>
      <w:bookmarkStart w:id="165" w:name="_Toc27615"/>
      <w:r>
        <w:rPr>
          <w:rFonts w:hint="eastAsia" w:ascii="仿宋" w:hAnsi="仿宋" w:eastAsia="仿宋" w:cs="仿宋"/>
          <w:color w:val="000000" w:themeColor="text1"/>
          <w:kern w:val="0"/>
          <w:szCs w:val="21"/>
          <w:lang w:bidi="ar"/>
          <w14:textFill>
            <w14:solidFill>
              <w14:schemeClr w14:val="tx1"/>
            </w14:solidFill>
          </w14:textFill>
        </w:rPr>
        <w:t>4.2.1 投标人应在投标人须知前附表规定的提交投标文件截止时间前提交投标文件。不接受邮寄、电报、电话、传真等方式。除电子投标文件外，不再接受任何纸质文件、资料等。</w:t>
      </w:r>
    </w:p>
    <w:p w14:paraId="2C794AAC">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4.2.2 投标人递交投标文件的截止时间和地点：见投标人须知前附表。</w:t>
      </w:r>
    </w:p>
    <w:p w14:paraId="76C0BED1">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4.2.3 投标人应在提交投标文件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截止时间前完成上传的，视为逾期送达，洛阳市电子招投标交易平台将拒绝接收。上传成功后将得到上传成功的确认。</w:t>
      </w:r>
    </w:p>
    <w:p w14:paraId="13801E90">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4.2.4投标人因洛阳市电子招投标交易平台问题无法上传电子投标文件时，请在工作时间与交易中心联系。联系方式见投标人须知前附表。开标时因投标人自身原因而导致投标文件无法导入“洛阳市电子招投标交易平台”电子开标、评标系统，该投标视为无效投标，投标人自行承担由此导致的全部责任。</w:t>
      </w:r>
    </w:p>
    <w:p w14:paraId="7E3FF8F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4.2.5除投标人须知前附表另有规定外，投标人所提交的投标文件不予退还。</w:t>
      </w:r>
      <w:r>
        <w:rPr>
          <w:rFonts w:hint="eastAsia" w:ascii="仿宋" w:hAnsi="仿宋" w:eastAsia="仿宋" w:cs="仿宋"/>
          <w:color w:val="000000" w:themeColor="text1"/>
          <w:kern w:val="0"/>
          <w:szCs w:val="21"/>
          <w:lang w:bidi="ar"/>
          <w14:textFill>
            <w14:solidFill>
              <w14:schemeClr w14:val="tx1"/>
            </w14:solidFill>
          </w14:textFill>
        </w:rPr>
        <w:br w:type="textWrapping"/>
      </w:r>
      <w:r>
        <w:rPr>
          <w:rFonts w:hint="eastAsia" w:ascii="仿宋" w:hAnsi="仿宋" w:eastAsia="仿宋" w:cs="仿宋"/>
          <w:color w:val="000000" w:themeColor="text1"/>
          <w:kern w:val="0"/>
          <w:szCs w:val="21"/>
          <w:lang w:bidi="ar"/>
          <w14:textFill>
            <w14:solidFill>
              <w14:schemeClr w14:val="tx1"/>
            </w14:solidFill>
          </w14:textFill>
        </w:rPr>
        <w:t>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27B76CD4">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4.2.6 逾期送达的投标文件，电子招标投标交易平台将予以拒收。</w:t>
      </w:r>
    </w:p>
    <w:p w14:paraId="352C9BED">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66" w:name="_Toc17712"/>
      <w:r>
        <w:rPr>
          <w:rFonts w:hint="eastAsia" w:ascii="仿宋" w:hAnsi="仿宋" w:eastAsia="仿宋" w:cs="仿宋"/>
          <w:b/>
          <w:bCs/>
          <w:color w:val="000000" w:themeColor="text1"/>
          <w:sz w:val="21"/>
          <w:szCs w:val="21"/>
          <w14:textFill>
            <w14:solidFill>
              <w14:schemeClr w14:val="tx1"/>
            </w14:solidFill>
          </w14:textFill>
        </w:rPr>
        <w:t>4.3投标文件的修改与撤回</w:t>
      </w:r>
      <w:bookmarkEnd w:id="163"/>
      <w:bookmarkEnd w:id="164"/>
      <w:bookmarkEnd w:id="165"/>
      <w:bookmarkEnd w:id="166"/>
    </w:p>
    <w:p w14:paraId="6A15A277">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4.3.1在投标截止时间前，投标人可以修改或撤回已递交的投标文件。投标人对加密的投标文件进行撤回的，应在“洛阳市电子招投标交易平台”直接进行撤回操作；投标人对加密的投标文件进行修改的，应在投标截止时间前完成上传。</w:t>
      </w:r>
    </w:p>
    <w:p w14:paraId="091CC966">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4.3.2投标人修改投标文件的，应使用规定的投标文件制作工具制作成完整的投标文件，并按照规定进行编制、加密和递交。对采用网上递交的加密的投标文件，以投标截止时间前最后完成上传的文件为准。</w:t>
      </w:r>
    </w:p>
    <w:p w14:paraId="6FA78D2C">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167" w:name="_Toc17679"/>
      <w:bookmarkStart w:id="168" w:name="_Toc40361871"/>
      <w:bookmarkStart w:id="169" w:name="_Toc17088"/>
      <w:bookmarkStart w:id="170" w:name="_Toc32474"/>
      <w:bookmarkStart w:id="171" w:name="_Toc11082"/>
      <w:bookmarkStart w:id="172" w:name="_Toc16939"/>
      <w:bookmarkStart w:id="173" w:name="_Toc177142646"/>
      <w:bookmarkStart w:id="174" w:name="_Toc16620"/>
      <w:bookmarkStart w:id="175" w:name="_Toc32346"/>
      <w:r>
        <w:rPr>
          <w:rFonts w:hint="eastAsia" w:ascii="仿宋" w:hAnsi="仿宋" w:eastAsia="仿宋" w:cs="仿宋"/>
          <w:bCs/>
          <w:color w:val="000000" w:themeColor="text1"/>
          <w:sz w:val="24"/>
          <w:szCs w:val="18"/>
          <w14:textFill>
            <w14:solidFill>
              <w14:schemeClr w14:val="tx1"/>
            </w14:solidFill>
          </w14:textFill>
        </w:rPr>
        <w:t>5.开标</w:t>
      </w:r>
      <w:bookmarkEnd w:id="167"/>
      <w:bookmarkEnd w:id="168"/>
      <w:bookmarkEnd w:id="169"/>
      <w:bookmarkEnd w:id="170"/>
      <w:bookmarkEnd w:id="171"/>
      <w:bookmarkEnd w:id="172"/>
      <w:bookmarkEnd w:id="173"/>
      <w:bookmarkEnd w:id="174"/>
      <w:bookmarkEnd w:id="175"/>
    </w:p>
    <w:p w14:paraId="5F581C49">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76" w:name="_Toc18961"/>
      <w:bookmarkStart w:id="177" w:name="_Toc40361872"/>
      <w:bookmarkStart w:id="178" w:name="_Toc587"/>
      <w:bookmarkStart w:id="179" w:name="_Toc70433618"/>
      <w:r>
        <w:rPr>
          <w:rFonts w:hint="eastAsia" w:ascii="仿宋" w:hAnsi="仿宋" w:eastAsia="仿宋" w:cs="仿宋"/>
          <w:b/>
          <w:bCs/>
          <w:color w:val="000000" w:themeColor="text1"/>
          <w:sz w:val="21"/>
          <w:szCs w:val="21"/>
          <w14:textFill>
            <w14:solidFill>
              <w14:schemeClr w14:val="tx1"/>
            </w14:solidFill>
          </w14:textFill>
        </w:rPr>
        <w:t>5.1开标时间和地点</w:t>
      </w:r>
      <w:bookmarkEnd w:id="176"/>
      <w:bookmarkEnd w:id="177"/>
      <w:bookmarkEnd w:id="178"/>
      <w:bookmarkEnd w:id="179"/>
    </w:p>
    <w:p w14:paraId="7C66FED5">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招标人在本章第4.2.1项规定的投标截止时间（开标时间）和投标人须知前附表规定的地点公开开标。本项目采用远程不见面交易的模式。开标当日，投标人无需到开标现场参加开标会议，投标人应当在投标截止时间前，登录到洛阳市电子招投标交易平台（</w:t>
      </w:r>
      <w:r>
        <w:rPr>
          <w:rFonts w:hint="eastAsia" w:ascii="仿宋" w:hAnsi="仿宋" w:eastAsia="仿宋" w:cs="仿宋"/>
          <w:color w:val="000000" w:themeColor="text1"/>
          <w:kern w:val="0"/>
          <w:szCs w:val="21"/>
          <w:lang w:eastAsia="zh-CN" w:bidi="ar"/>
          <w14:textFill>
            <w14:solidFill>
              <w14:schemeClr w14:val="tx1"/>
            </w14:solidFill>
          </w14:textFill>
        </w:rPr>
        <w:t>http://lyggzyjy.ly.gov.cn/</w:t>
      </w:r>
      <w:r>
        <w:rPr>
          <w:rFonts w:hint="eastAsia" w:ascii="仿宋" w:hAnsi="仿宋" w:eastAsia="仿宋" w:cs="仿宋"/>
          <w:color w:val="000000" w:themeColor="text1"/>
          <w:kern w:val="0"/>
          <w:szCs w:val="21"/>
          <w:lang w:bidi="ar"/>
          <w14:textFill>
            <w14:solidFill>
              <w14:schemeClr w14:val="tx1"/>
            </w14:solidFill>
          </w14:textFill>
        </w:rPr>
        <w:t>），点击【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14:paraId="0073D709">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80" w:name="_Toc40361873"/>
      <w:bookmarkStart w:id="181" w:name="_Toc70433619"/>
      <w:bookmarkStart w:id="182" w:name="_Toc4877"/>
      <w:bookmarkStart w:id="183" w:name="_Toc26311"/>
      <w:r>
        <w:rPr>
          <w:rFonts w:hint="eastAsia" w:ascii="仿宋" w:hAnsi="仿宋" w:eastAsia="仿宋" w:cs="仿宋"/>
          <w:b/>
          <w:bCs/>
          <w:color w:val="000000" w:themeColor="text1"/>
          <w:sz w:val="21"/>
          <w:szCs w:val="21"/>
          <w14:textFill>
            <w14:solidFill>
              <w14:schemeClr w14:val="tx1"/>
            </w14:solidFill>
          </w14:textFill>
        </w:rPr>
        <w:t>5.2开标程序</w:t>
      </w:r>
      <w:bookmarkEnd w:id="180"/>
      <w:bookmarkEnd w:id="181"/>
      <w:bookmarkEnd w:id="182"/>
      <w:bookmarkEnd w:id="183"/>
    </w:p>
    <w:p w14:paraId="20CB5E6F">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按照【不见面开标大厅】系统设定的开标程序进行开标。</w:t>
      </w:r>
    </w:p>
    <w:p w14:paraId="70C851F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84" w:name="_Toc70433620"/>
      <w:bookmarkStart w:id="185" w:name="_Toc13599"/>
      <w:bookmarkStart w:id="186" w:name="_Toc40361874"/>
      <w:bookmarkStart w:id="187" w:name="_Toc19049"/>
      <w:r>
        <w:rPr>
          <w:rFonts w:hint="eastAsia" w:ascii="仿宋" w:hAnsi="仿宋" w:eastAsia="仿宋" w:cs="仿宋"/>
          <w:b/>
          <w:bCs/>
          <w:color w:val="000000" w:themeColor="text1"/>
          <w:sz w:val="21"/>
          <w:szCs w:val="21"/>
          <w14:textFill>
            <w14:solidFill>
              <w14:schemeClr w14:val="tx1"/>
            </w14:solidFill>
          </w14:textFill>
        </w:rPr>
        <w:t>5.3开标异议</w:t>
      </w:r>
      <w:bookmarkEnd w:id="184"/>
      <w:bookmarkEnd w:id="185"/>
      <w:bookmarkEnd w:id="186"/>
      <w:bookmarkEnd w:id="187"/>
    </w:p>
    <w:p w14:paraId="05A892BA">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投标人对开标有异议的，应在开标时通过【不见面开标大厅】系统提出，招标人当场作出答复，并制作记录。</w:t>
      </w:r>
    </w:p>
    <w:p w14:paraId="0EF56BB8">
      <w:pPr>
        <w:spacing w:after="0" w:line="360" w:lineRule="auto"/>
        <w:rPr>
          <w:rFonts w:hint="eastAsia" w:ascii="仿宋" w:hAnsi="仿宋" w:eastAsia="仿宋" w:cs="仿宋"/>
          <w:b/>
          <w:bCs/>
          <w:color w:val="000000" w:themeColor="text1"/>
          <w:szCs w:val="21"/>
          <w14:textFill>
            <w14:solidFill>
              <w14:schemeClr w14:val="tx1"/>
            </w14:solidFill>
          </w14:textFill>
        </w:rPr>
      </w:pPr>
      <w:bookmarkStart w:id="188" w:name="_Toc40361875"/>
      <w:r>
        <w:rPr>
          <w:rFonts w:hint="eastAsia" w:ascii="仿宋" w:hAnsi="仿宋" w:eastAsia="仿宋" w:cs="仿宋"/>
          <w:b/>
          <w:bCs/>
          <w:color w:val="000000" w:themeColor="text1"/>
          <w:szCs w:val="21"/>
          <w14:textFill>
            <w14:solidFill>
              <w14:schemeClr w14:val="tx1"/>
            </w14:solidFill>
          </w14:textFill>
        </w:rPr>
        <w:t>5.4开标异常处理</w:t>
      </w:r>
    </w:p>
    <w:p w14:paraId="16366EA0">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当出现以下情况时，应对未开标的中止电子开标，对原有资料及信息作出妥善保密处理，并在恢复正常后及时安排时间开标：</w:t>
      </w:r>
    </w:p>
    <w:p w14:paraId="5B5EE654">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（1）系统服务器发生故障，无法访问或无法使用系统；</w:t>
      </w:r>
    </w:p>
    <w:p w14:paraId="50F3B0E6">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（2）系统的软件或数据库出现错误，不能进行正常操作；</w:t>
      </w:r>
    </w:p>
    <w:p w14:paraId="21891DA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（3）系统发现有安全漏洞，有潜在的泄密危险；</w:t>
      </w:r>
    </w:p>
    <w:p w14:paraId="259EBA77">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（4）出现断电事故且短时间内无法恢复供电；</w:t>
      </w:r>
    </w:p>
    <w:p w14:paraId="33EE52F6">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（5）其他无法保证招投标过程正常进行的情形。</w:t>
      </w:r>
    </w:p>
    <w:p w14:paraId="3A5E82EC">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189" w:name="_Toc27338"/>
      <w:bookmarkStart w:id="190" w:name="_Toc20806"/>
      <w:bookmarkStart w:id="191" w:name="_Toc31436"/>
      <w:bookmarkStart w:id="192" w:name="_Toc177142647"/>
      <w:bookmarkStart w:id="193" w:name="_Toc3570"/>
      <w:bookmarkStart w:id="194" w:name="_Toc15530"/>
      <w:bookmarkStart w:id="195" w:name="_Toc353"/>
      <w:bookmarkStart w:id="196" w:name="_Toc24011"/>
      <w:r>
        <w:rPr>
          <w:rFonts w:hint="eastAsia" w:ascii="仿宋" w:hAnsi="仿宋" w:eastAsia="仿宋" w:cs="仿宋"/>
          <w:bCs/>
          <w:color w:val="000000" w:themeColor="text1"/>
          <w:sz w:val="24"/>
          <w:szCs w:val="18"/>
          <w14:textFill>
            <w14:solidFill>
              <w14:schemeClr w14:val="tx1"/>
            </w14:solidFill>
          </w14:textFill>
        </w:rPr>
        <w:t>6.评标</w:t>
      </w:r>
      <w:bookmarkEnd w:id="188"/>
      <w:bookmarkEnd w:id="189"/>
      <w:bookmarkEnd w:id="190"/>
      <w:bookmarkEnd w:id="191"/>
      <w:bookmarkEnd w:id="192"/>
      <w:bookmarkEnd w:id="193"/>
      <w:bookmarkEnd w:id="194"/>
      <w:bookmarkEnd w:id="195"/>
      <w:bookmarkEnd w:id="196"/>
    </w:p>
    <w:p w14:paraId="7626434F">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197" w:name="_Toc32673"/>
      <w:bookmarkStart w:id="198" w:name="_Toc70433622"/>
      <w:bookmarkStart w:id="199" w:name="_Toc18631"/>
      <w:bookmarkStart w:id="200" w:name="_Toc40361876"/>
      <w:r>
        <w:rPr>
          <w:rFonts w:hint="eastAsia" w:ascii="仿宋" w:hAnsi="仿宋" w:eastAsia="仿宋" w:cs="仿宋"/>
          <w:b/>
          <w:bCs/>
          <w:color w:val="000000" w:themeColor="text1"/>
          <w:sz w:val="21"/>
          <w:szCs w:val="21"/>
          <w14:textFill>
            <w14:solidFill>
              <w14:schemeClr w14:val="tx1"/>
            </w14:solidFill>
          </w14:textFill>
        </w:rPr>
        <w:t>6.1评标委员会</w:t>
      </w:r>
      <w:bookmarkEnd w:id="197"/>
      <w:bookmarkEnd w:id="198"/>
      <w:bookmarkEnd w:id="199"/>
      <w:bookmarkEnd w:id="200"/>
    </w:p>
    <w:p w14:paraId="2D921AC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6.1.1 评标由招标人依法组建的评标委员会负责。评标委员会由</w:t>
      </w:r>
      <w:r>
        <w:rPr>
          <w:rFonts w:hint="eastAsia" w:ascii="仿宋" w:hAnsi="仿宋" w:eastAsia="仿宋" w:cs="仿宋"/>
          <w:color w:val="000000" w:themeColor="text1"/>
          <w:kern w:val="0"/>
          <w:szCs w:val="21"/>
          <w:lang w:eastAsia="zh-CN" w:bidi="ar"/>
          <w14:textFill>
            <w14:solidFill>
              <w14:schemeClr w14:val="tx1"/>
            </w14:solidFill>
          </w14:textFill>
        </w:rPr>
        <w:t>采购人及</w:t>
      </w:r>
      <w:r>
        <w:rPr>
          <w:rFonts w:hint="eastAsia" w:ascii="仿宋" w:hAnsi="仿宋" w:eastAsia="仿宋" w:cs="仿宋"/>
          <w:color w:val="000000" w:themeColor="text1"/>
          <w:kern w:val="0"/>
          <w:szCs w:val="21"/>
          <w:lang w:bidi="ar"/>
          <w14:textFill>
            <w14:solidFill>
              <w14:schemeClr w14:val="tx1"/>
            </w14:solidFill>
          </w14:textFill>
        </w:rPr>
        <w:t>相关技术、经济等方面的专家组成。评标委员会成员人数以及技术、经济等方面专家的确定方式见投标人须知前附表。</w:t>
      </w:r>
    </w:p>
    <w:p w14:paraId="6730D843">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6.1.2 评标委员会成员有下列情形之一的，应当回避：</w:t>
      </w:r>
    </w:p>
    <w:p w14:paraId="2801C75D">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（1）投标人或投标人主要负责人的近亲属；</w:t>
      </w:r>
    </w:p>
    <w:p w14:paraId="52D3642D">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（2）项目主管部门或者行政监督部门的人员；</w:t>
      </w:r>
    </w:p>
    <w:p w14:paraId="13BC30DA">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（3）与投标人有经济利益关系，可能影响对投标公正评审的；</w:t>
      </w:r>
    </w:p>
    <w:p w14:paraId="05779A8C">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（4）曾因在招标、评标以及其他与招标投标有关活动中从事违法行为而受过行政处罚或刑事处罚的；</w:t>
      </w:r>
    </w:p>
    <w:p w14:paraId="592F9AAA">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（5）与投标人有其他利害关系。</w:t>
      </w:r>
    </w:p>
    <w:p w14:paraId="2F095AA7">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201" w:name="_Toc30795"/>
      <w:bookmarkStart w:id="202" w:name="_Toc40361877"/>
      <w:bookmarkStart w:id="203" w:name="_Toc70433623"/>
      <w:bookmarkStart w:id="204" w:name="_Toc12005"/>
      <w:r>
        <w:rPr>
          <w:rFonts w:hint="eastAsia" w:ascii="仿宋" w:hAnsi="仿宋" w:eastAsia="仿宋" w:cs="仿宋"/>
          <w:b/>
          <w:bCs/>
          <w:color w:val="000000" w:themeColor="text1"/>
          <w:sz w:val="21"/>
          <w:szCs w:val="21"/>
          <w14:textFill>
            <w14:solidFill>
              <w14:schemeClr w14:val="tx1"/>
            </w14:solidFill>
          </w14:textFill>
        </w:rPr>
        <w:t>6.2评标原则</w:t>
      </w:r>
      <w:bookmarkEnd w:id="201"/>
      <w:bookmarkEnd w:id="202"/>
      <w:bookmarkEnd w:id="203"/>
      <w:bookmarkEnd w:id="204"/>
    </w:p>
    <w:p w14:paraId="3894A9DB">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评标活动遵循公平、公正、科学和择优的原则。</w:t>
      </w:r>
    </w:p>
    <w:p w14:paraId="62D9625E">
      <w:pPr>
        <w:pStyle w:val="51"/>
        <w:keepNext w:val="0"/>
        <w:keepLines w:val="0"/>
        <w:spacing w:line="360" w:lineRule="auto"/>
        <w:jc w:val="both"/>
        <w:rPr>
          <w:rFonts w:hint="eastAsia" w:ascii="仿宋" w:hAnsi="仿宋" w:eastAsia="仿宋" w:cs="仿宋"/>
          <w:b/>
          <w:bCs/>
          <w:color w:val="000000" w:themeColor="text1"/>
          <w:sz w:val="21"/>
          <w:szCs w:val="21"/>
          <w14:textFill>
            <w14:solidFill>
              <w14:schemeClr w14:val="tx1"/>
            </w14:solidFill>
          </w14:textFill>
        </w:rPr>
      </w:pPr>
      <w:bookmarkStart w:id="205" w:name="_Toc70433624"/>
      <w:bookmarkStart w:id="206" w:name="_Toc31210"/>
      <w:bookmarkStart w:id="207" w:name="_Toc40361878"/>
      <w:bookmarkStart w:id="208" w:name="_Toc10385"/>
      <w:r>
        <w:rPr>
          <w:rFonts w:hint="eastAsia" w:ascii="仿宋" w:hAnsi="仿宋" w:eastAsia="仿宋" w:cs="仿宋"/>
          <w:b/>
          <w:bCs/>
          <w:color w:val="000000" w:themeColor="text1"/>
          <w:sz w:val="21"/>
          <w:szCs w:val="21"/>
          <w14:textFill>
            <w14:solidFill>
              <w14:schemeClr w14:val="tx1"/>
            </w14:solidFill>
          </w14:textFill>
        </w:rPr>
        <w:t>6.3评标</w:t>
      </w:r>
      <w:bookmarkEnd w:id="205"/>
      <w:bookmarkEnd w:id="206"/>
      <w:bookmarkEnd w:id="207"/>
      <w:bookmarkEnd w:id="208"/>
    </w:p>
    <w:p w14:paraId="60F6DC8C">
      <w:pPr>
        <w:spacing w:after="0" w:line="360" w:lineRule="auto"/>
        <w:ind w:firstLine="420" w:firstLineChars="200"/>
        <w:jc w:val="both"/>
        <w:rPr>
          <w:rFonts w:hint="eastAsia"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6.3.1评标委员会按照第三章“评标办法”规定的方法、评审因素、标准和程序对投标文件进行评审。第三章“评标办法”没有规定的方法、评审因素和标准，不作为评标依据。</w:t>
      </w:r>
      <w:r>
        <w:rPr>
          <w:rFonts w:hint="eastAsia" w:ascii="仿宋" w:hAnsi="仿宋" w:eastAsia="仿宋" w:cs="仿宋"/>
          <w:color w:val="000000" w:themeColor="text1"/>
          <w:kern w:val="0"/>
          <w:szCs w:val="21"/>
          <w:lang w:bidi="ar"/>
          <w14:textFill>
            <w14:solidFill>
              <w14:schemeClr w14:val="tx1"/>
            </w14:solidFill>
          </w14:textFill>
        </w:rPr>
        <w:br w:type="textWrapping"/>
      </w:r>
      <w:r>
        <w:rPr>
          <w:rFonts w:hint="eastAsia" w:ascii="仿宋" w:hAnsi="仿宋" w:eastAsia="仿宋" w:cs="仿宋"/>
          <w:color w:val="000000" w:themeColor="text1"/>
          <w:kern w:val="0"/>
          <w:szCs w:val="21"/>
          <w:lang w:bidi="ar"/>
          <w14:textFill>
            <w14:solidFill>
              <w14:schemeClr w14:val="tx1"/>
            </w14:solidFill>
          </w14:textFill>
        </w:rPr>
        <w:t xml:space="preserve">    6.3.2评标完成后，评标委员会应当向招标人提交书面评标报告和中标候选人名单。评标委员会推荐中标候选人的人数见投标人须知前附表。</w:t>
      </w:r>
    </w:p>
    <w:p w14:paraId="7B362B7C">
      <w:pPr>
        <w:spacing w:after="0" w:line="360" w:lineRule="auto"/>
        <w:ind w:firstLine="420" w:firstLineChars="200"/>
        <w:jc w:val="both"/>
        <w:rPr>
          <w:color w:val="000000" w:themeColor="text1"/>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6.3.3 本次招标采用电子化评标，如“洛阳市电子招投标交易平台”系统出现故障，导致无法继续评审工作的，可暂停评标，对原有资料及信息作出妥善保密处理，待电子评标系统恢复正常之后组织评审。</w:t>
      </w:r>
    </w:p>
    <w:p w14:paraId="41769CCE">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bookmarkStart w:id="209" w:name="_Toc24170"/>
      <w:bookmarkStart w:id="210" w:name="_Toc40361879"/>
      <w:bookmarkStart w:id="211" w:name="_Toc7764"/>
      <w:bookmarkStart w:id="212" w:name="_Toc17027"/>
      <w:bookmarkStart w:id="213" w:name="_Toc17956"/>
      <w:bookmarkStart w:id="214" w:name="_Toc24762"/>
      <w:bookmarkStart w:id="215" w:name="_Toc9154"/>
      <w:bookmarkStart w:id="216" w:name="_Toc177142648"/>
      <w:bookmarkStart w:id="217" w:name="_Toc16569"/>
      <w:r>
        <w:rPr>
          <w:rFonts w:hint="eastAsia" w:ascii="仿宋" w:hAnsi="仿宋" w:eastAsia="仿宋" w:cs="仿宋"/>
          <w:bCs/>
          <w:color w:val="000000" w:themeColor="text1"/>
          <w:sz w:val="24"/>
          <w:szCs w:val="18"/>
          <w14:textFill>
            <w14:solidFill>
              <w14:schemeClr w14:val="tx1"/>
            </w14:solidFill>
          </w14:textFill>
        </w:rPr>
        <w:t>7.合同授予</w:t>
      </w:r>
      <w:bookmarkEnd w:id="209"/>
      <w:bookmarkEnd w:id="210"/>
      <w:bookmarkEnd w:id="211"/>
      <w:bookmarkEnd w:id="212"/>
      <w:bookmarkEnd w:id="213"/>
      <w:bookmarkEnd w:id="214"/>
      <w:bookmarkEnd w:id="215"/>
      <w:bookmarkEnd w:id="216"/>
      <w:bookmarkEnd w:id="217"/>
    </w:p>
    <w:p w14:paraId="0C5BD0B7">
      <w:pPr>
        <w:spacing w:after="0" w:line="360" w:lineRule="auto"/>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7.1定标方式</w:t>
      </w:r>
    </w:p>
    <w:p w14:paraId="4FFF9CC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bookmarkStart w:id="218" w:name="_Toc296602457"/>
      <w:r>
        <w:rPr>
          <w:rFonts w:hint="eastAsia" w:ascii="仿宋" w:hAnsi="仿宋" w:eastAsia="仿宋" w:cs="仿宋"/>
          <w:color w:val="000000" w:themeColor="text1"/>
          <w:szCs w:val="21"/>
          <w14:textFill>
            <w14:solidFill>
              <w14:schemeClr w14:val="tx1"/>
            </w14:solidFill>
          </w14:textFill>
        </w:rPr>
        <w:t>除投标人须知前附表规定评标委员会直接确定中标人外，招标人依据评标委员会推荐的中标候选人确定中标人，评标委员会推荐中标候选人的人数见投标人须知前附表。</w:t>
      </w:r>
    </w:p>
    <w:p w14:paraId="5406EF02">
      <w:pPr>
        <w:spacing w:after="0" w:line="360" w:lineRule="auto"/>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7.2中标人公示</w:t>
      </w:r>
      <w:bookmarkEnd w:id="218"/>
    </w:p>
    <w:p w14:paraId="3063975F">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bookmarkStart w:id="219" w:name="_Hlk131864937"/>
      <w:r>
        <w:rPr>
          <w:rFonts w:hint="eastAsia" w:ascii="仿宋" w:hAnsi="仿宋" w:eastAsia="仿宋" w:cs="仿宋"/>
          <w:color w:val="000000" w:themeColor="text1"/>
          <w:szCs w:val="21"/>
          <w14:textFill>
            <w14:solidFill>
              <w14:schemeClr w14:val="tx1"/>
            </w14:solidFill>
          </w14:textFill>
        </w:rPr>
        <w:t>招标人在收到评标报告之日起3日内，按照投标人须知前附表规定的公示媒介和期限公示中标候选人，公示期不得少于3天。</w:t>
      </w:r>
    </w:p>
    <w:bookmarkEnd w:id="219"/>
    <w:p w14:paraId="46FB5C7D">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220" w:name="_Toc247085726"/>
      <w:bookmarkStart w:id="221" w:name="_Toc296602458"/>
      <w:bookmarkStart w:id="222" w:name="_Toc144974536"/>
      <w:bookmarkStart w:id="223" w:name="_Toc246996955"/>
      <w:bookmarkStart w:id="224" w:name="_Toc246996212"/>
      <w:bookmarkStart w:id="225" w:name="_Toc179632586"/>
      <w:bookmarkStart w:id="226" w:name="_Toc152045568"/>
      <w:bookmarkStart w:id="227" w:name="_Toc152042344"/>
      <w:r>
        <w:rPr>
          <w:rFonts w:hint="eastAsia" w:ascii="仿宋" w:hAnsi="仿宋" w:eastAsia="仿宋" w:cs="仿宋"/>
          <w:b/>
          <w:bCs/>
          <w:color w:val="000000" w:themeColor="text1"/>
          <w:szCs w:val="21"/>
          <w14:textFill>
            <w14:solidFill>
              <w14:schemeClr w14:val="tx1"/>
            </w14:solidFill>
          </w14:textFill>
        </w:rPr>
        <w:t>7.3中标通知</w:t>
      </w:r>
      <w:bookmarkEnd w:id="220"/>
      <w:bookmarkEnd w:id="221"/>
      <w:bookmarkEnd w:id="222"/>
      <w:bookmarkEnd w:id="223"/>
      <w:bookmarkEnd w:id="224"/>
      <w:bookmarkEnd w:id="225"/>
      <w:bookmarkEnd w:id="226"/>
      <w:bookmarkEnd w:id="227"/>
    </w:p>
    <w:p w14:paraId="128CB9F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bookmarkStart w:id="228" w:name="_Toc246996213"/>
      <w:bookmarkStart w:id="229" w:name="_Toc179632587"/>
      <w:bookmarkStart w:id="230" w:name="_Toc152045569"/>
      <w:bookmarkStart w:id="231" w:name="_Toc152042345"/>
      <w:bookmarkStart w:id="232" w:name="_Toc247085727"/>
      <w:bookmarkStart w:id="233" w:name="_Toc144974537"/>
      <w:bookmarkStart w:id="234" w:name="_Toc246996956"/>
      <w:bookmarkStart w:id="235" w:name="_Toc296602459"/>
      <w:r>
        <w:rPr>
          <w:rFonts w:hint="eastAsia" w:ascii="仿宋" w:hAnsi="仿宋" w:eastAsia="仿宋" w:cs="仿宋"/>
          <w:color w:val="000000" w:themeColor="text1"/>
          <w:szCs w:val="21"/>
          <w14:textFill>
            <w14:solidFill>
              <w14:schemeClr w14:val="tx1"/>
            </w14:solidFill>
          </w14:textFill>
        </w:rPr>
        <w:t>在本章第3.3款规定的投标有效期内，招标人通过洛阳市电子招投标交易平台以数据电文形式或书面形式向中标人发出中标通知书，同时发布中标结果公示。发布中标结果公示的媒介见投标人须知前附表。</w:t>
      </w:r>
    </w:p>
    <w:p w14:paraId="053B4EF5">
      <w:pPr>
        <w:spacing w:after="0" w:line="360" w:lineRule="auto"/>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7.4履约</w:t>
      </w:r>
      <w:bookmarkEnd w:id="228"/>
      <w:bookmarkEnd w:id="229"/>
      <w:bookmarkEnd w:id="230"/>
      <w:bookmarkEnd w:id="231"/>
      <w:bookmarkEnd w:id="232"/>
      <w:bookmarkEnd w:id="233"/>
      <w:bookmarkEnd w:id="234"/>
      <w:bookmarkEnd w:id="235"/>
      <w:r>
        <w:rPr>
          <w:rFonts w:hint="eastAsia" w:ascii="仿宋" w:hAnsi="仿宋" w:eastAsia="仿宋" w:cs="仿宋"/>
          <w:b/>
          <w:bCs/>
          <w:color w:val="000000" w:themeColor="text1"/>
          <w:szCs w:val="21"/>
          <w14:textFill>
            <w14:solidFill>
              <w14:schemeClr w14:val="tx1"/>
            </w14:solidFill>
          </w14:textFill>
        </w:rPr>
        <w:t>保证金</w:t>
      </w:r>
    </w:p>
    <w:p w14:paraId="62C5B3A8">
      <w:pPr>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bookmarkStart w:id="236" w:name="_Toc246996957"/>
      <w:bookmarkStart w:id="237" w:name="_Toc247085728"/>
      <w:bookmarkStart w:id="238" w:name="_Toc179632588"/>
      <w:bookmarkStart w:id="239" w:name="_Toc246996214"/>
      <w:bookmarkStart w:id="240" w:name="_Toc152042346"/>
      <w:bookmarkStart w:id="241" w:name="_Toc144974538"/>
      <w:bookmarkStart w:id="242" w:name="_Toc152045570"/>
      <w:bookmarkStart w:id="243" w:name="_Toc296602460"/>
      <w:r>
        <w:rPr>
          <w:rFonts w:hint="eastAsia" w:ascii="仿宋" w:hAnsi="仿宋" w:eastAsia="仿宋" w:cs="仿宋"/>
          <w:color w:val="000000" w:themeColor="text1"/>
          <w:szCs w:val="21"/>
          <w14:textFill>
            <w14:solidFill>
              <w14:schemeClr w14:val="tx1"/>
            </w14:solidFill>
          </w14:textFill>
        </w:rPr>
        <w:t>本项目不收取履约保证金。</w:t>
      </w:r>
    </w:p>
    <w:p w14:paraId="35D58027">
      <w:pPr>
        <w:spacing w:after="0" w:line="360" w:lineRule="auto"/>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7.5签订合同</w:t>
      </w:r>
      <w:bookmarkEnd w:id="236"/>
      <w:bookmarkEnd w:id="237"/>
      <w:bookmarkEnd w:id="238"/>
      <w:bookmarkEnd w:id="239"/>
      <w:bookmarkEnd w:id="240"/>
      <w:bookmarkEnd w:id="241"/>
      <w:bookmarkEnd w:id="242"/>
      <w:bookmarkEnd w:id="243"/>
    </w:p>
    <w:p w14:paraId="0C1E4BC4">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7.5.1 招标人和中标人应当自中标通知书发出之日起30天内，根据招标文件和中标人的投标文件订立书面合同。中标人无正当理由拒签合同的，招标人取消其中标资格，给招标人造成损失的，中标人应当予以赔偿。</w:t>
      </w:r>
    </w:p>
    <w:p w14:paraId="3DE6D489">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7.5.2 发出中标通知书后，招标人无正当理由拒签合同，给中标人造成损失的，应当赔偿损失。</w:t>
      </w:r>
    </w:p>
    <w:p w14:paraId="5B2604CF">
      <w:pPr>
        <w:spacing w:after="0" w:line="360" w:lineRule="auto"/>
        <w:jc w:val="both"/>
        <w:outlineLvl w:val="1"/>
        <w:rPr>
          <w:rFonts w:hint="eastAsia" w:ascii="仿宋" w:hAnsi="仿宋" w:eastAsia="仿宋" w:cs="仿宋"/>
          <w:b/>
          <w:bCs/>
          <w:color w:val="000000" w:themeColor="text1"/>
          <w:sz w:val="24"/>
          <w:szCs w:val="24"/>
          <w14:textFill>
            <w14:solidFill>
              <w14:schemeClr w14:val="tx1"/>
            </w14:solidFill>
          </w14:textFill>
        </w:rPr>
      </w:pPr>
      <w:bookmarkStart w:id="244" w:name="_Toc12576"/>
      <w:bookmarkStart w:id="245" w:name="_Toc12432"/>
      <w:bookmarkStart w:id="246" w:name="_Toc247639880"/>
      <w:bookmarkStart w:id="247" w:name="_Toc177142649"/>
      <w:bookmarkStart w:id="248" w:name="_Toc131781835"/>
      <w:bookmarkStart w:id="249" w:name="_Toc31526"/>
      <w:bookmarkStart w:id="250" w:name="_Toc4888"/>
      <w:bookmarkStart w:id="251" w:name="_Toc296602461"/>
      <w:bookmarkStart w:id="252" w:name="_Toc26588"/>
      <w:bookmarkStart w:id="253" w:name="_Toc26091"/>
      <w:bookmarkStart w:id="254" w:name="_Toc51938516"/>
      <w:bookmarkStart w:id="255" w:name="_Toc7315"/>
      <w:bookmarkStart w:id="256" w:name="_Toc26148"/>
      <w:bookmarkStart w:id="257" w:name="_Toc36025271"/>
      <w:r>
        <w:rPr>
          <w:rFonts w:hint="eastAsia" w:ascii="仿宋" w:hAnsi="仿宋" w:eastAsia="仿宋" w:cs="仿宋"/>
          <w:b/>
          <w:bCs/>
          <w:color w:val="000000" w:themeColor="text1"/>
          <w:sz w:val="24"/>
          <w:szCs w:val="24"/>
          <w14:textFill>
            <w14:solidFill>
              <w14:schemeClr w14:val="tx1"/>
            </w14:solidFill>
          </w14:textFill>
        </w:rPr>
        <w:t>8. 重新招标和不再招标</w:t>
      </w:r>
      <w:bookmarkEnd w:id="244"/>
      <w:bookmarkEnd w:id="245"/>
      <w:bookmarkEnd w:id="246"/>
      <w:bookmarkEnd w:id="247"/>
    </w:p>
    <w:p w14:paraId="692A8F26">
      <w:pPr>
        <w:spacing w:after="0" w:line="360" w:lineRule="auto"/>
        <w:jc w:val="both"/>
        <w:outlineLvl w:val="1"/>
        <w:rPr>
          <w:rFonts w:hint="eastAsia" w:ascii="仿宋" w:hAnsi="仿宋" w:eastAsia="仿宋" w:cs="仿宋"/>
          <w:b/>
          <w:bCs/>
          <w:color w:val="000000" w:themeColor="text1"/>
          <w:sz w:val="24"/>
          <w:szCs w:val="24"/>
          <w14:textFill>
            <w14:solidFill>
              <w14:schemeClr w14:val="tx1"/>
            </w14:solidFill>
          </w14:textFill>
        </w:rPr>
      </w:pPr>
      <w:bookmarkStart w:id="258" w:name="_Toc279505640"/>
      <w:bookmarkStart w:id="259" w:name="_Toc9835"/>
      <w:bookmarkStart w:id="260" w:name="_Toc28189"/>
      <w:bookmarkStart w:id="261" w:name="_Toc17151"/>
      <w:bookmarkStart w:id="262" w:name="_Toc286069541"/>
      <w:bookmarkStart w:id="263" w:name="_Toc177142650"/>
      <w:bookmarkStart w:id="264" w:name="_Toc286063278"/>
      <w:bookmarkStart w:id="265" w:name="_Toc247639881"/>
      <w:r>
        <w:rPr>
          <w:rFonts w:hint="eastAsia" w:ascii="仿宋" w:hAnsi="仿宋" w:eastAsia="仿宋" w:cs="仿宋"/>
          <w:b/>
          <w:bCs/>
          <w:color w:val="000000" w:themeColor="text1"/>
          <w:szCs w:val="21"/>
          <w14:textFill>
            <w14:solidFill>
              <w14:schemeClr w14:val="tx1"/>
            </w14:solidFill>
          </w14:textFill>
        </w:rPr>
        <w:t>8.1 重新招标</w:t>
      </w:r>
      <w:bookmarkEnd w:id="258"/>
      <w:bookmarkEnd w:id="259"/>
      <w:bookmarkEnd w:id="260"/>
      <w:bookmarkEnd w:id="261"/>
      <w:bookmarkEnd w:id="262"/>
      <w:bookmarkEnd w:id="263"/>
      <w:bookmarkEnd w:id="264"/>
      <w:bookmarkEnd w:id="265"/>
    </w:p>
    <w:p w14:paraId="1466E66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有下列情形之一的，招标人将重新招标：</w:t>
      </w:r>
    </w:p>
    <w:p w14:paraId="75EB3DA5">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（1）投标截止时间止，投标人少于3个的；</w:t>
      </w:r>
    </w:p>
    <w:p w14:paraId="45DC5DFF">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（2）经评标委员会评审后否决所有投标的。</w:t>
      </w:r>
    </w:p>
    <w:p w14:paraId="641FAACF">
      <w:pPr>
        <w:spacing w:after="0" w:line="360" w:lineRule="auto"/>
        <w:jc w:val="both"/>
        <w:outlineLvl w:val="1"/>
        <w:rPr>
          <w:rFonts w:hint="eastAsia" w:ascii="仿宋" w:hAnsi="仿宋" w:eastAsia="仿宋" w:cs="仿宋"/>
          <w:b/>
          <w:bCs/>
          <w:color w:val="000000" w:themeColor="text1"/>
          <w:sz w:val="24"/>
          <w:szCs w:val="24"/>
          <w14:textFill>
            <w14:solidFill>
              <w14:schemeClr w14:val="tx1"/>
            </w14:solidFill>
          </w14:textFill>
        </w:rPr>
      </w:pPr>
      <w:bookmarkStart w:id="266" w:name="_Toc279505641"/>
      <w:bookmarkStart w:id="267" w:name="_Toc247639882"/>
      <w:bookmarkStart w:id="268" w:name="_Toc177142651"/>
      <w:bookmarkStart w:id="269" w:name="_Toc286063279"/>
      <w:bookmarkStart w:id="270" w:name="_Toc286069542"/>
      <w:bookmarkStart w:id="271" w:name="_Toc14635"/>
      <w:bookmarkStart w:id="272" w:name="_Toc22729"/>
      <w:bookmarkStart w:id="273" w:name="_Toc30491"/>
      <w:r>
        <w:rPr>
          <w:rFonts w:hint="eastAsia" w:ascii="仿宋" w:hAnsi="仿宋" w:eastAsia="仿宋" w:cs="仿宋"/>
          <w:b/>
          <w:bCs/>
          <w:color w:val="000000" w:themeColor="text1"/>
          <w:szCs w:val="21"/>
          <w14:textFill>
            <w14:solidFill>
              <w14:schemeClr w14:val="tx1"/>
            </w14:solidFill>
          </w14:textFill>
        </w:rPr>
        <w:t>8.2 不再招标</w:t>
      </w:r>
      <w:bookmarkEnd w:id="266"/>
      <w:bookmarkEnd w:id="267"/>
      <w:bookmarkEnd w:id="268"/>
      <w:bookmarkEnd w:id="269"/>
      <w:bookmarkEnd w:id="270"/>
      <w:bookmarkEnd w:id="271"/>
      <w:bookmarkEnd w:id="272"/>
      <w:bookmarkEnd w:id="273"/>
    </w:p>
    <w:p w14:paraId="0FFD0FB6">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重新招标后投标人仍少于3个或者所有投标被否决的，属于必须审批或核准的工程建设项目，经原审批或核准部门批准后不再进行招标。</w:t>
      </w:r>
    </w:p>
    <w:bookmarkEnd w:id="248"/>
    <w:bookmarkEnd w:id="249"/>
    <w:bookmarkEnd w:id="250"/>
    <w:bookmarkEnd w:id="251"/>
    <w:bookmarkEnd w:id="252"/>
    <w:bookmarkEnd w:id="253"/>
    <w:bookmarkEnd w:id="254"/>
    <w:bookmarkEnd w:id="255"/>
    <w:bookmarkEnd w:id="256"/>
    <w:bookmarkEnd w:id="257"/>
    <w:p w14:paraId="1155FAC5">
      <w:pPr>
        <w:spacing w:after="0" w:line="360" w:lineRule="auto"/>
        <w:jc w:val="both"/>
        <w:outlineLvl w:val="1"/>
        <w:rPr>
          <w:rFonts w:hint="eastAsia" w:ascii="仿宋" w:hAnsi="仿宋" w:eastAsia="仿宋" w:cs="仿宋"/>
          <w:b/>
          <w:bCs/>
          <w:color w:val="000000" w:themeColor="text1"/>
          <w:sz w:val="24"/>
          <w:szCs w:val="24"/>
          <w14:textFill>
            <w14:solidFill>
              <w14:schemeClr w14:val="tx1"/>
            </w14:solidFill>
          </w14:textFill>
        </w:rPr>
      </w:pPr>
      <w:bookmarkStart w:id="274" w:name="_Toc10125"/>
      <w:bookmarkStart w:id="275" w:name="_Toc177142652"/>
      <w:bookmarkStart w:id="276" w:name="_Toc247639883"/>
      <w:bookmarkStart w:id="277" w:name="_Toc14095"/>
      <w:r>
        <w:rPr>
          <w:rFonts w:hint="eastAsia" w:ascii="仿宋" w:hAnsi="仿宋" w:eastAsia="仿宋" w:cs="仿宋"/>
          <w:b/>
          <w:bCs/>
          <w:color w:val="000000" w:themeColor="text1"/>
          <w:sz w:val="24"/>
          <w:szCs w:val="24"/>
          <w14:textFill>
            <w14:solidFill>
              <w14:schemeClr w14:val="tx1"/>
            </w14:solidFill>
          </w14:textFill>
        </w:rPr>
        <w:t>9. 纪律和监督</w:t>
      </w:r>
      <w:bookmarkEnd w:id="274"/>
      <w:bookmarkEnd w:id="275"/>
      <w:bookmarkEnd w:id="276"/>
      <w:bookmarkEnd w:id="277"/>
    </w:p>
    <w:p w14:paraId="43664888">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278" w:name="_Toc144974543"/>
      <w:bookmarkStart w:id="279" w:name="_Toc247085733"/>
      <w:bookmarkStart w:id="280" w:name="_Toc296590983"/>
      <w:bookmarkStart w:id="281" w:name="_Toc246996962"/>
      <w:bookmarkStart w:id="282" w:name="_Toc179632593"/>
      <w:bookmarkStart w:id="283" w:name="_Toc152042351"/>
      <w:bookmarkStart w:id="284" w:name="_Toc246996219"/>
      <w:bookmarkStart w:id="285" w:name="_Toc296602462"/>
      <w:bookmarkStart w:id="286" w:name="_Toc152045575"/>
      <w:r>
        <w:rPr>
          <w:rFonts w:hint="eastAsia" w:ascii="仿宋" w:hAnsi="仿宋" w:eastAsia="仿宋" w:cs="仿宋"/>
          <w:b/>
          <w:bCs/>
          <w:color w:val="000000" w:themeColor="text1"/>
          <w:szCs w:val="21"/>
          <w14:textFill>
            <w14:solidFill>
              <w14:schemeClr w14:val="tx1"/>
            </w14:solidFill>
          </w14:textFill>
        </w:rPr>
        <w:t>9.1对招标人的纪律要求</w:t>
      </w:r>
      <w:bookmarkEnd w:id="278"/>
      <w:bookmarkEnd w:id="279"/>
      <w:bookmarkEnd w:id="280"/>
      <w:bookmarkEnd w:id="281"/>
      <w:bookmarkEnd w:id="282"/>
      <w:bookmarkEnd w:id="283"/>
      <w:bookmarkEnd w:id="284"/>
      <w:bookmarkEnd w:id="285"/>
      <w:bookmarkEnd w:id="286"/>
    </w:p>
    <w:p w14:paraId="69EC66BD">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招标人不得泄漏招标投标活动中应当保密的情况和资料，不得与投标人串通损害国家利益、社会公共利益或者他人合法权益。</w:t>
      </w:r>
    </w:p>
    <w:p w14:paraId="01CAC12B">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287" w:name="_Toc296602463"/>
      <w:bookmarkStart w:id="288" w:name="_Toc152042352"/>
      <w:bookmarkStart w:id="289" w:name="_Toc144974544"/>
      <w:bookmarkStart w:id="290" w:name="_Toc246996220"/>
      <w:bookmarkStart w:id="291" w:name="_Toc246996963"/>
      <w:bookmarkStart w:id="292" w:name="_Toc179632594"/>
      <w:bookmarkStart w:id="293" w:name="_Toc247085734"/>
      <w:bookmarkStart w:id="294" w:name="_Toc152045576"/>
      <w:r>
        <w:rPr>
          <w:rFonts w:hint="eastAsia" w:ascii="仿宋" w:hAnsi="仿宋" w:eastAsia="仿宋" w:cs="仿宋"/>
          <w:b/>
          <w:bCs/>
          <w:color w:val="000000" w:themeColor="text1"/>
          <w:szCs w:val="21"/>
          <w14:textFill>
            <w14:solidFill>
              <w14:schemeClr w14:val="tx1"/>
            </w14:solidFill>
          </w14:textFill>
        </w:rPr>
        <w:t>9.2对投标人的纪律要求</w:t>
      </w:r>
      <w:bookmarkEnd w:id="287"/>
      <w:bookmarkEnd w:id="288"/>
      <w:bookmarkEnd w:id="289"/>
      <w:bookmarkEnd w:id="290"/>
      <w:bookmarkEnd w:id="291"/>
      <w:bookmarkEnd w:id="292"/>
      <w:bookmarkEnd w:id="293"/>
      <w:bookmarkEnd w:id="294"/>
    </w:p>
    <w:p w14:paraId="759DD945">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5EB4963">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295" w:name="_Toc246996221"/>
      <w:bookmarkStart w:id="296" w:name="_Toc296602464"/>
      <w:bookmarkStart w:id="297" w:name="_Toc152042353"/>
      <w:bookmarkStart w:id="298" w:name="_Toc246996964"/>
      <w:bookmarkStart w:id="299" w:name="_Toc247085735"/>
      <w:bookmarkStart w:id="300" w:name="_Toc179632595"/>
      <w:bookmarkStart w:id="301" w:name="_Toc144974545"/>
      <w:bookmarkStart w:id="302" w:name="_Toc152045577"/>
      <w:r>
        <w:rPr>
          <w:rFonts w:hint="eastAsia" w:ascii="仿宋" w:hAnsi="仿宋" w:eastAsia="仿宋" w:cs="仿宋"/>
          <w:b/>
          <w:bCs/>
          <w:color w:val="000000" w:themeColor="text1"/>
          <w:szCs w:val="21"/>
          <w14:textFill>
            <w14:solidFill>
              <w14:schemeClr w14:val="tx1"/>
            </w14:solidFill>
          </w14:textFill>
        </w:rPr>
        <w:t>9.3对评标委员会成员的纪律要求</w:t>
      </w:r>
      <w:bookmarkEnd w:id="295"/>
      <w:bookmarkEnd w:id="296"/>
      <w:bookmarkEnd w:id="297"/>
      <w:bookmarkEnd w:id="298"/>
      <w:bookmarkEnd w:id="299"/>
      <w:bookmarkEnd w:id="300"/>
      <w:bookmarkEnd w:id="301"/>
      <w:bookmarkEnd w:id="302"/>
    </w:p>
    <w:p w14:paraId="4D4E7C58">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不得偏离招标文件的规定进行评标，对投标人提供的资料没有严格审查严重影响评标结果，对招标人和代理机构造成重大影响和损失的，评标委员会成员要承担相应的责任。</w:t>
      </w:r>
    </w:p>
    <w:p w14:paraId="630BA9AF">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303" w:name="_Toc152045578"/>
      <w:bookmarkStart w:id="304" w:name="_Toc296602465"/>
      <w:bookmarkStart w:id="305" w:name="_Toc152042354"/>
      <w:bookmarkStart w:id="306" w:name="_Toc246996965"/>
      <w:bookmarkStart w:id="307" w:name="_Toc179632596"/>
      <w:bookmarkStart w:id="308" w:name="_Toc246996222"/>
      <w:bookmarkStart w:id="309" w:name="_Toc247085736"/>
      <w:bookmarkStart w:id="310" w:name="_Toc144974546"/>
      <w:r>
        <w:rPr>
          <w:rFonts w:hint="eastAsia" w:ascii="仿宋" w:hAnsi="仿宋" w:eastAsia="仿宋" w:cs="仿宋"/>
          <w:b/>
          <w:bCs/>
          <w:color w:val="000000" w:themeColor="text1"/>
          <w:szCs w:val="21"/>
          <w14:textFill>
            <w14:solidFill>
              <w14:schemeClr w14:val="tx1"/>
            </w14:solidFill>
          </w14:textFill>
        </w:rPr>
        <w:t>9.4对与评标活动有关的工作人员的纪律要求</w:t>
      </w:r>
      <w:bookmarkEnd w:id="303"/>
      <w:bookmarkEnd w:id="304"/>
      <w:bookmarkEnd w:id="305"/>
      <w:bookmarkEnd w:id="306"/>
      <w:bookmarkEnd w:id="307"/>
      <w:bookmarkEnd w:id="308"/>
      <w:bookmarkEnd w:id="309"/>
    </w:p>
    <w:p w14:paraId="035626C9">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bookmarkStart w:id="311" w:name="_Toc152042355"/>
      <w:r>
        <w:rPr>
          <w:rFonts w:hint="eastAsia" w:ascii="仿宋" w:hAnsi="仿宋" w:eastAsia="仿宋" w:cs="仿宋"/>
          <w:color w:val="000000" w:themeColor="text1"/>
          <w:szCs w:val="21"/>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11"/>
    </w:p>
    <w:p w14:paraId="11DF1FB9">
      <w:pPr>
        <w:spacing w:after="0" w:line="360" w:lineRule="auto"/>
        <w:jc w:val="both"/>
        <w:rPr>
          <w:rFonts w:hint="eastAsia" w:ascii="仿宋" w:hAnsi="仿宋" w:eastAsia="仿宋" w:cs="仿宋"/>
          <w:b/>
          <w:bCs/>
          <w:color w:val="000000" w:themeColor="text1"/>
          <w:szCs w:val="21"/>
          <w14:textFill>
            <w14:solidFill>
              <w14:schemeClr w14:val="tx1"/>
            </w14:solidFill>
          </w14:textFill>
        </w:rPr>
      </w:pPr>
      <w:bookmarkStart w:id="312" w:name="_Toc246996223"/>
      <w:bookmarkStart w:id="313" w:name="_Toc247085737"/>
      <w:bookmarkStart w:id="314" w:name="_Toc179632597"/>
      <w:bookmarkStart w:id="315" w:name="_Toc152045579"/>
      <w:bookmarkStart w:id="316" w:name="_Toc246996966"/>
      <w:bookmarkStart w:id="317" w:name="_Toc296602466"/>
      <w:bookmarkStart w:id="318" w:name="_Toc152042356"/>
      <w:r>
        <w:rPr>
          <w:rFonts w:hint="eastAsia" w:ascii="仿宋" w:hAnsi="仿宋" w:eastAsia="仿宋" w:cs="仿宋"/>
          <w:b/>
          <w:bCs/>
          <w:color w:val="000000" w:themeColor="text1"/>
          <w:szCs w:val="21"/>
          <w14:textFill>
            <w14:solidFill>
              <w14:schemeClr w14:val="tx1"/>
            </w14:solidFill>
          </w14:textFill>
        </w:rPr>
        <w:t>9.5投诉</w:t>
      </w:r>
      <w:bookmarkEnd w:id="310"/>
      <w:bookmarkEnd w:id="312"/>
      <w:bookmarkEnd w:id="313"/>
      <w:bookmarkEnd w:id="314"/>
      <w:bookmarkEnd w:id="315"/>
      <w:bookmarkEnd w:id="316"/>
      <w:bookmarkEnd w:id="317"/>
      <w:bookmarkEnd w:id="318"/>
    </w:p>
    <w:p w14:paraId="5FB6BD3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投标人和其他利害关系人认为本次招标活动违反法律、法规和规章规定的，有权向有关行政监督部门投诉。</w:t>
      </w:r>
    </w:p>
    <w:p w14:paraId="2AC6EBAB">
      <w:pPr>
        <w:spacing w:after="0" w:line="360" w:lineRule="auto"/>
        <w:jc w:val="both"/>
        <w:outlineLvl w:val="1"/>
        <w:rPr>
          <w:rFonts w:hint="eastAsia" w:ascii="仿宋" w:hAnsi="仿宋" w:eastAsia="仿宋" w:cs="仿宋"/>
          <w:b/>
          <w:bCs/>
          <w:color w:val="000000" w:themeColor="text1"/>
          <w:sz w:val="24"/>
          <w:szCs w:val="24"/>
          <w14:textFill>
            <w14:solidFill>
              <w14:schemeClr w14:val="tx1"/>
            </w14:solidFill>
          </w14:textFill>
        </w:rPr>
      </w:pPr>
      <w:bookmarkStart w:id="319" w:name="_Toc296602467"/>
      <w:bookmarkStart w:id="320" w:name="_Toc179632598"/>
      <w:bookmarkStart w:id="321" w:name="_Toc29309"/>
      <w:bookmarkStart w:id="322" w:name="_Toc22023"/>
      <w:bookmarkStart w:id="323" w:name="_Toc152045580"/>
      <w:bookmarkStart w:id="324" w:name="_Toc13847"/>
      <w:bookmarkStart w:id="325" w:name="_Toc51938517"/>
      <w:bookmarkStart w:id="326" w:name="_Toc246996224"/>
      <w:bookmarkStart w:id="327" w:name="_Toc6667"/>
      <w:bookmarkStart w:id="328" w:name="_Toc177142653"/>
      <w:bookmarkStart w:id="329" w:name="_Toc131781837"/>
      <w:bookmarkStart w:id="330" w:name="_Toc152042357"/>
      <w:bookmarkStart w:id="331" w:name="_Toc22343"/>
      <w:bookmarkStart w:id="332" w:name="_Toc32063"/>
      <w:bookmarkStart w:id="333" w:name="_Toc246996967"/>
      <w:bookmarkStart w:id="334" w:name="_Toc22440"/>
      <w:bookmarkStart w:id="335" w:name="_Toc144974547"/>
      <w:bookmarkStart w:id="336" w:name="_Toc36025272"/>
      <w:bookmarkStart w:id="337" w:name="_Toc247085738"/>
      <w:r>
        <w:rPr>
          <w:rFonts w:hint="eastAsia" w:ascii="仿宋" w:hAnsi="仿宋" w:eastAsia="仿宋" w:cs="仿宋"/>
          <w:b/>
          <w:bCs/>
          <w:color w:val="000000" w:themeColor="text1"/>
          <w:sz w:val="24"/>
          <w:szCs w:val="24"/>
          <w14:textFill>
            <w14:solidFill>
              <w14:schemeClr w14:val="tx1"/>
            </w14:solidFill>
          </w14:textFill>
        </w:rPr>
        <w:t>10.需要补充的其他内容</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D686A7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见投标人须知前附表。</w:t>
      </w:r>
    </w:p>
    <w:p w14:paraId="0E7E958A">
      <w:pPr>
        <w:spacing w:after="0" w:line="360" w:lineRule="auto"/>
        <w:rPr>
          <w:rFonts w:hint="eastAsia" w:ascii="仿宋" w:hAnsi="仿宋" w:eastAsia="仿宋" w:cs="仿宋"/>
          <w:b/>
          <w:bCs/>
          <w:color w:val="000000" w:themeColor="text1"/>
          <w:sz w:val="24"/>
          <w:szCs w:val="20"/>
          <w14:textFill>
            <w14:solidFill>
              <w14:schemeClr w14:val="tx1"/>
            </w14:solidFill>
          </w14:textFill>
        </w:rPr>
      </w:pPr>
      <w:bookmarkStart w:id="338" w:name="_Toc6001"/>
      <w:bookmarkStart w:id="339" w:name="_Toc131781838"/>
      <w:bookmarkStart w:id="340" w:name="_Toc152045581"/>
      <w:bookmarkStart w:id="341" w:name="_Toc40361896"/>
      <w:bookmarkStart w:id="342" w:name="_Toc26538230"/>
      <w:bookmarkStart w:id="343" w:name="_Toc8423581"/>
      <w:bookmarkStart w:id="344" w:name="_Toc152042358"/>
      <w:bookmarkStart w:id="345" w:name="_Toc144974548"/>
      <w:r>
        <w:rPr>
          <w:rFonts w:hint="eastAsia" w:ascii="仿宋" w:hAnsi="仿宋" w:eastAsia="仿宋" w:cs="仿宋"/>
          <w:b/>
          <w:bCs/>
          <w:color w:val="000000" w:themeColor="text1"/>
          <w:sz w:val="24"/>
          <w:szCs w:val="20"/>
          <w14:textFill>
            <w14:solidFill>
              <w14:schemeClr w14:val="tx1"/>
            </w14:solidFill>
          </w14:textFill>
        </w:rPr>
        <w:br w:type="page"/>
      </w:r>
    </w:p>
    <w:p w14:paraId="4E63B6CB">
      <w:pPr>
        <w:spacing w:after="0" w:line="360" w:lineRule="auto"/>
        <w:jc w:val="both"/>
        <w:outlineLvl w:val="1"/>
        <w:rPr>
          <w:rFonts w:hint="eastAsia" w:ascii="仿宋" w:hAnsi="仿宋" w:eastAsia="仿宋" w:cs="仿宋"/>
          <w:b/>
          <w:bCs/>
          <w:color w:val="000000" w:themeColor="text1"/>
          <w:sz w:val="24"/>
          <w:szCs w:val="20"/>
          <w14:textFill>
            <w14:solidFill>
              <w14:schemeClr w14:val="tx1"/>
            </w14:solidFill>
          </w14:textFill>
        </w:rPr>
      </w:pPr>
      <w:bookmarkStart w:id="346" w:name="_Toc23655"/>
      <w:bookmarkStart w:id="347" w:name="_Toc20610"/>
      <w:bookmarkStart w:id="348" w:name="_Toc177142654"/>
      <w:bookmarkStart w:id="349" w:name="_Toc16787"/>
      <w:bookmarkStart w:id="350" w:name="_Toc23414"/>
      <w:bookmarkStart w:id="351" w:name="_Toc14879"/>
      <w:bookmarkStart w:id="352" w:name="_Toc2476"/>
      <w:bookmarkStart w:id="353" w:name="_Toc13378"/>
      <w:r>
        <w:rPr>
          <w:rFonts w:hint="eastAsia" w:ascii="仿宋" w:hAnsi="仿宋" w:eastAsia="仿宋" w:cs="仿宋"/>
          <w:b/>
          <w:bCs/>
          <w:color w:val="000000" w:themeColor="text1"/>
          <w:sz w:val="24"/>
          <w:szCs w:val="20"/>
          <w14:textFill>
            <w14:solidFill>
              <w14:schemeClr w14:val="tx1"/>
            </w14:solidFill>
          </w14:textFill>
        </w:rPr>
        <w:t>附表一：问题澄清通知</w:t>
      </w:r>
      <w:bookmarkEnd w:id="338"/>
      <w:bookmarkEnd w:id="339"/>
      <w:bookmarkEnd w:id="346"/>
      <w:bookmarkEnd w:id="347"/>
      <w:bookmarkEnd w:id="348"/>
      <w:bookmarkEnd w:id="349"/>
      <w:bookmarkEnd w:id="350"/>
      <w:bookmarkEnd w:id="351"/>
      <w:bookmarkEnd w:id="352"/>
      <w:bookmarkEnd w:id="353"/>
    </w:p>
    <w:p w14:paraId="7CDE02BD">
      <w:pPr>
        <w:spacing w:after="0" w:line="360" w:lineRule="auto"/>
        <w:jc w:val="center"/>
        <w:rPr>
          <w:rFonts w:hint="eastAsia" w:ascii="仿宋" w:hAnsi="仿宋" w:eastAsia="仿宋" w:cs="仿宋"/>
          <w:color w:val="000000" w:themeColor="text1"/>
          <w:szCs w:val="21"/>
          <w14:textFill>
            <w14:solidFill>
              <w14:schemeClr w14:val="tx1"/>
            </w14:solidFill>
          </w14:textFill>
        </w:rPr>
      </w:pPr>
    </w:p>
    <w:p w14:paraId="78619C57">
      <w:pPr>
        <w:spacing w:after="0"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问题澄清通知</w:t>
      </w:r>
    </w:p>
    <w:p w14:paraId="18B126E5">
      <w:pPr>
        <w:spacing w:after="0" w:line="360" w:lineRule="auto"/>
        <w:ind w:firstLine="6090" w:firstLineChars="29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编号：</w:t>
      </w:r>
    </w:p>
    <w:p w14:paraId="0B7614B8">
      <w:pPr>
        <w:spacing w:after="0"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（投标人名称）：</w:t>
      </w:r>
    </w:p>
    <w:p w14:paraId="2E05D7BB">
      <w:pPr>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（项目名称）评标委员会，对你方的投标文件进行了仔细的审查，现需你方对下列问题以书面形式予以澄清：</w:t>
      </w:r>
    </w:p>
    <w:p w14:paraId="48CCA9E2">
      <w:pPr>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p w14:paraId="43A7A3EF">
      <w:pPr>
        <w:spacing w:after="0" w:line="360" w:lineRule="auto"/>
        <w:ind w:firstLine="424" w:firstLineChars="202"/>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p w14:paraId="3C939F57">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p>
    <w:p w14:paraId="7641C860">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请将上述问题的澄清于</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时前递交至</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（详细地址）。</w:t>
      </w:r>
    </w:p>
    <w:p w14:paraId="6C8F6DFF">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6BB62849">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454547D0">
      <w:pPr>
        <w:spacing w:after="0" w:line="360" w:lineRule="auto"/>
        <w:jc w:val="both"/>
        <w:rPr>
          <w:rFonts w:hint="eastAsia" w:ascii="仿宋" w:hAnsi="仿宋" w:eastAsia="仿宋" w:cs="仿宋"/>
          <w:color w:val="000000" w:themeColor="text1"/>
          <w:szCs w:val="24"/>
          <w14:textFill>
            <w14:solidFill>
              <w14:schemeClr w14:val="tx1"/>
            </w14:solidFill>
          </w14:textFill>
        </w:rPr>
      </w:pPr>
    </w:p>
    <w:p w14:paraId="6F1CEF63">
      <w:pPr>
        <w:spacing w:after="0" w:line="360" w:lineRule="auto"/>
        <w:jc w:val="both"/>
        <w:rPr>
          <w:rFonts w:hint="eastAsia" w:ascii="仿宋" w:hAnsi="仿宋" w:eastAsia="仿宋" w:cs="仿宋"/>
          <w:color w:val="000000" w:themeColor="text1"/>
          <w:szCs w:val="24"/>
          <w14:textFill>
            <w14:solidFill>
              <w14:schemeClr w14:val="tx1"/>
            </w14:solidFill>
          </w14:textFill>
        </w:rPr>
      </w:pPr>
    </w:p>
    <w:p w14:paraId="137D7387">
      <w:pPr>
        <w:spacing w:after="0"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评标工作组负责人：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（签字）</w:t>
      </w:r>
    </w:p>
    <w:p w14:paraId="2CBF2281">
      <w:pPr>
        <w:spacing w:after="0"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年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月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2E9A2180">
      <w:pPr>
        <w:spacing w:after="0" w:line="360" w:lineRule="auto"/>
        <w:jc w:val="both"/>
        <w:outlineLvl w:val="1"/>
        <w:rPr>
          <w:rFonts w:hint="eastAsia" w:ascii="仿宋" w:hAnsi="仿宋" w:eastAsia="仿宋" w:cs="仿宋"/>
          <w:b/>
          <w:bCs/>
          <w:color w:val="000000" w:themeColor="text1"/>
          <w:sz w:val="24"/>
          <w:szCs w:val="20"/>
          <w14:textFill>
            <w14:solidFill>
              <w14:schemeClr w14:val="tx1"/>
            </w14:solidFill>
          </w14:textFill>
        </w:rPr>
      </w:pPr>
      <w:bookmarkStart w:id="354" w:name="_Toc8423583"/>
      <w:bookmarkStart w:id="355" w:name="_Toc152042360"/>
      <w:bookmarkStart w:id="356" w:name="_Toc144974550"/>
      <w:bookmarkStart w:id="357" w:name="_Toc28052"/>
      <w:bookmarkStart w:id="358" w:name="_Toc152045583"/>
      <w:r>
        <w:rPr>
          <w:rFonts w:hint="eastAsia" w:ascii="仿宋" w:hAnsi="仿宋" w:eastAsia="仿宋" w:cs="仿宋"/>
          <w:color w:val="000000" w:themeColor="text1"/>
          <w:sz w:val="24"/>
          <w:szCs w:val="20"/>
          <w14:textFill>
            <w14:solidFill>
              <w14:schemeClr w14:val="tx1"/>
            </w14:solidFill>
          </w14:textFill>
        </w:rPr>
        <w:br w:type="page"/>
      </w:r>
      <w:bookmarkStart w:id="359" w:name="_Toc14023"/>
      <w:bookmarkStart w:id="360" w:name="_Toc3704"/>
      <w:bookmarkStart w:id="361" w:name="_Toc19785"/>
      <w:bookmarkStart w:id="362" w:name="_Toc6510"/>
      <w:bookmarkStart w:id="363" w:name="_Toc4022"/>
      <w:bookmarkStart w:id="364" w:name="_Toc22499"/>
      <w:bookmarkStart w:id="365" w:name="_Toc177142655"/>
      <w:bookmarkStart w:id="366" w:name="_Toc21282"/>
      <w:bookmarkStart w:id="367" w:name="_Toc131781839"/>
      <w:r>
        <w:rPr>
          <w:rFonts w:hint="eastAsia" w:ascii="仿宋" w:hAnsi="仿宋" w:eastAsia="仿宋" w:cs="仿宋"/>
          <w:b/>
          <w:bCs/>
          <w:color w:val="000000" w:themeColor="text1"/>
          <w:sz w:val="24"/>
          <w:szCs w:val="20"/>
          <w14:textFill>
            <w14:solidFill>
              <w14:schemeClr w14:val="tx1"/>
            </w14:solidFill>
          </w14:textFill>
        </w:rPr>
        <w:t>附表二：问题的澄清</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37BD1EB">
      <w:pPr>
        <w:spacing w:after="0" w:line="360" w:lineRule="auto"/>
        <w:jc w:val="center"/>
        <w:rPr>
          <w:rFonts w:hint="eastAsia" w:ascii="仿宋" w:hAnsi="仿宋" w:eastAsia="仿宋" w:cs="仿宋"/>
          <w:color w:val="000000" w:themeColor="text1"/>
          <w:sz w:val="28"/>
          <w:szCs w:val="28"/>
          <w14:textFill>
            <w14:solidFill>
              <w14:schemeClr w14:val="tx1"/>
            </w14:solidFill>
          </w14:textFill>
        </w:rPr>
      </w:pPr>
    </w:p>
    <w:p w14:paraId="2518B8F0">
      <w:pPr>
        <w:spacing w:after="0" w:line="36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问题的澄清</w:t>
      </w:r>
    </w:p>
    <w:p w14:paraId="487D94B7">
      <w:pPr>
        <w:spacing w:after="0" w:line="360" w:lineRule="auto"/>
        <w:ind w:firstLine="6510" w:firstLineChars="3100"/>
        <w:jc w:val="both"/>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编号：</w:t>
      </w:r>
    </w:p>
    <w:p w14:paraId="7EA69A5F">
      <w:pPr>
        <w:spacing w:after="0"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项目名称）评标委员会：</w:t>
      </w:r>
    </w:p>
    <w:p w14:paraId="0EACC419">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问题澄清通知（编号：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）已收悉，现澄清如下：</w:t>
      </w:r>
    </w:p>
    <w:p w14:paraId="6E483CA8">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p w14:paraId="0994F723">
      <w:pPr>
        <w:spacing w:after="0" w:line="360" w:lineRule="auto"/>
        <w:ind w:firstLine="420" w:firstLineChars="2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p w14:paraId="12A6DDFD">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13100ED8">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4FC20DDA">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48770A6A">
      <w:pPr>
        <w:spacing w:after="0" w:line="360" w:lineRule="auto"/>
        <w:jc w:val="both"/>
        <w:rPr>
          <w:rFonts w:hint="eastAsia" w:ascii="仿宋" w:hAnsi="仿宋" w:eastAsia="仿宋" w:cs="仿宋"/>
          <w:color w:val="000000" w:themeColor="text1"/>
          <w:szCs w:val="21"/>
          <w14:textFill>
            <w14:solidFill>
              <w14:schemeClr w14:val="tx1"/>
            </w14:solidFill>
          </w14:textFill>
        </w:rPr>
      </w:pPr>
    </w:p>
    <w:p w14:paraId="1E7B48C6">
      <w:pPr>
        <w:spacing w:after="0" w:line="360" w:lineRule="auto"/>
        <w:ind w:firstLine="3990" w:firstLineChars="19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（盖单位章）</w:t>
      </w:r>
    </w:p>
    <w:p w14:paraId="0E9C7E22">
      <w:pPr>
        <w:spacing w:after="0" w:line="360" w:lineRule="auto"/>
        <w:ind w:firstLine="3990" w:firstLineChars="19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法定代表人或其委托代理人：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（签字）</w:t>
      </w:r>
    </w:p>
    <w:p w14:paraId="28B06927">
      <w:pPr>
        <w:spacing w:after="0" w:line="360" w:lineRule="auto"/>
        <w:ind w:firstLine="3780" w:firstLineChars="1800"/>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0DFFFD7">
      <w:pPr>
        <w:spacing w:after="0" w:line="360" w:lineRule="auto"/>
        <w:rPr>
          <w:rFonts w:hint="eastAsia"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bookmarkEnd w:id="340"/>
    <w:bookmarkEnd w:id="341"/>
    <w:bookmarkEnd w:id="342"/>
    <w:bookmarkEnd w:id="343"/>
    <w:bookmarkEnd w:id="344"/>
    <w:bookmarkEnd w:id="345"/>
    <w:p w14:paraId="0304CDCD">
      <w:pPr>
        <w:pStyle w:val="2"/>
        <w:keepNext w:val="0"/>
        <w:keepLines w:val="0"/>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368" w:name="_Toc152045598"/>
      <w:bookmarkStart w:id="369" w:name="_Toc26538232"/>
      <w:bookmarkStart w:id="370" w:name="_Toc152042375"/>
      <w:bookmarkStart w:id="371" w:name="_Toc1750"/>
      <w:bookmarkStart w:id="372" w:name="_Toc144974565"/>
      <w:bookmarkStart w:id="373" w:name="_Toc40361899"/>
      <w:bookmarkStart w:id="374" w:name="_Toc8423587"/>
      <w:bookmarkStart w:id="375" w:name="_Toc177142656"/>
      <w:r>
        <w:rPr>
          <w:rFonts w:hint="eastAsia" w:ascii="仿宋" w:hAnsi="仿宋" w:eastAsia="仿宋" w:cs="仿宋"/>
          <w:color w:val="000000" w:themeColor="text1"/>
          <w:sz w:val="32"/>
          <w14:textFill>
            <w14:solidFill>
              <w14:schemeClr w14:val="tx1"/>
            </w14:solidFill>
          </w14:textFill>
        </w:rPr>
        <w:t>第三章   评标办法（综合评标法）</w:t>
      </w:r>
      <w:bookmarkEnd w:id="368"/>
      <w:bookmarkEnd w:id="369"/>
      <w:bookmarkEnd w:id="370"/>
      <w:bookmarkEnd w:id="371"/>
      <w:bookmarkEnd w:id="372"/>
      <w:bookmarkEnd w:id="373"/>
      <w:bookmarkEnd w:id="374"/>
      <w:bookmarkEnd w:id="375"/>
    </w:p>
    <w:p w14:paraId="1D4B6745">
      <w:pPr>
        <w:spacing w:after="0" w:line="360" w:lineRule="auto"/>
        <w:jc w:val="center"/>
        <w:rPr>
          <w:rFonts w:hint="eastAsia" w:ascii="仿宋" w:hAnsi="仿宋" w:eastAsia="仿宋" w:cs="仿宋"/>
          <w:b/>
          <w:bCs/>
          <w:color w:val="000000" w:themeColor="text1"/>
          <w:sz w:val="24"/>
          <w:szCs w:val="21"/>
          <w14:textFill>
            <w14:solidFill>
              <w14:schemeClr w14:val="tx1"/>
            </w14:solidFill>
          </w14:textFill>
        </w:rPr>
      </w:pPr>
      <w:bookmarkStart w:id="376" w:name="_Toc144974566"/>
      <w:bookmarkStart w:id="377" w:name="_Toc152045599"/>
      <w:bookmarkStart w:id="378" w:name="_Toc40361900"/>
      <w:bookmarkStart w:id="379" w:name="_Toc26538233"/>
      <w:bookmarkStart w:id="380" w:name="_Toc152042376"/>
      <w:r>
        <w:rPr>
          <w:rFonts w:hint="eastAsia" w:ascii="仿宋" w:hAnsi="仿宋" w:eastAsia="仿宋" w:cs="仿宋"/>
          <w:b/>
          <w:bCs/>
          <w:color w:val="000000" w:themeColor="text1"/>
          <w:sz w:val="24"/>
          <w:szCs w:val="21"/>
          <w14:textFill>
            <w14:solidFill>
              <w14:schemeClr w14:val="tx1"/>
            </w14:solidFill>
          </w14:textFill>
        </w:rPr>
        <w:t>评标办法前附表</w:t>
      </w:r>
      <w:bookmarkEnd w:id="376"/>
      <w:bookmarkEnd w:id="377"/>
      <w:bookmarkEnd w:id="378"/>
      <w:bookmarkEnd w:id="379"/>
      <w:bookmarkEnd w:id="380"/>
    </w:p>
    <w:tbl>
      <w:tblPr>
        <w:tblStyle w:val="27"/>
        <w:tblW w:w="582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3"/>
        <w:gridCol w:w="986"/>
        <w:gridCol w:w="1149"/>
        <w:gridCol w:w="1929"/>
        <w:gridCol w:w="5497"/>
      </w:tblGrid>
      <w:tr w14:paraId="2BCD0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pct"/>
            <w:gridSpan w:val="2"/>
            <w:tcBorders>
              <w:top w:val="single" w:color="auto" w:sz="4" w:space="0"/>
              <w:bottom w:val="single" w:color="auto" w:sz="4" w:space="0"/>
              <w:right w:val="single" w:color="auto" w:sz="4" w:space="0"/>
            </w:tcBorders>
            <w:vAlign w:val="center"/>
          </w:tcPr>
          <w:p w14:paraId="1DA56A4F">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条款号</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0FCB2E0B">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评审因素</w:t>
            </w:r>
          </w:p>
        </w:tc>
        <w:tc>
          <w:tcPr>
            <w:tcW w:w="2664" w:type="pct"/>
            <w:tcBorders>
              <w:top w:val="single" w:color="auto" w:sz="4" w:space="0"/>
              <w:left w:val="single" w:color="auto" w:sz="4" w:space="0"/>
              <w:bottom w:val="single" w:color="auto" w:sz="4" w:space="0"/>
              <w:right w:val="single" w:color="auto" w:sz="4" w:space="0"/>
            </w:tcBorders>
            <w:vAlign w:val="center"/>
          </w:tcPr>
          <w:p w14:paraId="56A2E2C4">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评审标准</w:t>
            </w:r>
          </w:p>
        </w:tc>
      </w:tr>
      <w:tr w14:paraId="22BE8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tcBorders>
              <w:top w:val="single" w:color="auto" w:sz="4" w:space="0"/>
              <w:bottom w:val="single" w:color="auto" w:sz="4" w:space="0"/>
              <w:right w:val="single" w:color="auto" w:sz="4" w:space="0"/>
            </w:tcBorders>
            <w:vAlign w:val="center"/>
          </w:tcPr>
          <w:p w14:paraId="2D6EECA0">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w:t>
            </w:r>
          </w:p>
        </w:tc>
        <w:tc>
          <w:tcPr>
            <w:tcW w:w="477" w:type="pct"/>
            <w:tcBorders>
              <w:top w:val="single" w:color="auto" w:sz="4" w:space="0"/>
              <w:bottom w:val="single" w:color="auto" w:sz="4" w:space="0"/>
              <w:right w:val="single" w:color="auto" w:sz="4" w:space="0"/>
            </w:tcBorders>
            <w:vAlign w:val="center"/>
          </w:tcPr>
          <w:p w14:paraId="0927FFDA">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评标方法</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13122FE4">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中标候选人排序方法</w:t>
            </w:r>
          </w:p>
        </w:tc>
        <w:tc>
          <w:tcPr>
            <w:tcW w:w="2664" w:type="pct"/>
            <w:tcBorders>
              <w:top w:val="single" w:color="auto" w:sz="4" w:space="0"/>
              <w:left w:val="single" w:color="auto" w:sz="4" w:space="0"/>
              <w:bottom w:val="single" w:color="auto" w:sz="4" w:space="0"/>
              <w:right w:val="single" w:color="auto" w:sz="4" w:space="0"/>
            </w:tcBorders>
            <w:vAlign w:val="center"/>
          </w:tcPr>
          <w:p w14:paraId="67164CF4">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按照综合得分由高到低推荐前3名为中标候选人</w:t>
            </w:r>
          </w:p>
        </w:tc>
      </w:tr>
      <w:tr w14:paraId="17201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restart"/>
            <w:tcBorders>
              <w:top w:val="single" w:color="auto" w:sz="4" w:space="0"/>
              <w:bottom w:val="single" w:color="auto" w:sz="4" w:space="0"/>
              <w:right w:val="single" w:color="auto" w:sz="4" w:space="0"/>
            </w:tcBorders>
            <w:vAlign w:val="center"/>
          </w:tcPr>
          <w:p w14:paraId="2E21E45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2.1.1</w:t>
            </w:r>
          </w:p>
        </w:tc>
        <w:tc>
          <w:tcPr>
            <w:tcW w:w="477" w:type="pct"/>
            <w:vMerge w:val="restart"/>
            <w:tcBorders>
              <w:top w:val="single" w:color="auto" w:sz="4" w:space="0"/>
              <w:bottom w:val="single" w:color="auto" w:sz="4" w:space="0"/>
              <w:right w:val="single" w:color="auto" w:sz="4" w:space="0"/>
            </w:tcBorders>
            <w:vAlign w:val="center"/>
          </w:tcPr>
          <w:p w14:paraId="62BDB93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形式评审标准</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753BE83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投标人名称</w:t>
            </w:r>
          </w:p>
        </w:tc>
        <w:tc>
          <w:tcPr>
            <w:tcW w:w="2664" w:type="pct"/>
            <w:tcBorders>
              <w:top w:val="single" w:color="auto" w:sz="4" w:space="0"/>
              <w:left w:val="single" w:color="auto" w:sz="4" w:space="0"/>
              <w:bottom w:val="single" w:color="auto" w:sz="4" w:space="0"/>
              <w:right w:val="single" w:color="auto" w:sz="4" w:space="0"/>
            </w:tcBorders>
            <w:vAlign w:val="center"/>
          </w:tcPr>
          <w:p w14:paraId="327F2EB0">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与营业执照、资质证书一致</w:t>
            </w:r>
          </w:p>
        </w:tc>
      </w:tr>
      <w:tr w14:paraId="0B5FB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top w:val="nil"/>
              <w:bottom w:val="single" w:color="auto" w:sz="4" w:space="0"/>
              <w:right w:val="single" w:color="auto" w:sz="4" w:space="0"/>
            </w:tcBorders>
            <w:vAlign w:val="center"/>
          </w:tcPr>
          <w:p w14:paraId="08DB441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top w:val="nil"/>
              <w:bottom w:val="single" w:color="auto" w:sz="4" w:space="0"/>
              <w:right w:val="single" w:color="auto" w:sz="4" w:space="0"/>
            </w:tcBorders>
            <w:vAlign w:val="center"/>
          </w:tcPr>
          <w:p w14:paraId="4B3DD56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268989A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投标文件签字、盖章</w:t>
            </w:r>
          </w:p>
        </w:tc>
        <w:tc>
          <w:tcPr>
            <w:tcW w:w="2664" w:type="pct"/>
            <w:tcBorders>
              <w:top w:val="single" w:color="auto" w:sz="4" w:space="0"/>
              <w:left w:val="single" w:color="auto" w:sz="4" w:space="0"/>
              <w:bottom w:val="single" w:color="auto" w:sz="4" w:space="0"/>
              <w:right w:val="single" w:color="auto" w:sz="4" w:space="0"/>
            </w:tcBorders>
            <w:vAlign w:val="center"/>
          </w:tcPr>
          <w:p w14:paraId="72E5AB05">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符合第六章“投标文件格式”中签字、盖章的要求</w:t>
            </w:r>
          </w:p>
        </w:tc>
      </w:tr>
      <w:tr w14:paraId="53E64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top w:val="nil"/>
              <w:bottom w:val="single" w:color="auto" w:sz="4" w:space="0"/>
              <w:right w:val="single" w:color="auto" w:sz="4" w:space="0"/>
            </w:tcBorders>
            <w:vAlign w:val="center"/>
          </w:tcPr>
          <w:p w14:paraId="19B3A9C7">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top w:val="nil"/>
              <w:bottom w:val="single" w:color="auto" w:sz="4" w:space="0"/>
              <w:right w:val="single" w:color="auto" w:sz="4" w:space="0"/>
            </w:tcBorders>
            <w:vAlign w:val="center"/>
          </w:tcPr>
          <w:p w14:paraId="2A828017">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bottom w:val="single" w:color="auto" w:sz="4" w:space="0"/>
            </w:tcBorders>
            <w:vAlign w:val="center"/>
          </w:tcPr>
          <w:p w14:paraId="735421A1">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报价唯一</w:t>
            </w:r>
          </w:p>
        </w:tc>
        <w:tc>
          <w:tcPr>
            <w:tcW w:w="2664" w:type="pct"/>
            <w:tcBorders>
              <w:top w:val="single" w:color="auto" w:sz="4" w:space="0"/>
              <w:left w:val="single" w:color="auto" w:sz="4" w:space="0"/>
              <w:bottom w:val="single" w:color="auto" w:sz="4" w:space="0"/>
            </w:tcBorders>
            <w:vAlign w:val="center"/>
          </w:tcPr>
          <w:p w14:paraId="77896416">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只能有一个有效报价</w:t>
            </w:r>
          </w:p>
        </w:tc>
      </w:tr>
      <w:tr w14:paraId="2C8EA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restart"/>
            <w:tcBorders>
              <w:top w:val="single" w:color="auto" w:sz="4" w:space="0"/>
              <w:right w:val="single" w:color="auto" w:sz="4" w:space="0"/>
            </w:tcBorders>
            <w:vAlign w:val="center"/>
          </w:tcPr>
          <w:p w14:paraId="04006FB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2.1.2</w:t>
            </w:r>
          </w:p>
        </w:tc>
        <w:tc>
          <w:tcPr>
            <w:tcW w:w="477" w:type="pct"/>
            <w:vMerge w:val="restart"/>
            <w:tcBorders>
              <w:top w:val="single" w:color="auto" w:sz="4" w:space="0"/>
              <w:right w:val="single" w:color="auto" w:sz="4" w:space="0"/>
            </w:tcBorders>
            <w:vAlign w:val="center"/>
          </w:tcPr>
          <w:p w14:paraId="367AD45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资格评审标准</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1C2B89A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营业执照或事业单位法人证书</w:t>
            </w:r>
          </w:p>
        </w:tc>
        <w:tc>
          <w:tcPr>
            <w:tcW w:w="2664" w:type="pct"/>
            <w:tcBorders>
              <w:top w:val="single" w:color="auto" w:sz="4" w:space="0"/>
              <w:left w:val="single" w:color="auto" w:sz="4" w:space="0"/>
              <w:bottom w:val="single" w:color="auto" w:sz="4" w:space="0"/>
              <w:right w:val="single" w:color="auto" w:sz="4" w:space="0"/>
            </w:tcBorders>
            <w:vAlign w:val="center"/>
          </w:tcPr>
          <w:p w14:paraId="3979983A">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符合第二章“投标人须知前附表”第1.4.1项规定</w:t>
            </w:r>
          </w:p>
        </w:tc>
      </w:tr>
      <w:tr w14:paraId="3D36E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3FA8DBE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1CB1F03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25EE427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资质证书</w:t>
            </w:r>
          </w:p>
        </w:tc>
        <w:tc>
          <w:tcPr>
            <w:tcW w:w="2664" w:type="pct"/>
            <w:tcBorders>
              <w:top w:val="single" w:color="auto" w:sz="4" w:space="0"/>
              <w:left w:val="single" w:color="auto" w:sz="4" w:space="0"/>
              <w:bottom w:val="single" w:color="auto" w:sz="4" w:space="0"/>
              <w:right w:val="single" w:color="auto" w:sz="4" w:space="0"/>
            </w:tcBorders>
            <w:vAlign w:val="center"/>
          </w:tcPr>
          <w:p w14:paraId="2BDF6459">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符合第二章“投标人须知前附表”第1.4.1项规定</w:t>
            </w:r>
          </w:p>
        </w:tc>
      </w:tr>
      <w:tr w14:paraId="0FBBA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00BF4F4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5CF8444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1FAB6E6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项目负责人</w:t>
            </w:r>
          </w:p>
        </w:tc>
        <w:tc>
          <w:tcPr>
            <w:tcW w:w="2664" w:type="pct"/>
            <w:tcBorders>
              <w:top w:val="single" w:color="auto" w:sz="4" w:space="0"/>
              <w:left w:val="single" w:color="auto" w:sz="4" w:space="0"/>
              <w:bottom w:val="single" w:color="auto" w:sz="4" w:space="0"/>
              <w:right w:val="single" w:color="auto" w:sz="4" w:space="0"/>
            </w:tcBorders>
            <w:vAlign w:val="center"/>
          </w:tcPr>
          <w:p w14:paraId="0D7C9EDD">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符合第二章“投标人须知前附表”第1.4.1项规定</w:t>
            </w:r>
          </w:p>
        </w:tc>
      </w:tr>
      <w:tr w14:paraId="50AC62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58AE54D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043B353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4E8E9C0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信用承诺函</w:t>
            </w:r>
          </w:p>
        </w:tc>
        <w:tc>
          <w:tcPr>
            <w:tcW w:w="2664" w:type="pct"/>
            <w:tcBorders>
              <w:top w:val="single" w:color="auto" w:sz="4" w:space="0"/>
              <w:left w:val="single" w:color="auto" w:sz="4" w:space="0"/>
              <w:bottom w:val="single" w:color="auto" w:sz="4" w:space="0"/>
              <w:right w:val="single" w:color="auto" w:sz="4" w:space="0"/>
            </w:tcBorders>
            <w:vAlign w:val="center"/>
          </w:tcPr>
          <w:p w14:paraId="38549E4C">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符合第二章“投标人须知前附表”第1.4.1项规定</w:t>
            </w:r>
          </w:p>
        </w:tc>
      </w:tr>
      <w:tr w14:paraId="492E7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bottom w:val="single" w:color="auto" w:sz="4" w:space="0"/>
              <w:right w:val="single" w:color="auto" w:sz="4" w:space="0"/>
            </w:tcBorders>
            <w:vAlign w:val="center"/>
          </w:tcPr>
          <w:p w14:paraId="47A9A10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bottom w:val="single" w:color="auto" w:sz="4" w:space="0"/>
              <w:right w:val="single" w:color="auto" w:sz="4" w:space="0"/>
            </w:tcBorders>
            <w:vAlign w:val="center"/>
          </w:tcPr>
          <w:p w14:paraId="573107D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bottom w:val="single" w:color="auto" w:sz="4" w:space="0"/>
            </w:tcBorders>
            <w:vAlign w:val="center"/>
          </w:tcPr>
          <w:p w14:paraId="205120EA">
            <w:pPr>
              <w:spacing w:after="0" w:line="360" w:lineRule="auto"/>
              <w:jc w:val="center"/>
              <w:textAlignment w:val="baseline"/>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w:t>
            </w:r>
          </w:p>
        </w:tc>
        <w:tc>
          <w:tcPr>
            <w:tcW w:w="2664" w:type="pct"/>
            <w:tcBorders>
              <w:top w:val="single" w:color="auto" w:sz="4" w:space="0"/>
              <w:left w:val="single" w:color="auto" w:sz="4" w:space="0"/>
              <w:bottom w:val="single" w:color="auto" w:sz="4" w:space="0"/>
            </w:tcBorders>
            <w:vAlign w:val="center"/>
          </w:tcPr>
          <w:p w14:paraId="7CA11F56">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招标文件规定的其他内容</w:t>
            </w:r>
          </w:p>
        </w:tc>
      </w:tr>
      <w:tr w14:paraId="1C467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restart"/>
            <w:tcBorders>
              <w:top w:val="single" w:color="auto" w:sz="4" w:space="0"/>
              <w:right w:val="single" w:color="auto" w:sz="4" w:space="0"/>
            </w:tcBorders>
            <w:vAlign w:val="center"/>
          </w:tcPr>
          <w:p w14:paraId="4B23F8D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2.1.3</w:t>
            </w:r>
          </w:p>
        </w:tc>
        <w:tc>
          <w:tcPr>
            <w:tcW w:w="477" w:type="pct"/>
            <w:vMerge w:val="restart"/>
            <w:tcBorders>
              <w:top w:val="single" w:color="auto" w:sz="4" w:space="0"/>
              <w:right w:val="single" w:color="auto" w:sz="4" w:space="0"/>
            </w:tcBorders>
            <w:vAlign w:val="center"/>
          </w:tcPr>
          <w:p w14:paraId="7A70A45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响应性评审标准</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46F6B8F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w:t>
            </w:r>
          </w:p>
        </w:tc>
        <w:tc>
          <w:tcPr>
            <w:tcW w:w="2664" w:type="pct"/>
            <w:tcBorders>
              <w:top w:val="single" w:color="auto" w:sz="4" w:space="0"/>
              <w:left w:val="single" w:color="auto" w:sz="4" w:space="0"/>
              <w:bottom w:val="single" w:color="auto" w:sz="4" w:space="0"/>
              <w:right w:val="single" w:color="auto" w:sz="4" w:space="0"/>
            </w:tcBorders>
            <w:vAlign w:val="center"/>
          </w:tcPr>
          <w:p w14:paraId="2C09B154">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符合第二章“投标人须知前附表”第3.2.4项规定</w:t>
            </w:r>
          </w:p>
        </w:tc>
      </w:tr>
      <w:tr w14:paraId="0B4ED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2DA0861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6A183A3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4C3447F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服务周期</w:t>
            </w:r>
          </w:p>
        </w:tc>
        <w:tc>
          <w:tcPr>
            <w:tcW w:w="2664" w:type="pct"/>
            <w:tcBorders>
              <w:top w:val="single" w:color="auto" w:sz="4" w:space="0"/>
              <w:left w:val="single" w:color="auto" w:sz="4" w:space="0"/>
              <w:bottom w:val="single" w:color="auto" w:sz="4" w:space="0"/>
              <w:right w:val="single" w:color="auto" w:sz="4" w:space="0"/>
            </w:tcBorders>
            <w:vAlign w:val="center"/>
          </w:tcPr>
          <w:p w14:paraId="0A51C373">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符合第二章“投标人须知前附表”第1.3.2项规定</w:t>
            </w:r>
          </w:p>
        </w:tc>
      </w:tr>
      <w:tr w14:paraId="66FACC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49E5E01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5C439B0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43486BF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质量要求</w:t>
            </w:r>
          </w:p>
        </w:tc>
        <w:tc>
          <w:tcPr>
            <w:tcW w:w="2664" w:type="pct"/>
            <w:tcBorders>
              <w:top w:val="single" w:color="auto" w:sz="4" w:space="0"/>
              <w:left w:val="single" w:color="auto" w:sz="4" w:space="0"/>
              <w:bottom w:val="single" w:color="auto" w:sz="4" w:space="0"/>
              <w:right w:val="single" w:color="auto" w:sz="4" w:space="0"/>
            </w:tcBorders>
            <w:vAlign w:val="center"/>
          </w:tcPr>
          <w:p w14:paraId="20D477A0">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符合第二章“投标人须知前附表”第1.3.3项规定</w:t>
            </w:r>
          </w:p>
        </w:tc>
      </w:tr>
      <w:tr w14:paraId="57DC0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4C3E8914">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0818728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3BD1ECF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投标有效期</w:t>
            </w:r>
          </w:p>
        </w:tc>
        <w:tc>
          <w:tcPr>
            <w:tcW w:w="2664" w:type="pct"/>
            <w:tcBorders>
              <w:top w:val="single" w:color="auto" w:sz="4" w:space="0"/>
              <w:left w:val="single" w:color="auto" w:sz="4" w:space="0"/>
              <w:bottom w:val="single" w:color="auto" w:sz="4" w:space="0"/>
              <w:right w:val="single" w:color="auto" w:sz="4" w:space="0"/>
            </w:tcBorders>
            <w:vAlign w:val="center"/>
          </w:tcPr>
          <w:p w14:paraId="1775403A">
            <w:pPr>
              <w:spacing w:after="0" w:line="360" w:lineRule="auto"/>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符合第二章“投标人须知前附表”第3.3.1项规定</w:t>
            </w:r>
          </w:p>
        </w:tc>
      </w:tr>
      <w:tr w14:paraId="7F4EB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pct"/>
            <w:gridSpan w:val="2"/>
            <w:tcBorders>
              <w:top w:val="single" w:color="auto" w:sz="4" w:space="0"/>
              <w:bottom w:val="single" w:color="auto" w:sz="4" w:space="0"/>
              <w:right w:val="single" w:color="auto" w:sz="4" w:space="0"/>
            </w:tcBorders>
            <w:vAlign w:val="center"/>
          </w:tcPr>
          <w:p w14:paraId="36F8F55C">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条款号</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492781E1">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条款内容</w:t>
            </w:r>
          </w:p>
        </w:tc>
        <w:tc>
          <w:tcPr>
            <w:tcW w:w="2664" w:type="pct"/>
            <w:tcBorders>
              <w:top w:val="single" w:color="auto" w:sz="4" w:space="0"/>
              <w:left w:val="single" w:color="auto" w:sz="4" w:space="0"/>
              <w:bottom w:val="single" w:color="auto" w:sz="4" w:space="0"/>
              <w:right w:val="single" w:color="auto" w:sz="4" w:space="0"/>
            </w:tcBorders>
            <w:vAlign w:val="center"/>
          </w:tcPr>
          <w:p w14:paraId="4BD00B6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编列内容</w:t>
            </w:r>
          </w:p>
        </w:tc>
      </w:tr>
      <w:tr w14:paraId="25F9B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pct"/>
            <w:gridSpan w:val="2"/>
            <w:tcBorders>
              <w:top w:val="single" w:color="auto" w:sz="4" w:space="0"/>
              <w:bottom w:val="single" w:color="auto" w:sz="4" w:space="0"/>
              <w:right w:val="single" w:color="auto" w:sz="4" w:space="0"/>
            </w:tcBorders>
            <w:vAlign w:val="center"/>
          </w:tcPr>
          <w:p w14:paraId="15A1A49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2.2.1</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07333108">
            <w:pPr>
              <w:spacing w:after="0" w:line="360" w:lineRule="auto"/>
              <w:jc w:val="center"/>
              <w:textAlignment w:val="baseline"/>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分值构成</w:t>
            </w:r>
          </w:p>
          <w:p w14:paraId="3624A61C">
            <w:pPr>
              <w:spacing w:after="0" w:line="360" w:lineRule="auto"/>
              <w:jc w:val="center"/>
              <w:textAlignment w:val="baseline"/>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(总分</w:t>
            </w:r>
            <w:r>
              <w:rPr>
                <w:rFonts w:hint="eastAsia" w:ascii="仿宋" w:hAnsi="仿宋" w:eastAsia="仿宋" w:cs="仿宋"/>
                <w:color w:val="000000" w:themeColor="text1"/>
                <w:szCs w:val="21"/>
                <w:highlight w:val="none"/>
                <w:lang w:val="en-US" w:eastAsia="zh-CN"/>
                <w14:textFill>
                  <w14:solidFill>
                    <w14:schemeClr w14:val="tx1"/>
                  </w14:solidFill>
                </w14:textFill>
              </w:rPr>
              <w:t>100</w:t>
            </w:r>
            <w:r>
              <w:rPr>
                <w:rFonts w:hint="eastAsia" w:ascii="仿宋" w:hAnsi="仿宋" w:eastAsia="仿宋" w:cs="仿宋"/>
                <w:color w:val="000000" w:themeColor="text1"/>
                <w:szCs w:val="21"/>
                <w:highlight w:val="none"/>
                <w14:textFill>
                  <w14:solidFill>
                    <w14:schemeClr w14:val="tx1"/>
                  </w14:solidFill>
                </w14:textFill>
              </w:rPr>
              <w:t>分)</w:t>
            </w:r>
          </w:p>
        </w:tc>
        <w:tc>
          <w:tcPr>
            <w:tcW w:w="2664" w:type="pct"/>
            <w:tcBorders>
              <w:top w:val="single" w:color="auto" w:sz="4" w:space="0"/>
              <w:left w:val="single" w:color="auto" w:sz="4" w:space="0"/>
              <w:bottom w:val="single" w:color="auto" w:sz="4" w:space="0"/>
              <w:right w:val="single" w:color="auto" w:sz="4" w:space="0"/>
            </w:tcBorders>
            <w:vAlign w:val="center"/>
          </w:tcPr>
          <w:p w14:paraId="1182871C">
            <w:pPr>
              <w:spacing w:after="0" w:line="360" w:lineRule="auto"/>
              <w:textAlignment w:val="baseline"/>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技术标评分部分：</w:t>
            </w:r>
            <w:r>
              <w:rPr>
                <w:rFonts w:hint="eastAsia" w:ascii="仿宋" w:hAnsi="仿宋" w:eastAsia="仿宋" w:cs="仿宋"/>
                <w:color w:val="000000" w:themeColor="text1"/>
                <w:szCs w:val="21"/>
                <w:highlight w:val="none"/>
                <w:lang w:val="en-US" w:eastAsia="zh-CN"/>
                <w14:textFill>
                  <w14:solidFill>
                    <w14:schemeClr w14:val="tx1"/>
                  </w14:solidFill>
                </w14:textFill>
              </w:rPr>
              <w:t>65</w:t>
            </w:r>
            <w:r>
              <w:rPr>
                <w:rFonts w:hint="eastAsia" w:ascii="仿宋" w:hAnsi="仿宋" w:eastAsia="仿宋" w:cs="仿宋"/>
                <w:color w:val="000000" w:themeColor="text1"/>
                <w:szCs w:val="21"/>
                <w:highlight w:val="none"/>
                <w14:textFill>
                  <w14:solidFill>
                    <w14:schemeClr w14:val="tx1"/>
                  </w14:solidFill>
                </w14:textFill>
              </w:rPr>
              <w:t>分</w:t>
            </w:r>
          </w:p>
          <w:p w14:paraId="655F4E27">
            <w:pPr>
              <w:spacing w:after="0" w:line="360" w:lineRule="auto"/>
              <w:textAlignment w:val="baseline"/>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综合标评分部分：</w:t>
            </w:r>
            <w:r>
              <w:rPr>
                <w:rFonts w:hint="eastAsia" w:ascii="仿宋" w:hAnsi="仿宋" w:eastAsia="仿宋" w:cs="仿宋"/>
                <w:color w:val="000000" w:themeColor="text1"/>
                <w:szCs w:val="21"/>
                <w:highlight w:val="none"/>
                <w:lang w:val="en-US" w:eastAsia="zh-CN"/>
                <w14:textFill>
                  <w14:solidFill>
                    <w14:schemeClr w14:val="tx1"/>
                  </w14:solidFill>
                </w14:textFill>
              </w:rPr>
              <w:t>15</w:t>
            </w:r>
            <w:r>
              <w:rPr>
                <w:rFonts w:hint="eastAsia" w:ascii="仿宋" w:hAnsi="仿宋" w:eastAsia="仿宋" w:cs="仿宋"/>
                <w:color w:val="000000" w:themeColor="text1"/>
                <w:szCs w:val="21"/>
                <w:highlight w:val="none"/>
                <w14:textFill>
                  <w14:solidFill>
                    <w14:schemeClr w14:val="tx1"/>
                  </w14:solidFill>
                </w14:textFill>
              </w:rPr>
              <w:t>分</w:t>
            </w:r>
          </w:p>
          <w:p w14:paraId="79EA4456">
            <w:pPr>
              <w:spacing w:after="0" w:line="360" w:lineRule="auto"/>
              <w:textAlignment w:val="baseline"/>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投标报价评分部分：</w:t>
            </w:r>
            <w:r>
              <w:rPr>
                <w:rFonts w:hint="eastAsia" w:ascii="仿宋" w:hAnsi="仿宋" w:eastAsia="仿宋" w:cs="仿宋"/>
                <w:color w:val="000000" w:themeColor="text1"/>
                <w:szCs w:val="21"/>
                <w:highlight w:val="none"/>
                <w:lang w:val="en-US" w:eastAsia="zh-CN"/>
                <w14:textFill>
                  <w14:solidFill>
                    <w14:schemeClr w14:val="tx1"/>
                  </w14:solidFill>
                </w14:textFill>
              </w:rPr>
              <w:t>20</w:t>
            </w:r>
            <w:r>
              <w:rPr>
                <w:rFonts w:hint="eastAsia" w:ascii="仿宋" w:hAnsi="仿宋" w:eastAsia="仿宋" w:cs="仿宋"/>
                <w:color w:val="000000" w:themeColor="text1"/>
                <w:szCs w:val="21"/>
                <w:highlight w:val="none"/>
                <w14:textFill>
                  <w14:solidFill>
                    <w14:schemeClr w14:val="tx1"/>
                  </w14:solidFill>
                </w14:textFill>
              </w:rPr>
              <w:t>分</w:t>
            </w:r>
          </w:p>
        </w:tc>
      </w:tr>
      <w:tr w14:paraId="50301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pct"/>
            <w:gridSpan w:val="2"/>
            <w:tcBorders>
              <w:top w:val="single" w:color="auto" w:sz="4" w:space="0"/>
              <w:bottom w:val="single" w:color="auto" w:sz="4" w:space="0"/>
              <w:right w:val="single" w:color="auto" w:sz="4" w:space="0"/>
            </w:tcBorders>
            <w:vAlign w:val="center"/>
          </w:tcPr>
          <w:p w14:paraId="3E9B8A8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条款号</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73310B61">
            <w:pPr>
              <w:spacing w:after="0"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评审因素</w:t>
            </w:r>
          </w:p>
        </w:tc>
        <w:tc>
          <w:tcPr>
            <w:tcW w:w="2664" w:type="pct"/>
            <w:tcBorders>
              <w:top w:val="single" w:color="auto" w:sz="4" w:space="0"/>
              <w:left w:val="single" w:color="auto" w:sz="4" w:space="0"/>
              <w:bottom w:val="single" w:color="auto" w:sz="4" w:space="0"/>
              <w:right w:val="single" w:color="auto" w:sz="4" w:space="0"/>
            </w:tcBorders>
            <w:vAlign w:val="center"/>
          </w:tcPr>
          <w:p w14:paraId="63DA400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评审标准</w:t>
            </w:r>
          </w:p>
        </w:tc>
      </w:tr>
      <w:tr w14:paraId="6A23F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tcBorders>
              <w:top w:val="single" w:color="auto" w:sz="4" w:space="0"/>
              <w:right w:val="single" w:color="auto" w:sz="4" w:space="0"/>
            </w:tcBorders>
            <w:vAlign w:val="center"/>
          </w:tcPr>
          <w:p w14:paraId="10E9A03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w:t>
            </w:r>
          </w:p>
          <w:p w14:paraId="25F99CB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477" w:type="pct"/>
            <w:tcBorders>
              <w:top w:val="single" w:color="auto" w:sz="4" w:space="0"/>
              <w:right w:val="single" w:color="auto" w:sz="4" w:space="0"/>
            </w:tcBorders>
            <w:vAlign w:val="center"/>
          </w:tcPr>
          <w:p w14:paraId="3D6437B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投标报价评分标准</w:t>
            </w:r>
          </w:p>
          <w:p w14:paraId="7677F6DC">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20</w:t>
            </w:r>
            <w:r>
              <w:rPr>
                <w:rFonts w:hint="eastAsia" w:ascii="仿宋" w:hAnsi="仿宋" w:eastAsia="仿宋" w:cs="仿宋"/>
                <w:color w:val="000000" w:themeColor="text1"/>
                <w:szCs w:val="21"/>
                <w14:textFill>
                  <w14:solidFill>
                    <w14:schemeClr w14:val="tx1"/>
                  </w14:solidFill>
                </w14:textFill>
              </w:rPr>
              <w:t>分）</w:t>
            </w: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3DB3AFF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报价得分</w:t>
            </w:r>
          </w:p>
          <w:p w14:paraId="2B440561">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20</w:t>
            </w:r>
            <w:r>
              <w:rPr>
                <w:rFonts w:hint="eastAsia" w:ascii="仿宋" w:hAnsi="仿宋" w:eastAsia="仿宋" w:cs="仿宋"/>
                <w:color w:val="000000" w:themeColor="text1"/>
                <w:szCs w:val="21"/>
                <w14:textFill>
                  <w14:solidFill>
                    <w14:schemeClr w14:val="tx1"/>
                  </w14:solidFill>
                </w14:textFill>
              </w:rPr>
              <w:t>分）</w:t>
            </w:r>
          </w:p>
        </w:tc>
        <w:tc>
          <w:tcPr>
            <w:tcW w:w="2664" w:type="pct"/>
            <w:tcBorders>
              <w:top w:val="single" w:color="auto" w:sz="4" w:space="0"/>
              <w:left w:val="single" w:color="auto" w:sz="4" w:space="0"/>
              <w:bottom w:val="single" w:color="auto" w:sz="4" w:space="0"/>
              <w:right w:val="single" w:color="auto" w:sz="4" w:space="0"/>
            </w:tcBorders>
            <w:vAlign w:val="center"/>
          </w:tcPr>
          <w:p w14:paraId="7D8A0DFC">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1.确定有效投标报价</w:t>
            </w:r>
          </w:p>
          <w:p w14:paraId="4AFB4782">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于最高限价的投标为废标，低于最高限价的投标报价为有效报价。价格分采用低价优先法计算，即满足招标文件要求且评标报价最低的评标报价为评标基准价，其价格分为满分。其他投标人的价格分统一按照下列公式计算：</w:t>
            </w:r>
          </w:p>
          <w:p w14:paraId="1A6ADD82">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投标报价得分=(评标基准价／评标报价)×投标报价权重</w:t>
            </w:r>
          </w:p>
          <w:p w14:paraId="022F8839">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2.（如投标人中出现明显低价或不符合招标参数要求的服务市场价格的投标报价，评标委员会各成员需对此类报价进行综合审查及评定，如发现恶意竞标行为予以废标处理，上报主管部门进行相应处罚）。</w:t>
            </w:r>
          </w:p>
        </w:tc>
      </w:tr>
      <w:tr w14:paraId="637025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restart"/>
            <w:tcBorders>
              <w:top w:val="single" w:color="auto" w:sz="4" w:space="0"/>
              <w:right w:val="single" w:color="auto" w:sz="4" w:space="0"/>
            </w:tcBorders>
            <w:vAlign w:val="center"/>
          </w:tcPr>
          <w:p w14:paraId="4CA210EC">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w:t>
            </w:r>
          </w:p>
          <w:p w14:paraId="1D90B57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477" w:type="pct"/>
            <w:vMerge w:val="restart"/>
            <w:tcBorders>
              <w:top w:val="single" w:color="auto" w:sz="4" w:space="0"/>
              <w:right w:val="single" w:color="auto" w:sz="4" w:space="0"/>
            </w:tcBorders>
            <w:vAlign w:val="center"/>
          </w:tcPr>
          <w:p w14:paraId="698F8B8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技术标</w:t>
            </w:r>
            <w:r>
              <w:rPr>
                <w:rFonts w:hint="eastAsia" w:ascii="仿宋" w:hAnsi="仿宋" w:eastAsia="仿宋" w:cs="仿宋"/>
                <w:color w:val="000000" w:themeColor="text1"/>
                <w:szCs w:val="21"/>
                <w14:textFill>
                  <w14:solidFill>
                    <w14:schemeClr w14:val="tx1"/>
                  </w14:solidFill>
                </w14:textFill>
              </w:rPr>
              <w:t>评分标准</w:t>
            </w:r>
          </w:p>
          <w:p w14:paraId="214413C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p w14:paraId="6AF86126">
            <w:pPr>
              <w:pStyle w:val="41"/>
              <w:adjustRightInd/>
              <w:spacing w:line="360" w:lineRule="auto"/>
              <w:jc w:val="center"/>
              <w:rPr>
                <w:rFonts w:hint="eastAsia" w:ascii="仿宋" w:hAnsi="仿宋" w:eastAsia="仿宋" w:cs="仿宋"/>
                <w:color w:val="000000" w:themeColor="text1"/>
                <w:kern w:val="2"/>
                <w:sz w:val="21"/>
                <w:szCs w:val="21"/>
                <w14:textFill>
                  <w14:solidFill>
                    <w14:schemeClr w14:val="tx1"/>
                  </w14:solidFill>
                </w14:textFill>
              </w:rPr>
            </w:pPr>
            <w:r>
              <w:rPr>
                <w:rFonts w:hint="eastAsia" w:ascii="仿宋" w:hAnsi="仿宋" w:eastAsia="仿宋" w:cs="仿宋"/>
                <w:color w:val="000000" w:themeColor="text1"/>
                <w:kern w:val="2"/>
                <w:sz w:val="21"/>
                <w:szCs w:val="21"/>
                <w14:textFill>
                  <w14:solidFill>
                    <w14:schemeClr w14:val="tx1"/>
                  </w14:solidFill>
                </w14:textFill>
              </w:rPr>
              <w:t>（</w:t>
            </w:r>
            <w:r>
              <w:rPr>
                <w:rFonts w:hint="eastAsia" w:ascii="仿宋" w:hAnsi="仿宋" w:eastAsia="仿宋" w:cs="仿宋"/>
                <w:color w:val="000000" w:themeColor="text1"/>
                <w:kern w:val="2"/>
                <w:sz w:val="21"/>
                <w:szCs w:val="21"/>
                <w:lang w:val="en-US" w:eastAsia="zh-CN"/>
                <w14:textFill>
                  <w14:solidFill>
                    <w14:schemeClr w14:val="tx1"/>
                  </w14:solidFill>
                </w14:textFill>
              </w:rPr>
              <w:t>65</w:t>
            </w:r>
            <w:r>
              <w:rPr>
                <w:rFonts w:hint="eastAsia" w:ascii="仿宋" w:hAnsi="仿宋" w:eastAsia="仿宋" w:cs="仿宋"/>
                <w:color w:val="000000" w:themeColor="text1"/>
                <w:kern w:val="2"/>
                <w:sz w:val="21"/>
                <w:szCs w:val="21"/>
                <w14:textFill>
                  <w14:solidFill>
                    <w14:schemeClr w14:val="tx1"/>
                  </w14:solidFill>
                </w14:textFill>
              </w:rPr>
              <w:t>分）</w:t>
            </w:r>
          </w:p>
        </w:tc>
        <w:tc>
          <w:tcPr>
            <w:tcW w:w="557" w:type="pct"/>
            <w:vMerge w:val="restart"/>
            <w:tcBorders>
              <w:top w:val="single" w:color="auto" w:sz="4" w:space="0"/>
              <w:left w:val="single" w:color="auto" w:sz="4" w:space="0"/>
              <w:right w:val="single" w:color="auto" w:sz="4" w:space="0"/>
            </w:tcBorders>
            <w:vAlign w:val="center"/>
          </w:tcPr>
          <w:p w14:paraId="4DA93106">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功能适用性评价</w:t>
            </w:r>
          </w:p>
          <w:p w14:paraId="180946F9">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30</w:t>
            </w:r>
            <w:r>
              <w:rPr>
                <w:rFonts w:hint="eastAsia" w:ascii="仿宋" w:hAnsi="仿宋" w:eastAsia="仿宋" w:cs="仿宋"/>
                <w:color w:val="000000" w:themeColor="text1"/>
                <w:szCs w:val="21"/>
                <w14:textFill>
                  <w14:solidFill>
                    <w14:schemeClr w14:val="tx1"/>
                  </w14:solidFill>
                </w14:textFill>
              </w:rPr>
              <w:t>分）</w:t>
            </w:r>
          </w:p>
        </w:tc>
        <w:tc>
          <w:tcPr>
            <w:tcW w:w="935" w:type="pct"/>
            <w:tcBorders>
              <w:top w:val="single" w:color="auto" w:sz="4" w:space="0"/>
              <w:left w:val="single" w:color="auto" w:sz="4" w:space="0"/>
              <w:bottom w:val="single" w:color="auto" w:sz="4" w:space="0"/>
              <w:right w:val="single" w:color="auto" w:sz="4" w:space="0"/>
            </w:tcBorders>
            <w:vAlign w:val="center"/>
          </w:tcPr>
          <w:p w14:paraId="08E50A00">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符合国土空间规划要求</w:t>
            </w:r>
          </w:p>
          <w:p w14:paraId="74E52154">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6分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49BD2AE4">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符合国土空间规划要求</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6分，基本符合</w:t>
            </w:r>
            <w:r>
              <w:rPr>
                <w:rFonts w:hint="eastAsia" w:ascii="仿宋" w:hAnsi="仿宋" w:eastAsia="仿宋" w:cs="仿宋"/>
                <w:color w:val="000000" w:themeColor="text1"/>
                <w:szCs w:val="21"/>
                <w14:textFill>
                  <w14:solidFill>
                    <w14:schemeClr w14:val="tx1"/>
                  </w14:solidFill>
                </w14:textFill>
              </w:rPr>
              <w:t>国土空间规划要求</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3分，简单描述的得1分；不符合的不得分。</w:t>
            </w:r>
          </w:p>
        </w:tc>
      </w:tr>
      <w:tr w14:paraId="43579A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365" w:type="pct"/>
            <w:vMerge w:val="continue"/>
            <w:tcBorders>
              <w:right w:val="single" w:color="auto" w:sz="4" w:space="0"/>
            </w:tcBorders>
            <w:vAlign w:val="center"/>
          </w:tcPr>
          <w:p w14:paraId="5816AD3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6A3B422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0C919FD5">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78402D38">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合理利用土地</w:t>
            </w:r>
          </w:p>
          <w:p w14:paraId="62F5F52B">
            <w:pPr>
              <w:spacing w:after="0" w:line="360" w:lineRule="auto"/>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6分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72C1B2E">
            <w:pPr>
              <w:spacing w:after="0" w:line="360" w:lineRule="auto"/>
              <w:rPr>
                <w:rFonts w:hint="eastAsia" w:ascii="仿宋" w:hAnsi="仿宋" w:eastAsia="仿宋" w:cs="仿宋"/>
                <w:color w:val="000000" w:themeColor="text1"/>
                <w:szCs w:val="21"/>
                <w14:textFill>
                  <w14:solidFill>
                    <w14:schemeClr w14:val="tx1"/>
                  </w14:solidFill>
                </w14:textFill>
              </w:rPr>
            </w:pPr>
            <w:r>
              <w:rPr>
                <w:rFonts w:ascii="仿宋" w:hAnsi="仿宋" w:eastAsia="仿宋" w:cs="仿宋"/>
                <w:color w:val="000000" w:themeColor="text1"/>
                <w:szCs w:val="21"/>
                <w14:textFill>
                  <w14:solidFill>
                    <w14:schemeClr w14:val="tx1"/>
                  </w14:solidFill>
                </w14:textFill>
              </w:rPr>
              <w:t>土地利用合理</w:t>
            </w:r>
            <w:r>
              <w:rPr>
                <w:rFonts w:hint="eastAsia" w:ascii="仿宋" w:hAnsi="仿宋" w:eastAsia="仿宋" w:cs="仿宋"/>
                <w:color w:val="000000" w:themeColor="text1"/>
                <w:szCs w:val="21"/>
                <w14:textFill>
                  <w14:solidFill>
                    <w14:schemeClr w14:val="tx1"/>
                  </w14:solidFill>
                </w14:textFill>
              </w:rPr>
              <w:t>，</w:t>
            </w:r>
            <w:r>
              <w:rPr>
                <w:rFonts w:ascii="仿宋" w:hAnsi="仿宋" w:eastAsia="仿宋" w:cs="仿宋"/>
                <w:color w:val="000000" w:themeColor="text1"/>
                <w:szCs w:val="21"/>
                <w14:textFill>
                  <w14:solidFill>
                    <w14:schemeClr w14:val="tx1"/>
                  </w14:solidFill>
                </w14:textFill>
              </w:rPr>
              <w:t>分区明确</w:t>
            </w:r>
            <w:r>
              <w:rPr>
                <w:rFonts w:hint="eastAsia" w:ascii="仿宋" w:hAnsi="仿宋" w:eastAsia="仿宋" w:cs="仿宋"/>
                <w:color w:val="000000" w:themeColor="text1"/>
                <w:szCs w:val="21"/>
                <w:lang w:eastAsia="zh-CN"/>
                <w14:textFill>
                  <w14:solidFill>
                    <w14:schemeClr w14:val="tx1"/>
                  </w14:solidFill>
                </w14:textFill>
              </w:rPr>
              <w:t>的</w:t>
            </w:r>
            <w:r>
              <w:rPr>
                <w:rFonts w:hint="eastAsia" w:ascii="仿宋" w:hAnsi="仿宋" w:eastAsia="仿宋" w:cs="仿宋"/>
                <w:color w:val="000000" w:themeColor="text1"/>
                <w:szCs w:val="21"/>
                <w14:textFill>
                  <w14:solidFill>
                    <w14:schemeClr w14:val="tx1"/>
                  </w14:solidFill>
                </w14:textFill>
              </w:rPr>
              <w:t>得</w:t>
            </w:r>
            <w:r>
              <w:rPr>
                <w:rFonts w:hint="eastAsia" w:ascii="仿宋" w:hAnsi="仿宋" w:eastAsia="仿宋" w:cs="仿宋"/>
                <w:color w:val="000000" w:themeColor="text1"/>
                <w:szCs w:val="21"/>
                <w:lang w:val="en-US" w:eastAsia="zh-CN"/>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分；</w:t>
            </w:r>
            <w:r>
              <w:rPr>
                <w:rFonts w:ascii="仿宋" w:hAnsi="仿宋" w:eastAsia="仿宋" w:cs="仿宋"/>
                <w:color w:val="000000" w:themeColor="text1"/>
                <w:szCs w:val="21"/>
                <w14:textFill>
                  <w14:solidFill>
                    <w14:schemeClr w14:val="tx1"/>
                  </w14:solidFill>
                </w14:textFill>
              </w:rPr>
              <w:t>土地利用</w:t>
            </w:r>
            <w:r>
              <w:rPr>
                <w:rFonts w:hint="eastAsia" w:ascii="仿宋" w:hAnsi="仿宋" w:eastAsia="仿宋" w:cs="仿宋"/>
                <w:color w:val="000000" w:themeColor="text1"/>
                <w:szCs w:val="21"/>
                <w14:textFill>
                  <w14:solidFill>
                    <w14:schemeClr w14:val="tx1"/>
                  </w14:solidFill>
                </w14:textFill>
              </w:rPr>
              <w:t>基本</w:t>
            </w:r>
            <w:r>
              <w:rPr>
                <w:rFonts w:ascii="仿宋" w:hAnsi="仿宋" w:eastAsia="仿宋" w:cs="仿宋"/>
                <w:color w:val="000000" w:themeColor="text1"/>
                <w:szCs w:val="21"/>
                <w14:textFill>
                  <w14:solidFill>
                    <w14:schemeClr w14:val="tx1"/>
                  </w14:solidFill>
                </w14:textFill>
              </w:rPr>
              <w:t>合理</w:t>
            </w:r>
            <w:r>
              <w:rPr>
                <w:rFonts w:hint="eastAsia" w:ascii="仿宋" w:hAnsi="仿宋" w:eastAsia="仿宋" w:cs="仿宋"/>
                <w:color w:val="000000" w:themeColor="text1"/>
                <w:szCs w:val="21"/>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分；简单描述的得1分；没有的不得分。</w:t>
            </w:r>
          </w:p>
        </w:tc>
      </w:tr>
      <w:tr w14:paraId="3269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60DA820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0FC2618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05C19D2A">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1CABD6FB">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功能分区明确，交通组织流畅</w:t>
            </w:r>
          </w:p>
          <w:p w14:paraId="4980BE81">
            <w:pPr>
              <w:spacing w:after="0" w:line="360" w:lineRule="auto"/>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6分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11E3641D">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满足功能分区明确，交通组织流畅的得</w:t>
            </w:r>
            <w:r>
              <w:rPr>
                <w:rFonts w:hint="eastAsia" w:ascii="仿宋" w:hAnsi="仿宋" w:eastAsia="仿宋" w:cs="仿宋"/>
                <w:color w:val="000000" w:themeColor="text1"/>
                <w:szCs w:val="21"/>
                <w:lang w:val="en-US" w:eastAsia="zh-CN"/>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分；基本满足功能分区明确，交通组织流畅的得</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分;简单描述的得1分；没有的不得分。</w:t>
            </w:r>
          </w:p>
        </w:tc>
      </w:tr>
      <w:tr w14:paraId="707C6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71B52ED7">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5D90771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57F34844">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1DDDAC3D">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建筑功能完善，满足使用要求</w:t>
            </w:r>
          </w:p>
          <w:p w14:paraId="58581952">
            <w:pPr>
              <w:spacing w:after="0" w:line="360" w:lineRule="auto"/>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6分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620BB749">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建筑功能完善，</w:t>
            </w:r>
            <w:r>
              <w:rPr>
                <w:rFonts w:hint="eastAsia" w:ascii="仿宋" w:hAnsi="仿宋" w:eastAsia="仿宋" w:cs="仿宋"/>
                <w:color w:val="000000" w:themeColor="text1"/>
                <w:szCs w:val="21"/>
                <w:lang w:eastAsia="zh-CN"/>
                <w14:textFill>
                  <w14:solidFill>
                    <w14:schemeClr w14:val="tx1"/>
                  </w14:solidFill>
                </w14:textFill>
              </w:rPr>
              <w:t>能够</w:t>
            </w:r>
            <w:r>
              <w:rPr>
                <w:rFonts w:hint="eastAsia" w:ascii="仿宋" w:hAnsi="仿宋" w:eastAsia="仿宋" w:cs="仿宋"/>
                <w:color w:val="000000" w:themeColor="text1"/>
                <w:szCs w:val="21"/>
                <w14:textFill>
                  <w14:solidFill>
                    <w14:schemeClr w14:val="tx1"/>
                  </w14:solidFill>
                </w14:textFill>
              </w:rPr>
              <w:t>满足使用要求的得</w:t>
            </w:r>
            <w:r>
              <w:rPr>
                <w:rFonts w:hint="eastAsia" w:ascii="仿宋" w:hAnsi="仿宋" w:eastAsia="仿宋" w:cs="仿宋"/>
                <w:color w:val="000000" w:themeColor="text1"/>
                <w:szCs w:val="21"/>
                <w:lang w:val="en-US" w:eastAsia="zh-CN"/>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分</w:t>
            </w:r>
            <w:r>
              <w:rPr>
                <w:rFonts w:hint="eastAsia" w:ascii="仿宋" w:hAnsi="仿宋" w:eastAsia="仿宋" w:cs="仿宋"/>
                <w:color w:val="000000" w:themeColor="text1"/>
                <w:szCs w:val="21"/>
                <w:lang w:eastAsia="zh-CN"/>
                <w14:textFill>
                  <w14:solidFill>
                    <w14:schemeClr w14:val="tx1"/>
                  </w14:solidFill>
                </w14:textFill>
              </w:rPr>
              <w:t>；建筑功能基本完善，能够满足使用要求的得</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lang w:eastAsia="zh-CN"/>
                <w14:textFill>
                  <w14:solidFill>
                    <w14:schemeClr w14:val="tx1"/>
                  </w14:solidFill>
                </w14:textFill>
              </w:rPr>
              <w:t>分；</w:t>
            </w:r>
            <w:r>
              <w:rPr>
                <w:rFonts w:hint="eastAsia" w:ascii="仿宋" w:hAnsi="仿宋" w:eastAsia="仿宋" w:cs="仿宋"/>
                <w:color w:val="000000" w:themeColor="text1"/>
                <w:szCs w:val="21"/>
                <w14:textFill>
                  <w14:solidFill>
                    <w14:schemeClr w14:val="tx1"/>
                  </w14:solidFill>
                </w14:textFill>
              </w:rPr>
              <w:t>建筑功能</w:t>
            </w:r>
            <w:r>
              <w:rPr>
                <w:rFonts w:hint="eastAsia" w:ascii="仿宋" w:hAnsi="仿宋" w:eastAsia="仿宋" w:cs="仿宋"/>
                <w:color w:val="000000" w:themeColor="text1"/>
                <w:szCs w:val="21"/>
                <w:lang w:eastAsia="zh-CN"/>
                <w14:textFill>
                  <w14:solidFill>
                    <w14:schemeClr w14:val="tx1"/>
                  </w14:solidFill>
                </w14:textFill>
              </w:rPr>
              <w:t>不</w:t>
            </w:r>
            <w:r>
              <w:rPr>
                <w:rFonts w:hint="eastAsia" w:ascii="仿宋" w:hAnsi="仿宋" w:eastAsia="仿宋" w:cs="仿宋"/>
                <w:color w:val="000000" w:themeColor="text1"/>
                <w:szCs w:val="21"/>
                <w14:textFill>
                  <w14:solidFill>
                    <w14:schemeClr w14:val="tx1"/>
                  </w14:solidFill>
                </w14:textFill>
              </w:rPr>
              <w:t>完善，</w:t>
            </w:r>
            <w:r>
              <w:rPr>
                <w:rFonts w:hint="eastAsia" w:ascii="仿宋" w:hAnsi="仿宋" w:eastAsia="仿宋" w:cs="仿宋"/>
                <w:color w:val="000000" w:themeColor="text1"/>
                <w:szCs w:val="21"/>
                <w:lang w:eastAsia="zh-CN"/>
                <w14:textFill>
                  <w14:solidFill>
                    <w14:schemeClr w14:val="tx1"/>
                  </w14:solidFill>
                </w14:textFill>
              </w:rPr>
              <w:t>不</w:t>
            </w:r>
            <w:r>
              <w:rPr>
                <w:rFonts w:hint="eastAsia" w:ascii="仿宋" w:hAnsi="仿宋" w:eastAsia="仿宋" w:cs="仿宋"/>
                <w:color w:val="000000" w:themeColor="text1"/>
                <w:szCs w:val="21"/>
                <w14:textFill>
                  <w14:solidFill>
                    <w14:schemeClr w14:val="tx1"/>
                  </w14:solidFill>
                </w14:textFill>
              </w:rPr>
              <w:t>满足使用要求的得1分；没有的不得分。</w:t>
            </w:r>
          </w:p>
        </w:tc>
      </w:tr>
      <w:tr w14:paraId="6449CD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6D586C2B">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69C4B57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bottom w:val="single" w:color="auto" w:sz="4" w:space="0"/>
              <w:right w:val="single" w:color="auto" w:sz="4" w:space="0"/>
            </w:tcBorders>
            <w:vAlign w:val="center"/>
          </w:tcPr>
          <w:p w14:paraId="2E8BDD9C">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77C33A78">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符合国家现行设计规范及相关建设标准</w:t>
            </w:r>
          </w:p>
          <w:p w14:paraId="54DB999F">
            <w:pPr>
              <w:spacing w:after="0" w:line="360" w:lineRule="auto"/>
              <w:jc w:val="center"/>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6分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33C0E5E2">
            <w:pPr>
              <w:spacing w:line="46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符合国家现行设计规范及相关建设标准得</w:t>
            </w:r>
            <w:r>
              <w:rPr>
                <w:rFonts w:hint="eastAsia" w:ascii="仿宋" w:hAnsi="仿宋" w:eastAsia="仿宋" w:cs="仿宋"/>
                <w:color w:val="000000" w:themeColor="text1"/>
                <w:szCs w:val="21"/>
                <w:lang w:val="en-US" w:eastAsia="zh-CN"/>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分;</w:t>
            </w:r>
            <w:r>
              <w:rPr>
                <w:rFonts w:hint="eastAsia" w:ascii="仿宋" w:hAnsi="仿宋" w:eastAsia="仿宋" w:cs="仿宋"/>
                <w:color w:val="000000" w:themeColor="text1"/>
                <w:szCs w:val="21"/>
                <w:lang w:eastAsia="zh-CN"/>
                <w14:textFill>
                  <w14:solidFill>
                    <w14:schemeClr w14:val="tx1"/>
                  </w14:solidFill>
                </w14:textFill>
              </w:rPr>
              <w:t>基本</w:t>
            </w:r>
            <w:r>
              <w:rPr>
                <w:rFonts w:hint="eastAsia" w:ascii="仿宋" w:hAnsi="仿宋" w:eastAsia="仿宋" w:cs="仿宋"/>
                <w:color w:val="000000" w:themeColor="text1"/>
                <w:szCs w:val="21"/>
                <w14:textFill>
                  <w14:solidFill>
                    <w14:schemeClr w14:val="tx1"/>
                  </w14:solidFill>
                </w14:textFill>
              </w:rPr>
              <w:t>符合国家现行设计规范及相关建设标准得</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分；简单描述的得1分</w:t>
            </w:r>
            <w:r>
              <w:rPr>
                <w:rFonts w:hint="eastAsia" w:ascii="仿宋" w:hAnsi="仿宋" w:eastAsia="仿宋" w:cs="仿宋"/>
                <w:color w:val="000000" w:themeColor="text1"/>
                <w:szCs w:val="21"/>
                <w:lang w:eastAsia="zh-CN"/>
                <w14:textFill>
                  <w14:solidFill>
                    <w14:schemeClr w14:val="tx1"/>
                  </w14:solidFill>
                </w14:textFill>
              </w:rPr>
              <w:t>；不符合</w:t>
            </w:r>
            <w:r>
              <w:rPr>
                <w:rFonts w:hint="eastAsia" w:ascii="仿宋" w:hAnsi="仿宋" w:eastAsia="仿宋" w:cs="仿宋"/>
                <w:color w:val="000000" w:themeColor="text1"/>
                <w:szCs w:val="21"/>
                <w14:textFill>
                  <w14:solidFill>
                    <w14:schemeClr w14:val="tx1"/>
                  </w14:solidFill>
                </w14:textFill>
              </w:rPr>
              <w:t>的不得分。</w:t>
            </w:r>
          </w:p>
        </w:tc>
      </w:tr>
      <w:tr w14:paraId="72720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34D9CF4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0AF6C890">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restart"/>
            <w:tcBorders>
              <w:top w:val="single" w:color="auto" w:sz="4" w:space="0"/>
              <w:left w:val="single" w:color="auto" w:sz="4" w:space="0"/>
              <w:right w:val="single" w:color="auto" w:sz="4" w:space="0"/>
            </w:tcBorders>
            <w:vAlign w:val="center"/>
          </w:tcPr>
          <w:p w14:paraId="55358D44">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建筑艺术性评价</w:t>
            </w:r>
          </w:p>
          <w:p w14:paraId="080B2720">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10</w:t>
            </w:r>
            <w:r>
              <w:rPr>
                <w:rFonts w:hint="eastAsia" w:ascii="仿宋" w:hAnsi="仿宋" w:eastAsia="仿宋" w:cs="仿宋"/>
                <w:color w:val="000000" w:themeColor="text1"/>
                <w:szCs w:val="21"/>
                <w14:textFill>
                  <w14:solidFill>
                    <w14:schemeClr w14:val="tx1"/>
                  </w14:solidFill>
                </w14:textFill>
              </w:rPr>
              <w:t>分）</w:t>
            </w:r>
          </w:p>
        </w:tc>
        <w:tc>
          <w:tcPr>
            <w:tcW w:w="935" w:type="pct"/>
            <w:tcBorders>
              <w:top w:val="single" w:color="auto" w:sz="4" w:space="0"/>
              <w:left w:val="single" w:color="auto" w:sz="4" w:space="0"/>
              <w:bottom w:val="single" w:color="auto" w:sz="4" w:space="0"/>
              <w:right w:val="single" w:color="auto" w:sz="4" w:space="0"/>
            </w:tcBorders>
            <w:vAlign w:val="center"/>
          </w:tcPr>
          <w:p w14:paraId="1D36EA64">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建筑风貌与周边环境协调统一</w:t>
            </w:r>
          </w:p>
          <w:p w14:paraId="76BDD7A8">
            <w:pPr>
              <w:pStyle w:val="9"/>
              <w:jc w:val="center"/>
              <w:rPr>
                <w:rFonts w:hint="eastAsia" w:eastAsia="仿宋"/>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4分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FFF3162">
            <w:pPr>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与周边环境协调景观美化程度高的得</w:t>
            </w:r>
            <w:r>
              <w:rPr>
                <w:rFonts w:hint="eastAsia" w:ascii="仿宋" w:hAnsi="仿宋" w:eastAsia="仿宋" w:cs="仿宋"/>
                <w:color w:val="000000" w:themeColor="text1"/>
                <w:szCs w:val="21"/>
                <w:lang w:val="en-US" w:eastAsia="zh-CN"/>
                <w14:textFill>
                  <w14:solidFill>
                    <w14:schemeClr w14:val="tx1"/>
                  </w14:solidFill>
                </w14:textFill>
              </w:rPr>
              <w:t>4</w:t>
            </w:r>
            <w:r>
              <w:rPr>
                <w:rFonts w:hint="eastAsia" w:ascii="仿宋" w:hAnsi="仿宋" w:eastAsia="仿宋" w:cs="仿宋"/>
                <w:color w:val="000000" w:themeColor="text1"/>
                <w:szCs w:val="21"/>
                <w14:textFill>
                  <w14:solidFill>
                    <w14:schemeClr w14:val="tx1"/>
                  </w14:solidFill>
                </w14:textFill>
              </w:rPr>
              <w:t>分</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与周边环境协调景观美化程度适中得2分；与周边环境协调景观美化程度低的得1分；没有的不得分</w:t>
            </w:r>
            <w:r>
              <w:rPr>
                <w:rFonts w:hint="eastAsia" w:ascii="仿宋" w:hAnsi="仿宋" w:eastAsia="仿宋" w:cs="仿宋"/>
                <w:color w:val="000000" w:themeColor="text1"/>
                <w:szCs w:val="21"/>
                <w:lang w:eastAsia="zh-CN"/>
                <w14:textFill>
                  <w14:solidFill>
                    <w14:schemeClr w14:val="tx1"/>
                  </w14:solidFill>
                </w14:textFill>
              </w:rPr>
              <w:t>。</w:t>
            </w:r>
          </w:p>
        </w:tc>
      </w:tr>
      <w:tr w14:paraId="1BF055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4AB3ABA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777A193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6F2AFE4A">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53428B34">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建筑立面与建筑功能性质吻合</w:t>
            </w:r>
          </w:p>
          <w:p w14:paraId="35846C4E">
            <w:pPr>
              <w:pStyle w:val="9"/>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3分</w:t>
            </w:r>
            <w:r>
              <w:rPr>
                <w:rFonts w:hint="eastAsia"/>
                <w:color w:val="000000" w:themeColor="text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1EC7BA94">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建筑立面与建筑功能性质吻合</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3分；建筑立面功能与建筑功能性质基本吻合的得2分；建筑立面功能与建筑功能性质不吻合的得1分，没有不得分。</w:t>
            </w:r>
          </w:p>
        </w:tc>
      </w:tr>
      <w:tr w14:paraId="18D4F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63FAC2B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6D3EA2FE">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bottom w:val="single" w:color="auto" w:sz="4" w:space="0"/>
              <w:right w:val="single" w:color="auto" w:sz="4" w:space="0"/>
            </w:tcBorders>
            <w:vAlign w:val="center"/>
          </w:tcPr>
          <w:p w14:paraId="22CC2B2F">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0B98D180">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建筑造型具有一定的艺术特色</w:t>
            </w:r>
          </w:p>
          <w:p w14:paraId="7A28EC81">
            <w:pPr>
              <w:pStyle w:val="9"/>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3分</w:t>
            </w:r>
            <w:r>
              <w:rPr>
                <w:rFonts w:hint="eastAsia"/>
                <w:color w:val="000000" w:themeColor="text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21477FFF">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建筑造型具有一定的艺术特色的得</w:t>
            </w:r>
            <w:r>
              <w:rPr>
                <w:rFonts w:hint="eastAsia" w:ascii="仿宋" w:hAnsi="仿宋" w:eastAsia="仿宋" w:cs="仿宋"/>
                <w:color w:val="000000" w:themeColor="text1"/>
                <w:szCs w:val="21"/>
                <w:lang w:val="en-US" w:eastAsia="zh-CN"/>
                <w14:textFill>
                  <w14:solidFill>
                    <w14:schemeClr w14:val="tx1"/>
                  </w14:solidFill>
                </w14:textFill>
              </w:rPr>
              <w:t>3分，建筑造型中规中矩的得2分，建筑造型没有艺术特色的得1分。</w:t>
            </w:r>
          </w:p>
        </w:tc>
      </w:tr>
      <w:tr w14:paraId="68482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5F477E0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30FEECC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restart"/>
            <w:tcBorders>
              <w:left w:val="single" w:color="auto" w:sz="4" w:space="0"/>
              <w:bottom w:val="single" w:color="auto" w:sz="4" w:space="0"/>
              <w:right w:val="single" w:color="auto" w:sz="4" w:space="0"/>
            </w:tcBorders>
            <w:vAlign w:val="center"/>
          </w:tcPr>
          <w:p w14:paraId="51F92CA3">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工程经济性评价（10分）</w:t>
            </w:r>
          </w:p>
        </w:tc>
        <w:tc>
          <w:tcPr>
            <w:tcW w:w="935" w:type="pct"/>
            <w:tcBorders>
              <w:top w:val="single" w:color="auto" w:sz="4" w:space="0"/>
              <w:left w:val="single" w:color="auto" w:sz="4" w:space="0"/>
              <w:bottom w:val="single" w:color="auto" w:sz="4" w:space="0"/>
              <w:right w:val="single" w:color="auto" w:sz="4" w:space="0"/>
            </w:tcBorders>
            <w:vAlign w:val="center"/>
          </w:tcPr>
          <w:p w14:paraId="6A4B7DC3">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有效控制工程造价，结构选型科学合理</w:t>
            </w:r>
          </w:p>
          <w:p w14:paraId="27D5F06D">
            <w:pPr>
              <w:spacing w:after="0" w:line="360" w:lineRule="auto"/>
              <w:jc w:val="center"/>
              <w:rPr>
                <w:rFonts w:hint="eastAsia"/>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4分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327DFF2">
            <w:pPr>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有效控制工程造价，结构选型科学合理的得</w:t>
            </w:r>
            <w:r>
              <w:rPr>
                <w:rFonts w:hint="eastAsia" w:ascii="仿宋" w:hAnsi="仿宋" w:eastAsia="仿宋" w:cs="仿宋"/>
                <w:color w:val="000000" w:themeColor="text1"/>
                <w:szCs w:val="21"/>
                <w:lang w:val="en-US" w:eastAsia="zh-CN"/>
                <w14:textFill>
                  <w14:solidFill>
                    <w14:schemeClr w14:val="tx1"/>
                  </w14:solidFill>
                </w14:textFill>
              </w:rPr>
              <w:t>4</w:t>
            </w:r>
            <w:r>
              <w:rPr>
                <w:rFonts w:hint="eastAsia" w:ascii="仿宋" w:hAnsi="仿宋" w:eastAsia="仿宋" w:cs="仿宋"/>
                <w:color w:val="000000" w:themeColor="text1"/>
                <w:szCs w:val="21"/>
                <w14:textFill>
                  <w14:solidFill>
                    <w14:schemeClr w14:val="tx1"/>
                  </w14:solidFill>
                </w14:textFill>
              </w:rPr>
              <w:t>分；有效控制工程造价，结构选型</w:t>
            </w:r>
            <w:r>
              <w:rPr>
                <w:rFonts w:hint="eastAsia" w:ascii="仿宋" w:hAnsi="仿宋" w:eastAsia="仿宋" w:cs="仿宋"/>
                <w:color w:val="000000" w:themeColor="text1"/>
                <w:szCs w:val="21"/>
                <w:lang w:eastAsia="zh-CN"/>
                <w14:textFill>
                  <w14:solidFill>
                    <w14:schemeClr w14:val="tx1"/>
                  </w14:solidFill>
                </w14:textFill>
              </w:rPr>
              <w:t>基本</w:t>
            </w:r>
            <w:r>
              <w:rPr>
                <w:rFonts w:hint="eastAsia" w:ascii="仿宋" w:hAnsi="仿宋" w:eastAsia="仿宋" w:cs="仿宋"/>
                <w:color w:val="000000" w:themeColor="text1"/>
                <w:szCs w:val="21"/>
                <w14:textFill>
                  <w14:solidFill>
                    <w14:schemeClr w14:val="tx1"/>
                  </w14:solidFill>
                </w14:textFill>
              </w:rPr>
              <w:t>科学合理的得2分；简单描述的得1分；没有的不得分。</w:t>
            </w:r>
          </w:p>
        </w:tc>
      </w:tr>
      <w:tr w14:paraId="67D4E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2BE87E6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00D3EB5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bottom w:val="single" w:color="auto" w:sz="4" w:space="0"/>
              <w:right w:val="single" w:color="auto" w:sz="4" w:space="0"/>
            </w:tcBorders>
            <w:vAlign w:val="center"/>
          </w:tcPr>
          <w:p w14:paraId="65F7CBE2">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065DA3D2">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建筑材料及建筑设备应用恰当</w:t>
            </w:r>
          </w:p>
          <w:p w14:paraId="5B3EA36C">
            <w:pPr>
              <w:spacing w:after="0" w:line="360" w:lineRule="auto"/>
              <w:jc w:val="center"/>
              <w:rPr>
                <w:rFonts w:hint="eastAsia"/>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3分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3A226694">
            <w:pPr>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建筑材料及建筑设备应用恰当的得3分；建筑材料及建筑设备应用</w:t>
            </w:r>
            <w:r>
              <w:rPr>
                <w:rFonts w:hint="eastAsia" w:ascii="仿宋" w:hAnsi="仿宋" w:eastAsia="仿宋" w:cs="仿宋"/>
                <w:color w:val="000000" w:themeColor="text1"/>
                <w:szCs w:val="21"/>
                <w:lang w:eastAsia="zh-CN"/>
                <w14:textFill>
                  <w14:solidFill>
                    <w14:schemeClr w14:val="tx1"/>
                  </w14:solidFill>
                </w14:textFill>
              </w:rPr>
              <w:t>基本</w:t>
            </w:r>
            <w:r>
              <w:rPr>
                <w:rFonts w:hint="eastAsia" w:ascii="仿宋" w:hAnsi="仿宋" w:eastAsia="仿宋" w:cs="仿宋"/>
                <w:color w:val="000000" w:themeColor="text1"/>
                <w:szCs w:val="21"/>
                <w14:textFill>
                  <w14:solidFill>
                    <w14:schemeClr w14:val="tx1"/>
                  </w14:solidFill>
                </w14:textFill>
              </w:rPr>
              <w:t>恰当的得2分；简单描述的得1分；没有的不得分。</w:t>
            </w:r>
          </w:p>
        </w:tc>
      </w:tr>
      <w:tr w14:paraId="1F9C49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5BC46B3A">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3C9BEA4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bottom w:val="single" w:color="auto" w:sz="4" w:space="0"/>
              <w:right w:val="single" w:color="auto" w:sz="4" w:space="0"/>
            </w:tcBorders>
            <w:vAlign w:val="center"/>
          </w:tcPr>
          <w:p w14:paraId="79B3EFA9">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08707CC5">
            <w:pPr>
              <w:spacing w:after="0" w:line="360" w:lineRule="auto"/>
              <w:jc w:val="center"/>
              <w:rPr>
                <w:rFonts w:hint="eastAsia"/>
                <w:color w:val="000000" w:themeColor="text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建设、运营成本合理集约，绿色节能</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3分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63F30485">
            <w:pPr>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建设、运营成本合理集约，</w:t>
            </w:r>
            <w:r>
              <w:rPr>
                <w:rFonts w:hint="eastAsia" w:ascii="仿宋" w:hAnsi="仿宋" w:eastAsia="仿宋" w:cs="仿宋"/>
                <w:color w:val="000000" w:themeColor="text1"/>
                <w:szCs w:val="21"/>
                <w:lang w:eastAsia="zh-CN"/>
                <w14:textFill>
                  <w14:solidFill>
                    <w14:schemeClr w14:val="tx1"/>
                  </w14:solidFill>
                </w14:textFill>
              </w:rPr>
              <w:t>满足</w:t>
            </w:r>
            <w:r>
              <w:rPr>
                <w:rFonts w:hint="eastAsia" w:ascii="仿宋" w:hAnsi="仿宋" w:eastAsia="仿宋" w:cs="仿宋"/>
                <w:color w:val="000000" w:themeColor="text1"/>
                <w:szCs w:val="21"/>
                <w14:textFill>
                  <w14:solidFill>
                    <w14:schemeClr w14:val="tx1"/>
                  </w14:solidFill>
                </w14:textFill>
              </w:rPr>
              <w:t>绿色节能的得</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分；建设、运营成本</w:t>
            </w:r>
            <w:r>
              <w:rPr>
                <w:rFonts w:hint="eastAsia" w:ascii="仿宋" w:hAnsi="仿宋" w:eastAsia="仿宋" w:cs="仿宋"/>
                <w:color w:val="000000" w:themeColor="text1"/>
                <w:szCs w:val="21"/>
                <w:lang w:eastAsia="zh-CN"/>
                <w14:textFill>
                  <w14:solidFill>
                    <w14:schemeClr w14:val="tx1"/>
                  </w14:solidFill>
                </w14:textFill>
              </w:rPr>
              <w:t>基本</w:t>
            </w:r>
            <w:r>
              <w:rPr>
                <w:rFonts w:hint="eastAsia" w:ascii="仿宋" w:hAnsi="仿宋" w:eastAsia="仿宋" w:cs="仿宋"/>
                <w:color w:val="000000" w:themeColor="text1"/>
                <w:szCs w:val="21"/>
                <w14:textFill>
                  <w14:solidFill>
                    <w14:schemeClr w14:val="tx1"/>
                  </w14:solidFill>
                </w14:textFill>
              </w:rPr>
              <w:t>合理集约，</w:t>
            </w:r>
            <w:r>
              <w:rPr>
                <w:rFonts w:hint="eastAsia" w:ascii="仿宋" w:hAnsi="仿宋" w:eastAsia="仿宋" w:cs="仿宋"/>
                <w:color w:val="000000" w:themeColor="text1"/>
                <w:szCs w:val="21"/>
                <w:lang w:eastAsia="zh-CN"/>
                <w14:textFill>
                  <w14:solidFill>
                    <w14:schemeClr w14:val="tx1"/>
                  </w14:solidFill>
                </w14:textFill>
              </w:rPr>
              <w:t>基本</w:t>
            </w:r>
            <w:r>
              <w:rPr>
                <w:rFonts w:hint="eastAsia" w:ascii="仿宋" w:hAnsi="仿宋" w:eastAsia="仿宋" w:cs="仿宋"/>
                <w:color w:val="000000" w:themeColor="text1"/>
                <w:szCs w:val="21"/>
                <w14:textFill>
                  <w14:solidFill>
                    <w14:schemeClr w14:val="tx1"/>
                  </w14:solidFill>
                </w14:textFill>
              </w:rPr>
              <w:t>满足绿色节能的得</w:t>
            </w:r>
            <w:r>
              <w:rPr>
                <w:rFonts w:hint="eastAsia" w:ascii="仿宋" w:hAnsi="仿宋" w:eastAsia="仿宋" w:cs="仿宋"/>
                <w:color w:val="000000" w:themeColor="text1"/>
                <w:szCs w:val="21"/>
                <w:lang w:val="en-US" w:eastAsia="zh-CN"/>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分；建设、运营成本</w:t>
            </w:r>
            <w:r>
              <w:rPr>
                <w:rFonts w:hint="eastAsia" w:ascii="仿宋" w:hAnsi="仿宋" w:eastAsia="仿宋" w:cs="仿宋"/>
                <w:color w:val="000000" w:themeColor="text1"/>
                <w:szCs w:val="21"/>
                <w:lang w:eastAsia="zh-CN"/>
                <w14:textFill>
                  <w14:solidFill>
                    <w14:schemeClr w14:val="tx1"/>
                  </w14:solidFill>
                </w14:textFill>
              </w:rPr>
              <w:t>不</w:t>
            </w:r>
            <w:r>
              <w:rPr>
                <w:rFonts w:hint="eastAsia" w:ascii="仿宋" w:hAnsi="仿宋" w:eastAsia="仿宋" w:cs="仿宋"/>
                <w:color w:val="000000" w:themeColor="text1"/>
                <w:szCs w:val="21"/>
                <w14:textFill>
                  <w14:solidFill>
                    <w14:schemeClr w14:val="tx1"/>
                  </w14:solidFill>
                </w14:textFill>
              </w:rPr>
              <w:t>合理集约，</w:t>
            </w:r>
            <w:r>
              <w:rPr>
                <w:rFonts w:hint="eastAsia" w:ascii="仿宋" w:hAnsi="仿宋" w:eastAsia="仿宋" w:cs="仿宋"/>
                <w:color w:val="000000" w:themeColor="text1"/>
                <w:szCs w:val="21"/>
                <w:lang w:eastAsia="zh-CN"/>
                <w14:textFill>
                  <w14:solidFill>
                    <w14:schemeClr w14:val="tx1"/>
                  </w14:solidFill>
                </w14:textFill>
              </w:rPr>
              <w:t>不</w:t>
            </w:r>
            <w:r>
              <w:rPr>
                <w:rFonts w:hint="eastAsia" w:ascii="仿宋" w:hAnsi="仿宋" w:eastAsia="仿宋" w:cs="仿宋"/>
                <w:color w:val="000000" w:themeColor="text1"/>
                <w:szCs w:val="21"/>
                <w14:textFill>
                  <w14:solidFill>
                    <w14:schemeClr w14:val="tx1"/>
                  </w14:solidFill>
                </w14:textFill>
              </w:rPr>
              <w:t>满足绿色节能的得</w:t>
            </w:r>
            <w:r>
              <w:rPr>
                <w:rFonts w:hint="eastAsia" w:ascii="仿宋" w:hAnsi="仿宋" w:eastAsia="仿宋" w:cs="仿宋"/>
                <w:color w:val="000000" w:themeColor="text1"/>
                <w:szCs w:val="21"/>
                <w:lang w:val="en-US" w:eastAsia="zh-C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分</w:t>
            </w: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14:textFill>
                  <w14:solidFill>
                    <w14:schemeClr w14:val="tx1"/>
                  </w14:solidFill>
                </w14:textFill>
              </w:rPr>
              <w:t>没有不得分。</w:t>
            </w:r>
          </w:p>
        </w:tc>
      </w:tr>
      <w:tr w14:paraId="71B8E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061F770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23522047">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tcBorders>
              <w:left w:val="single" w:color="auto" w:sz="4" w:space="0"/>
              <w:bottom w:val="single" w:color="auto" w:sz="4" w:space="0"/>
              <w:right w:val="single" w:color="auto" w:sz="4" w:space="0"/>
            </w:tcBorders>
            <w:vAlign w:val="center"/>
          </w:tcPr>
          <w:p w14:paraId="1248FE12">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科技创新性评价</w:t>
            </w:r>
          </w:p>
          <w:p w14:paraId="6C7CEBD9">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分）</w:t>
            </w:r>
          </w:p>
        </w:tc>
        <w:tc>
          <w:tcPr>
            <w:tcW w:w="935" w:type="pct"/>
            <w:tcBorders>
              <w:top w:val="single" w:color="auto" w:sz="4" w:space="0"/>
              <w:left w:val="single" w:color="auto" w:sz="4" w:space="0"/>
              <w:bottom w:val="single" w:color="auto" w:sz="4" w:space="0"/>
              <w:right w:val="single" w:color="auto" w:sz="4" w:space="0"/>
            </w:tcBorders>
            <w:vAlign w:val="center"/>
          </w:tcPr>
          <w:p w14:paraId="2A548120">
            <w:pPr>
              <w:spacing w:after="0" w:line="360" w:lineRule="auto"/>
              <w:jc w:val="center"/>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合理采用先进成熟的新工艺、新材料、新技术、新产品</w:t>
            </w:r>
          </w:p>
          <w:p w14:paraId="299010C5">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（3分）</w:t>
            </w:r>
          </w:p>
        </w:tc>
        <w:tc>
          <w:tcPr>
            <w:tcW w:w="2664" w:type="pct"/>
            <w:tcBorders>
              <w:top w:val="single" w:color="auto" w:sz="4" w:space="0"/>
              <w:left w:val="single" w:color="auto" w:sz="4" w:space="0"/>
              <w:bottom w:val="single" w:color="auto" w:sz="4" w:space="0"/>
              <w:right w:val="single" w:color="auto" w:sz="4" w:space="0"/>
            </w:tcBorders>
            <w:vAlign w:val="center"/>
          </w:tcPr>
          <w:p w14:paraId="63C818C6">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合理采用先进成熟的新工艺、新材料、新技术、新产品</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3分，部分合理采用先进成熟的新工艺、新材料、新技术、新产品的得1分，未采用先进成熟的新工艺、新材料、新技术、新产品的不得分。</w:t>
            </w:r>
          </w:p>
        </w:tc>
      </w:tr>
      <w:tr w14:paraId="3F5F2F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6D31FD8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17ABDAC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restart"/>
            <w:tcBorders>
              <w:top w:val="single" w:color="auto" w:sz="4" w:space="0"/>
              <w:left w:val="single" w:color="auto" w:sz="4" w:space="0"/>
              <w:right w:val="single" w:color="auto" w:sz="4" w:space="0"/>
            </w:tcBorders>
            <w:vAlign w:val="center"/>
          </w:tcPr>
          <w:p w14:paraId="42F0DC91">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其它评价（</w:t>
            </w:r>
            <w:r>
              <w:rPr>
                <w:rFonts w:hint="eastAsia" w:ascii="仿宋" w:hAnsi="仿宋" w:eastAsia="仿宋" w:cs="仿宋"/>
                <w:color w:val="000000" w:themeColor="text1"/>
                <w:szCs w:val="21"/>
                <w:lang w:val="en-US" w:eastAsia="zh-CN"/>
                <w14:textFill>
                  <w14:solidFill>
                    <w14:schemeClr w14:val="tx1"/>
                  </w14:solidFill>
                </w14:textFill>
              </w:rPr>
              <w:t>12</w:t>
            </w:r>
            <w:r>
              <w:rPr>
                <w:rFonts w:hint="eastAsia" w:ascii="仿宋" w:hAnsi="仿宋" w:eastAsia="仿宋" w:cs="仿宋"/>
                <w:color w:val="000000" w:themeColor="text1"/>
                <w:szCs w:val="21"/>
                <w14:textFill>
                  <w14:solidFill>
                    <w14:schemeClr w14:val="tx1"/>
                  </w14:solidFill>
                </w14:textFill>
              </w:rPr>
              <w:t>分）</w:t>
            </w:r>
          </w:p>
        </w:tc>
        <w:tc>
          <w:tcPr>
            <w:tcW w:w="935" w:type="pct"/>
            <w:tcBorders>
              <w:top w:val="single" w:color="auto" w:sz="4" w:space="0"/>
              <w:left w:val="single" w:color="auto" w:sz="4" w:space="0"/>
              <w:bottom w:val="single" w:color="auto" w:sz="4" w:space="0"/>
              <w:right w:val="single" w:color="auto" w:sz="4" w:space="0"/>
            </w:tcBorders>
            <w:vAlign w:val="center"/>
          </w:tcPr>
          <w:p w14:paraId="4F5F9AE2">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设计文件完整，包括整体鸟瞰图、单体效果图、总平面图等，设计文件深度达到国家相关规范要求等</w:t>
            </w:r>
          </w:p>
          <w:p w14:paraId="3B7DB7BC">
            <w:pPr>
              <w:pStyle w:val="9"/>
              <w:jc w:val="center"/>
              <w:rPr>
                <w:rFonts w:hint="eastAsia" w:eastAsia="仿宋"/>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5分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3D275908">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设计文件完整，包括整体鸟瞰图、单体效果图、总平面图、单体建筑平面图、立面图、剖面图等，设计文件深度达到国家相关规范要求等</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5分；设计文件完整，包括整体鸟瞰图、单体效果图、总平面图、单体建筑平面图、立面图、剖面图等，设计文件深度基本达到国家相关规范要求等的得2分；设计文件不完整，简单描述的得1分；没有不得分。</w:t>
            </w:r>
          </w:p>
        </w:tc>
      </w:tr>
      <w:tr w14:paraId="10B89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0DDC2DBD">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355A0A52">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480CA5B5">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0E22F4EA">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设计进度安排合理</w:t>
            </w:r>
          </w:p>
          <w:p w14:paraId="7833D038">
            <w:pPr>
              <w:pStyle w:val="9"/>
              <w:jc w:val="center"/>
              <w:rPr>
                <w:rFonts w:hint="eastAsia" w:eastAsia="仿宋"/>
                <w:color w:val="000000" w:themeColor="text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w:t>
            </w:r>
            <w:r>
              <w:rPr>
                <w:rFonts w:hint="eastAsia" w:ascii="仿宋" w:hAnsi="仿宋" w:eastAsia="仿宋" w:cs="仿宋"/>
                <w:color w:val="000000" w:themeColor="text1"/>
                <w:szCs w:val="21"/>
                <w:lang w:val="en-US" w:eastAsia="zh-CN"/>
                <w14:textFill>
                  <w14:solidFill>
                    <w14:schemeClr w14:val="tx1"/>
                  </w14:solidFill>
                </w14:textFill>
              </w:rPr>
              <w:t>4分</w:t>
            </w:r>
            <w:r>
              <w:rPr>
                <w:rFonts w:hint="eastAsia" w:ascii="仿宋" w:hAnsi="仿宋" w:eastAsia="仿宋" w:cs="仿宋"/>
                <w:color w:val="000000" w:themeColor="text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6CFD1F41">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设计进度安排合理</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4分；设计进度安排基本合理的得2分；设计进度安排不合理得1分；没有不得分。</w:t>
            </w:r>
          </w:p>
        </w:tc>
      </w:tr>
      <w:tr w14:paraId="2CF96E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right w:val="single" w:color="auto" w:sz="4" w:space="0"/>
            </w:tcBorders>
            <w:vAlign w:val="center"/>
          </w:tcPr>
          <w:p w14:paraId="20E18AE8">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right w:val="single" w:color="auto" w:sz="4" w:space="0"/>
            </w:tcBorders>
            <w:vAlign w:val="center"/>
          </w:tcPr>
          <w:p w14:paraId="77485821">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right w:val="single" w:color="auto" w:sz="4" w:space="0"/>
            </w:tcBorders>
            <w:vAlign w:val="center"/>
          </w:tcPr>
          <w:p w14:paraId="78D28551">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14B0BA71">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设计人的服务承诺内容及措施，包括服务保证、问题处理、投资控制等</w:t>
            </w:r>
          </w:p>
          <w:p w14:paraId="5FACBE32">
            <w:pPr>
              <w:pStyle w:val="9"/>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2分</w:t>
            </w:r>
            <w:r>
              <w:rPr>
                <w:rFonts w:hint="eastAsia"/>
                <w:color w:val="000000" w:themeColor="text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A52C7A2">
            <w:pPr>
              <w:spacing w:after="0" w:line="360" w:lineRule="auto"/>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设计人的服务承诺内容及措施，包括服务保证、问题处理、投资控制等</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2分，没有不得分。（提供书面承诺并加盖公章）</w:t>
            </w:r>
          </w:p>
        </w:tc>
      </w:tr>
      <w:tr w14:paraId="0A8E2E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bottom w:val="single" w:color="auto" w:sz="4" w:space="0"/>
              <w:right w:val="single" w:color="auto" w:sz="4" w:space="0"/>
            </w:tcBorders>
            <w:vAlign w:val="center"/>
          </w:tcPr>
          <w:p w14:paraId="50B55D1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bottom w:val="single" w:color="auto" w:sz="4" w:space="0"/>
              <w:right w:val="single" w:color="auto" w:sz="4" w:space="0"/>
            </w:tcBorders>
            <w:vAlign w:val="center"/>
          </w:tcPr>
          <w:p w14:paraId="7D63F459">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557" w:type="pct"/>
            <w:vMerge w:val="continue"/>
            <w:tcBorders>
              <w:left w:val="single" w:color="auto" w:sz="4" w:space="0"/>
              <w:bottom w:val="single" w:color="auto" w:sz="4" w:space="0"/>
              <w:right w:val="single" w:color="auto" w:sz="4" w:space="0"/>
            </w:tcBorders>
            <w:vAlign w:val="center"/>
          </w:tcPr>
          <w:p w14:paraId="5F676BDC">
            <w:pPr>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935" w:type="pct"/>
            <w:tcBorders>
              <w:top w:val="single" w:color="auto" w:sz="4" w:space="0"/>
              <w:left w:val="single" w:color="auto" w:sz="4" w:space="0"/>
              <w:bottom w:val="single" w:color="auto" w:sz="4" w:space="0"/>
              <w:right w:val="single" w:color="auto" w:sz="4" w:space="0"/>
            </w:tcBorders>
            <w:vAlign w:val="center"/>
          </w:tcPr>
          <w:p w14:paraId="1E205056">
            <w:pPr>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设计质量承诺等情况</w:t>
            </w:r>
          </w:p>
          <w:p w14:paraId="70F9271B">
            <w:pPr>
              <w:pStyle w:val="9"/>
              <w:jc w:val="cente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1分</w:t>
            </w:r>
            <w:r>
              <w:rPr>
                <w:rFonts w:hint="eastAsia"/>
                <w:color w:val="000000" w:themeColor="text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75B142A">
            <w:pPr>
              <w:spacing w:after="0" w:line="360" w:lineRule="auto"/>
              <w:rPr>
                <w:rFonts w:hint="eastAsia" w:ascii="仿宋" w:hAnsi="仿宋" w:eastAsia="仿宋" w:cs="仿宋"/>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提供</w:t>
            </w:r>
            <w:r>
              <w:rPr>
                <w:rFonts w:hint="eastAsia" w:ascii="仿宋" w:hAnsi="仿宋" w:eastAsia="仿宋" w:cs="仿宋"/>
                <w:color w:val="000000" w:themeColor="text1"/>
                <w:szCs w:val="21"/>
                <w14:textFill>
                  <w14:solidFill>
                    <w14:schemeClr w14:val="tx1"/>
                  </w14:solidFill>
                </w14:textFill>
              </w:rPr>
              <w:t>设计质量承诺等情况</w:t>
            </w:r>
            <w:r>
              <w:rPr>
                <w:rFonts w:hint="eastAsia" w:ascii="仿宋" w:hAnsi="仿宋" w:eastAsia="仿宋" w:cs="仿宋"/>
                <w:color w:val="000000" w:themeColor="text1"/>
                <w:szCs w:val="21"/>
                <w:lang w:eastAsia="zh-CN"/>
                <w14:textFill>
                  <w14:solidFill>
                    <w14:schemeClr w14:val="tx1"/>
                  </w14:solidFill>
                </w14:textFill>
              </w:rPr>
              <w:t>的得</w:t>
            </w:r>
            <w:r>
              <w:rPr>
                <w:rFonts w:hint="eastAsia" w:ascii="仿宋" w:hAnsi="仿宋" w:eastAsia="仿宋" w:cs="仿宋"/>
                <w:color w:val="000000" w:themeColor="text1"/>
                <w:szCs w:val="21"/>
                <w:lang w:val="en-US" w:eastAsia="zh-CN"/>
                <w14:textFill>
                  <w14:solidFill>
                    <w14:schemeClr w14:val="tx1"/>
                  </w14:solidFill>
                </w14:textFill>
              </w:rPr>
              <w:t>1分</w:t>
            </w:r>
            <w:r>
              <w:rPr>
                <w:rFonts w:hint="eastAsia" w:ascii="仿宋" w:hAnsi="仿宋" w:eastAsia="仿宋" w:cs="仿宋"/>
                <w:color w:val="000000" w:themeColor="text1"/>
                <w:szCs w:val="21"/>
                <w:lang w:eastAsia="zh-CN"/>
                <w14:textFill>
                  <w14:solidFill>
                    <w14:schemeClr w14:val="tx1"/>
                  </w14:solidFill>
                </w14:textFill>
              </w:rPr>
              <w:t>，没有不得分。（提供书面承诺并加盖公章）</w:t>
            </w:r>
          </w:p>
        </w:tc>
      </w:tr>
      <w:tr w14:paraId="6E9D0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restart"/>
            <w:tcBorders>
              <w:top w:val="single" w:color="auto" w:sz="4" w:space="0"/>
              <w:bottom w:val="single" w:color="auto" w:sz="4" w:space="0"/>
              <w:right w:val="single" w:color="auto" w:sz="4" w:space="0"/>
            </w:tcBorders>
            <w:vAlign w:val="center"/>
          </w:tcPr>
          <w:p w14:paraId="7A7B47F3">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w:t>
            </w:r>
          </w:p>
          <w:p w14:paraId="7795EF56">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477" w:type="pct"/>
            <w:vMerge w:val="restart"/>
            <w:tcBorders>
              <w:top w:val="single" w:color="auto" w:sz="4" w:space="0"/>
              <w:left w:val="single" w:color="auto" w:sz="4" w:space="0"/>
              <w:bottom w:val="single" w:color="auto" w:sz="4" w:space="0"/>
              <w:right w:val="single" w:color="auto" w:sz="4" w:space="0"/>
            </w:tcBorders>
            <w:vAlign w:val="center"/>
          </w:tcPr>
          <w:p w14:paraId="3B1AD90B">
            <w:pPr>
              <w:pStyle w:val="41"/>
              <w:adjustRightInd/>
              <w:spacing w:line="360" w:lineRule="auto"/>
              <w:jc w:val="center"/>
              <w:rPr>
                <w:rFonts w:hint="eastAsia" w:ascii="仿宋" w:hAnsi="仿宋" w:eastAsia="仿宋" w:cs="仿宋"/>
                <w:color w:val="000000" w:themeColor="text1"/>
                <w:kern w:val="2"/>
                <w:sz w:val="21"/>
                <w:szCs w:val="21"/>
                <w14:textFill>
                  <w14:solidFill>
                    <w14:schemeClr w14:val="tx1"/>
                  </w14:solidFill>
                </w14:textFill>
              </w:rPr>
            </w:pPr>
            <w:r>
              <w:rPr>
                <w:rFonts w:hint="eastAsia" w:ascii="仿宋" w:hAnsi="仿宋" w:eastAsia="仿宋" w:cs="仿宋"/>
                <w:color w:val="000000" w:themeColor="text1"/>
                <w:kern w:val="2"/>
                <w:sz w:val="21"/>
                <w:szCs w:val="21"/>
                <w:lang w:eastAsia="zh-CN"/>
                <w14:textFill>
                  <w14:solidFill>
                    <w14:schemeClr w14:val="tx1"/>
                  </w14:solidFill>
                </w14:textFill>
              </w:rPr>
              <w:t>综合标</w:t>
            </w:r>
            <w:r>
              <w:rPr>
                <w:rFonts w:hint="eastAsia" w:ascii="仿宋" w:hAnsi="仿宋" w:eastAsia="仿宋" w:cs="仿宋"/>
                <w:color w:val="000000" w:themeColor="text1"/>
                <w:kern w:val="2"/>
                <w:sz w:val="21"/>
                <w:szCs w:val="21"/>
                <w14:textFill>
                  <w14:solidFill>
                    <w14:schemeClr w14:val="tx1"/>
                  </w14:solidFill>
                </w14:textFill>
              </w:rPr>
              <w:t>评分标准（</w:t>
            </w:r>
            <w:r>
              <w:rPr>
                <w:rFonts w:hint="eastAsia" w:ascii="仿宋" w:hAnsi="仿宋" w:eastAsia="仿宋" w:cs="仿宋"/>
                <w:color w:val="000000" w:themeColor="text1"/>
                <w:kern w:val="2"/>
                <w:sz w:val="21"/>
                <w:szCs w:val="21"/>
                <w:lang w:val="en-US" w:eastAsia="zh-CN"/>
                <w14:textFill>
                  <w14:solidFill>
                    <w14:schemeClr w14:val="tx1"/>
                  </w14:solidFill>
                </w14:textFill>
              </w:rPr>
              <w:t>15</w:t>
            </w:r>
            <w:r>
              <w:rPr>
                <w:rFonts w:hint="eastAsia" w:ascii="仿宋" w:hAnsi="仿宋" w:eastAsia="仿宋" w:cs="仿宋"/>
                <w:color w:val="000000" w:themeColor="text1"/>
                <w:kern w:val="2"/>
                <w:sz w:val="21"/>
                <w:szCs w:val="21"/>
                <w14:textFill>
                  <w14:solidFill>
                    <w14:schemeClr w14:val="tx1"/>
                  </w14:solidFill>
                </w14:textFill>
              </w:rPr>
              <w:t>分）</w:t>
            </w:r>
          </w:p>
        </w:tc>
        <w:tc>
          <w:tcPr>
            <w:tcW w:w="557" w:type="pct"/>
            <w:tcBorders>
              <w:top w:val="single" w:color="auto" w:sz="4" w:space="0"/>
              <w:left w:val="single" w:color="auto" w:sz="4" w:space="0"/>
              <w:bottom w:val="single" w:color="auto" w:sz="4" w:space="0"/>
              <w:right w:val="single" w:color="auto" w:sz="4" w:space="0"/>
            </w:tcBorders>
            <w:vAlign w:val="center"/>
          </w:tcPr>
          <w:p w14:paraId="136BCD99">
            <w:pPr>
              <w:pStyle w:val="48"/>
              <w:tabs>
                <w:tab w:val="left" w:pos="708"/>
              </w:tabs>
              <w:spacing w:line="360" w:lineRule="auto"/>
              <w:jc w:val="center"/>
              <w:rPr>
                <w:rFonts w:ascii="仿宋" w:hAnsi="仿宋" w:eastAsia="仿宋" w:cs="仿宋"/>
                <w:color w:val="000000" w:themeColor="text1"/>
                <w:sz w:val="21"/>
                <w:szCs w:val="21"/>
                <w14:textFill>
                  <w14:solidFill>
                    <w14:schemeClr w14:val="tx1"/>
                  </w14:solidFill>
                </w14:textFill>
              </w:rPr>
            </w:pPr>
            <w:r>
              <w:rPr>
                <w:rFonts w:ascii="仿宋" w:hAnsi="仿宋" w:eastAsia="仿宋" w:cs="仿宋"/>
                <w:color w:val="000000" w:themeColor="text1"/>
                <w:sz w:val="21"/>
                <w:szCs w:val="21"/>
                <w14:textFill>
                  <w14:solidFill>
                    <w14:schemeClr w14:val="tx1"/>
                  </w14:solidFill>
                </w14:textFill>
              </w:rPr>
              <w:t>业绩</w:t>
            </w:r>
          </w:p>
          <w:p w14:paraId="42AEAFD0">
            <w:pPr>
              <w:pStyle w:val="48"/>
              <w:tabs>
                <w:tab w:val="left" w:pos="708"/>
              </w:tabs>
              <w:spacing w:line="360" w:lineRule="auto"/>
              <w:jc w:val="center"/>
              <w:rPr>
                <w:rFonts w:ascii="仿宋" w:hAnsi="仿宋" w:eastAsia="仿宋" w:cs="仿宋"/>
                <w:color w:val="000000" w:themeColor="text1"/>
                <w:sz w:val="21"/>
                <w:szCs w:val="21"/>
                <w14:textFill>
                  <w14:solidFill>
                    <w14:schemeClr w14:val="tx1"/>
                  </w14:solidFill>
                </w14:textFill>
              </w:rPr>
            </w:pPr>
            <w:r>
              <w:rPr>
                <w:rFonts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12</w:t>
            </w:r>
            <w:r>
              <w:rPr>
                <w:rFonts w:ascii="仿宋" w:hAnsi="仿宋" w:eastAsia="仿宋" w:cs="仿宋"/>
                <w:color w:val="000000" w:themeColor="text1"/>
                <w:sz w:val="21"/>
                <w:szCs w:val="21"/>
                <w14:textFill>
                  <w14:solidFill>
                    <w14:schemeClr w14:val="tx1"/>
                  </w14:solidFill>
                </w14:textFill>
              </w:rPr>
              <w:t>分）</w:t>
            </w:r>
          </w:p>
        </w:tc>
        <w:tc>
          <w:tcPr>
            <w:tcW w:w="935" w:type="pct"/>
            <w:tcBorders>
              <w:top w:val="single" w:color="auto" w:sz="4" w:space="0"/>
              <w:left w:val="single" w:color="auto" w:sz="4" w:space="0"/>
              <w:bottom w:val="single" w:color="auto" w:sz="4" w:space="0"/>
              <w:right w:val="single" w:color="auto" w:sz="4" w:space="0"/>
            </w:tcBorders>
            <w:vAlign w:val="center"/>
          </w:tcPr>
          <w:p w14:paraId="18BFA633">
            <w:pPr>
              <w:pStyle w:val="48"/>
              <w:tabs>
                <w:tab w:val="left" w:pos="708"/>
              </w:tabs>
              <w:spacing w:line="360" w:lineRule="auto"/>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kern w:val="0"/>
                <w:szCs w:val="21"/>
                <w:lang w:eastAsia="zh-CN"/>
                <w14:textFill>
                  <w14:solidFill>
                    <w14:schemeClr w14:val="tx1"/>
                  </w14:solidFill>
                </w14:textFill>
              </w:rPr>
              <w:t>企业</w:t>
            </w:r>
            <w:r>
              <w:rPr>
                <w:rFonts w:hint="eastAsia" w:ascii="仿宋" w:hAnsi="仿宋" w:eastAsia="仿宋" w:cs="仿宋"/>
                <w:color w:val="000000" w:themeColor="text1"/>
                <w:kern w:val="0"/>
                <w:szCs w:val="21"/>
                <w14:textFill>
                  <w14:solidFill>
                    <w14:schemeClr w14:val="tx1"/>
                  </w14:solidFill>
                </w14:textFill>
              </w:rPr>
              <w:t>业绩</w:t>
            </w:r>
            <w:r>
              <w:rPr>
                <w:rFonts w:hint="eastAsia" w:ascii="仿宋" w:hAnsi="仿宋" w:eastAsia="仿宋" w:cs="仿宋"/>
                <w:color w:val="000000" w:themeColor="text1"/>
                <w:kern w:val="0"/>
                <w:szCs w:val="21"/>
                <w:lang w:eastAsia="zh-CN"/>
                <w14:textFill>
                  <w14:solidFill>
                    <w14:schemeClr w14:val="tx1"/>
                  </w14:solidFill>
                </w14:textFill>
              </w:rPr>
              <w:t>（</w:t>
            </w:r>
            <w:r>
              <w:rPr>
                <w:rFonts w:hint="eastAsia" w:ascii="仿宋" w:hAnsi="仿宋" w:eastAsia="仿宋" w:cs="仿宋"/>
                <w:color w:val="000000" w:themeColor="text1"/>
                <w:kern w:val="0"/>
                <w:szCs w:val="21"/>
                <w:lang w:val="en-US" w:eastAsia="zh-CN"/>
                <w14:textFill>
                  <w14:solidFill>
                    <w14:schemeClr w14:val="tx1"/>
                  </w14:solidFill>
                </w14:textFill>
              </w:rPr>
              <w:t>12分</w:t>
            </w:r>
            <w:r>
              <w:rPr>
                <w:rFonts w:hint="eastAsia" w:ascii="仿宋" w:hAnsi="仿宋" w:eastAsia="仿宋" w:cs="仿宋"/>
                <w:color w:val="000000" w:themeColor="text1"/>
                <w:kern w:val="0"/>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5FA737A0">
            <w:pPr>
              <w:spacing w:after="0" w:line="360" w:lineRule="auto"/>
              <w:rPr>
                <w:rFonts w:hint="eastAsia"/>
                <w:color w:val="000000" w:themeColor="text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2021年1月1日以来，投标人所完成的类似设计业绩，每有一项得4分，满分12分。（以合同签订时间为准，业绩需提供合同和中标通知书的扫描件，否则不得分）</w:t>
            </w:r>
          </w:p>
        </w:tc>
      </w:tr>
      <w:tr w14:paraId="7CBB8F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5" w:type="pct"/>
            <w:vMerge w:val="continue"/>
            <w:tcBorders>
              <w:top w:val="single" w:color="auto" w:sz="4" w:space="0"/>
              <w:bottom w:val="single" w:color="auto" w:sz="4" w:space="0"/>
              <w:right w:val="single" w:color="auto" w:sz="4" w:space="0"/>
            </w:tcBorders>
            <w:vAlign w:val="center"/>
          </w:tcPr>
          <w:p w14:paraId="70BC4FC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477" w:type="pct"/>
            <w:vMerge w:val="continue"/>
            <w:tcBorders>
              <w:top w:val="single" w:color="auto" w:sz="4" w:space="0"/>
              <w:left w:val="single" w:color="auto" w:sz="4" w:space="0"/>
              <w:bottom w:val="single" w:color="auto" w:sz="4" w:space="0"/>
              <w:right w:val="single" w:color="auto" w:sz="4" w:space="0"/>
            </w:tcBorders>
            <w:vAlign w:val="center"/>
          </w:tcPr>
          <w:p w14:paraId="40552BC5">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tc>
        <w:tc>
          <w:tcPr>
            <w:tcW w:w="1492" w:type="pct"/>
            <w:gridSpan w:val="2"/>
            <w:tcBorders>
              <w:top w:val="single" w:color="auto" w:sz="4" w:space="0"/>
              <w:left w:val="single" w:color="auto" w:sz="4" w:space="0"/>
              <w:bottom w:val="single" w:color="auto" w:sz="4" w:space="0"/>
              <w:right w:val="single" w:color="auto" w:sz="4" w:space="0"/>
            </w:tcBorders>
            <w:vAlign w:val="center"/>
          </w:tcPr>
          <w:p w14:paraId="3C4D3BF6">
            <w:pPr>
              <w:pStyle w:val="48"/>
              <w:tabs>
                <w:tab w:val="left" w:pos="708"/>
              </w:tabs>
              <w:spacing w:line="360" w:lineRule="auto"/>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招标人意见（</w:t>
            </w:r>
            <w:r>
              <w:rPr>
                <w:rFonts w:hint="eastAsia" w:ascii="仿宋" w:hAnsi="仿宋" w:eastAsia="仿宋" w:cs="仿宋"/>
                <w:color w:val="000000" w:themeColor="text1"/>
                <w:sz w:val="21"/>
                <w:szCs w:val="21"/>
                <w:lang w:val="en-US" w:eastAsia="zh-CN"/>
                <w14:textFill>
                  <w14:solidFill>
                    <w14:schemeClr w14:val="tx1"/>
                  </w14:solidFill>
                </w14:textFill>
              </w:rPr>
              <w:t>3分</w:t>
            </w:r>
            <w:r>
              <w:rPr>
                <w:rFonts w:hint="eastAsia" w:ascii="仿宋" w:hAnsi="仿宋" w:eastAsia="仿宋" w:cs="仿宋"/>
                <w:color w:val="000000" w:themeColor="text1"/>
                <w:sz w:val="21"/>
                <w:szCs w:val="21"/>
                <w:lang w:eastAsia="zh-CN"/>
                <w14:textFill>
                  <w14:solidFill>
                    <w14:schemeClr w14:val="tx1"/>
                  </w14:solidFill>
                </w14:textFill>
              </w:rPr>
              <w:t>）</w:t>
            </w:r>
          </w:p>
        </w:tc>
        <w:tc>
          <w:tcPr>
            <w:tcW w:w="2664" w:type="pct"/>
            <w:tcBorders>
              <w:top w:val="single" w:color="auto" w:sz="4" w:space="0"/>
              <w:left w:val="single" w:color="auto" w:sz="4" w:space="0"/>
              <w:bottom w:val="single" w:color="auto" w:sz="4" w:space="0"/>
              <w:right w:val="single" w:color="auto" w:sz="4" w:space="0"/>
            </w:tcBorders>
            <w:vAlign w:val="center"/>
          </w:tcPr>
          <w:p w14:paraId="7B586322">
            <w:pPr>
              <w:spacing w:after="0" w:line="360" w:lineRule="auto"/>
              <w:textAlignment w:val="baseline"/>
              <w:rPr>
                <w:rFonts w:hint="eastAsia"/>
                <w:color w:val="000000" w:themeColor="text1"/>
                <w14:textFill>
                  <w14:solidFill>
                    <w14:schemeClr w14:val="tx1"/>
                  </w14:solidFill>
                </w14:textFill>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招标人根据自身项目情况，对各投标人投标文件的综合印象进行打分。招标人意见可由招标人代表(业主评委)负责赋予，打分区间1-3分 。</w:t>
            </w:r>
          </w:p>
        </w:tc>
      </w:tr>
      <w:tr w14:paraId="159E0F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43" w:type="pct"/>
            <w:gridSpan w:val="2"/>
            <w:tcBorders>
              <w:top w:val="single" w:color="auto" w:sz="4" w:space="0"/>
              <w:right w:val="single" w:color="auto" w:sz="4" w:space="0"/>
            </w:tcBorders>
            <w:vAlign w:val="center"/>
          </w:tcPr>
          <w:p w14:paraId="3693CD6F">
            <w:pPr>
              <w:spacing w:after="0" w:line="360" w:lineRule="auto"/>
              <w:jc w:val="center"/>
              <w:textAlignment w:val="baseline"/>
              <w:rPr>
                <w:rFonts w:hint="eastAsia" w:ascii="仿宋" w:hAnsi="仿宋" w:eastAsia="仿宋" w:cs="仿宋"/>
                <w:color w:val="000000" w:themeColor="text1"/>
                <w:szCs w:val="21"/>
                <w14:textFill>
                  <w14:solidFill>
                    <w14:schemeClr w14:val="tx1"/>
                  </w14:solidFill>
                </w14:textFill>
              </w:rPr>
            </w:pPr>
            <w:bookmarkStart w:id="381" w:name="_Toc30953"/>
            <w:bookmarkStart w:id="382" w:name="_Toc177142657"/>
            <w:bookmarkStart w:id="383" w:name="_Toc23987"/>
            <w:bookmarkStart w:id="384" w:name="_Toc444"/>
            <w:bookmarkStart w:id="385" w:name="_Toc6193"/>
            <w:bookmarkStart w:id="386" w:name="_Toc40361901"/>
            <w:bookmarkStart w:id="387" w:name="_Toc14733"/>
            <w:bookmarkStart w:id="388" w:name="_Toc19182"/>
            <w:bookmarkStart w:id="389" w:name="_Toc6191"/>
            <w:r>
              <w:rPr>
                <w:rFonts w:hint="eastAsia" w:ascii="仿宋" w:hAnsi="仿宋" w:eastAsia="仿宋" w:cs="仿宋"/>
                <w:color w:val="000000" w:themeColor="text1"/>
                <w:sz w:val="21"/>
                <w:szCs w:val="21"/>
                <w:lang w:eastAsia="zh-CN"/>
                <w14:textFill>
                  <w14:solidFill>
                    <w14:schemeClr w14:val="tx1"/>
                  </w14:solidFill>
                </w14:textFill>
              </w:rPr>
              <w:t>不良记录</w:t>
            </w:r>
          </w:p>
        </w:tc>
        <w:tc>
          <w:tcPr>
            <w:tcW w:w="4156" w:type="pct"/>
            <w:gridSpan w:val="3"/>
            <w:tcBorders>
              <w:top w:val="single" w:color="auto" w:sz="4" w:space="0"/>
              <w:left w:val="single" w:color="auto" w:sz="4" w:space="0"/>
              <w:bottom w:val="single" w:color="auto" w:sz="4" w:space="0"/>
              <w:right w:val="single" w:color="auto" w:sz="4" w:space="0"/>
            </w:tcBorders>
            <w:vAlign w:val="center"/>
          </w:tcPr>
          <w:p w14:paraId="40407042">
            <w:pPr>
              <w:pStyle w:val="48"/>
              <w:tabs>
                <w:tab w:val="left" w:pos="708"/>
              </w:tabs>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投标人及其在投标文件中载明的主要管理人员，近2年内存在围标串标、弄虚作假骗取中标、出借资质资格、挂靠、转包、发生质量安全事故等行政处罚不良记录的，每条扣3分；近1年存在除上述以外且与工程建设活动相关行政处罚不良记录的，每条扣1分。投标人资信扣至0分为止。</w:t>
            </w:r>
            <w:r>
              <w:rPr>
                <w:rFonts w:hint="eastAsia" w:ascii="仿宋" w:hAnsi="仿宋" w:eastAsia="仿宋" w:cs="仿宋"/>
                <w:color w:val="000000" w:themeColor="text1"/>
                <w:sz w:val="21"/>
                <w:szCs w:val="21"/>
                <w:lang w:eastAsia="zh-CN"/>
                <w14:textFill>
                  <w14:solidFill>
                    <w14:schemeClr w14:val="tx1"/>
                  </w14:solidFill>
                </w14:textFill>
              </w:rPr>
              <w:t>（提供书面承诺）</w:t>
            </w:r>
          </w:p>
        </w:tc>
      </w:tr>
    </w:tbl>
    <w:p w14:paraId="6596C58A">
      <w:pPr>
        <w:pStyle w:val="47"/>
        <w:keepNext w:val="0"/>
        <w:keepLines w:val="0"/>
        <w:spacing w:before="0" w:line="360" w:lineRule="auto"/>
        <w:rPr>
          <w:rFonts w:hint="eastAsia" w:ascii="仿宋" w:hAnsi="仿宋" w:eastAsia="仿宋" w:cs="仿宋"/>
          <w:bCs/>
          <w:color w:val="000000" w:themeColor="text1"/>
          <w:sz w:val="24"/>
          <w:szCs w:val="18"/>
          <w14:textFill>
            <w14:solidFill>
              <w14:schemeClr w14:val="tx1"/>
            </w14:solidFill>
          </w14:textFill>
        </w:rPr>
      </w:pPr>
      <w:r>
        <w:rPr>
          <w:rFonts w:hint="eastAsia" w:ascii="仿宋" w:hAnsi="仿宋" w:eastAsia="仿宋" w:cs="仿宋"/>
          <w:bCs/>
          <w:color w:val="000000" w:themeColor="text1"/>
          <w:sz w:val="24"/>
          <w:szCs w:val="18"/>
          <w14:textFill>
            <w14:solidFill>
              <w14:schemeClr w14:val="tx1"/>
            </w14:solidFill>
          </w14:textFill>
        </w:rPr>
        <w:t>1.评标方法</w:t>
      </w:r>
      <w:bookmarkEnd w:id="381"/>
      <w:bookmarkEnd w:id="382"/>
      <w:bookmarkEnd w:id="383"/>
      <w:bookmarkEnd w:id="384"/>
      <w:bookmarkEnd w:id="385"/>
      <w:bookmarkEnd w:id="386"/>
      <w:bookmarkEnd w:id="387"/>
      <w:bookmarkEnd w:id="388"/>
      <w:bookmarkEnd w:id="389"/>
    </w:p>
    <w:p w14:paraId="19221195">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次评标采用综合评估法。评标委员会对满足招标文件实质性要求的投标文件，按照详细评审标准进行打分，按照得分由高到低的顺序推荐前3名为中标候选人。当合计得分最高的出现相等时，按投标总报价由低到高的顺序排列；如总得分和投标总报价也相同时，按技术标得分由高到低的顺序排列；技术标得分相同时，按综合标得分由高到低的顺序排列；如都相同由评标委员会投票推荐。</w:t>
      </w:r>
    </w:p>
    <w:p w14:paraId="53B7C9FF">
      <w:pPr>
        <w:pStyle w:val="47"/>
        <w:keepNext w:val="0"/>
        <w:keepLines w:val="0"/>
        <w:spacing w:before="0" w:line="360" w:lineRule="auto"/>
        <w:rPr>
          <w:rFonts w:hint="eastAsia" w:ascii="仿宋" w:hAnsi="仿宋" w:eastAsia="仿宋" w:cs="仿宋"/>
          <w:color w:val="000000" w:themeColor="text1"/>
          <w:sz w:val="24"/>
          <w14:textFill>
            <w14:solidFill>
              <w14:schemeClr w14:val="tx1"/>
            </w14:solidFill>
          </w14:textFill>
        </w:rPr>
      </w:pPr>
      <w:bookmarkStart w:id="390" w:name="_Toc7408"/>
      <w:bookmarkStart w:id="391" w:name="_Toc12873"/>
      <w:bookmarkStart w:id="392" w:name="_Toc40361902"/>
      <w:bookmarkStart w:id="393" w:name="_Toc2106"/>
      <w:bookmarkStart w:id="394" w:name="_Toc27487"/>
      <w:bookmarkStart w:id="395" w:name="_Toc31486"/>
      <w:bookmarkStart w:id="396" w:name="_Toc12245"/>
      <w:bookmarkStart w:id="397" w:name="_Toc177142658"/>
      <w:bookmarkStart w:id="398" w:name="_Toc30187"/>
      <w:r>
        <w:rPr>
          <w:rFonts w:hint="eastAsia" w:ascii="仿宋" w:hAnsi="仿宋" w:eastAsia="仿宋" w:cs="仿宋"/>
          <w:color w:val="000000" w:themeColor="text1"/>
          <w:sz w:val="24"/>
          <w14:textFill>
            <w14:solidFill>
              <w14:schemeClr w14:val="tx1"/>
            </w14:solidFill>
          </w14:textFill>
        </w:rPr>
        <w:t>2.评审</w:t>
      </w:r>
      <w:r>
        <w:rPr>
          <w:rFonts w:hint="eastAsia" w:ascii="仿宋" w:hAnsi="仿宋" w:eastAsia="仿宋" w:cs="仿宋"/>
          <w:bCs/>
          <w:color w:val="000000" w:themeColor="text1"/>
          <w:sz w:val="24"/>
          <w:szCs w:val="18"/>
          <w14:textFill>
            <w14:solidFill>
              <w14:schemeClr w14:val="tx1"/>
            </w14:solidFill>
          </w14:textFill>
        </w:rPr>
        <w:t>标准</w:t>
      </w:r>
      <w:bookmarkEnd w:id="390"/>
      <w:bookmarkEnd w:id="391"/>
      <w:bookmarkEnd w:id="392"/>
      <w:bookmarkEnd w:id="393"/>
      <w:bookmarkEnd w:id="394"/>
      <w:bookmarkEnd w:id="395"/>
      <w:bookmarkEnd w:id="396"/>
      <w:bookmarkEnd w:id="397"/>
      <w:bookmarkEnd w:id="398"/>
    </w:p>
    <w:p w14:paraId="3227ACF4">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初步评审标准</w:t>
      </w:r>
    </w:p>
    <w:p w14:paraId="55286640">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2.1.1 形式评审标准：见评标办法前附表。</w:t>
      </w:r>
    </w:p>
    <w:p w14:paraId="059351FC">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2.1.2 资格评审标准：见评标办法前附表。</w:t>
      </w:r>
    </w:p>
    <w:p w14:paraId="11813EFE">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2.1.3 响应性评审标准：见评标办法前附表。</w:t>
      </w:r>
    </w:p>
    <w:p w14:paraId="60ED26A5">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 分值构成与评分标准</w:t>
      </w:r>
    </w:p>
    <w:p w14:paraId="56E148BE">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2.2.1 分值构成</w:t>
      </w:r>
    </w:p>
    <w:p w14:paraId="7AA92250">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（1）投标报价评分部分：见评标办法前附表。</w:t>
      </w:r>
    </w:p>
    <w:p w14:paraId="5539BBCD">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（2）技术标评分部分：见评标办法前附表。</w:t>
      </w:r>
    </w:p>
    <w:p w14:paraId="5D9E1923">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（3）综合标评分部分：见评标办法前附表。</w:t>
      </w:r>
    </w:p>
    <w:p w14:paraId="6987FAF9">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2.2.2 评标基准价计算</w:t>
      </w:r>
    </w:p>
    <w:p w14:paraId="6014C5A1">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评标基准价计算方法：见评标办法前附表。</w:t>
      </w:r>
    </w:p>
    <w:p w14:paraId="56149E08">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 投标报价的偏差率计算</w:t>
      </w:r>
    </w:p>
    <w:p w14:paraId="685DE17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投标报价的偏差率计算公式：见评标办法前附表。</w:t>
      </w:r>
    </w:p>
    <w:p w14:paraId="73F0BC0D">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 评分标准</w:t>
      </w:r>
    </w:p>
    <w:p w14:paraId="62EC8B9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bookmarkStart w:id="399" w:name="_Toc40361903"/>
      <w:r>
        <w:rPr>
          <w:rFonts w:hint="eastAsia" w:ascii="仿宋" w:hAnsi="仿宋" w:eastAsia="仿宋" w:cs="仿宋"/>
          <w:color w:val="000000" w:themeColor="text1"/>
          <w:szCs w:val="21"/>
          <w14:textFill>
            <w14:solidFill>
              <w14:schemeClr w14:val="tx1"/>
            </w14:solidFill>
          </w14:textFill>
        </w:rPr>
        <w:t>（1）投标报价评分标准：见评标办法前附表。</w:t>
      </w:r>
    </w:p>
    <w:p w14:paraId="4462A230">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（2）技术标评分标准：见评标办法前附表。</w:t>
      </w:r>
    </w:p>
    <w:p w14:paraId="56643045">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（3）综合标评分标准：见评标办法前附表。</w:t>
      </w:r>
    </w:p>
    <w:p w14:paraId="5193D130">
      <w:pPr>
        <w:pStyle w:val="47"/>
        <w:keepNext w:val="0"/>
        <w:keepLines w:val="0"/>
        <w:spacing w:before="0" w:line="360" w:lineRule="auto"/>
        <w:rPr>
          <w:rFonts w:hint="eastAsia" w:ascii="仿宋" w:hAnsi="仿宋" w:eastAsia="仿宋" w:cs="仿宋"/>
          <w:color w:val="000000" w:themeColor="text1"/>
          <w:sz w:val="24"/>
          <w14:textFill>
            <w14:solidFill>
              <w14:schemeClr w14:val="tx1"/>
            </w14:solidFill>
          </w14:textFill>
        </w:rPr>
      </w:pPr>
      <w:bookmarkStart w:id="400" w:name="_Toc7645"/>
      <w:bookmarkStart w:id="401" w:name="_Toc24619"/>
      <w:bookmarkStart w:id="402" w:name="_Toc21784"/>
      <w:bookmarkStart w:id="403" w:name="_Toc177142659"/>
      <w:bookmarkStart w:id="404" w:name="_Toc4484"/>
      <w:bookmarkStart w:id="405" w:name="_Toc31034"/>
      <w:bookmarkStart w:id="406" w:name="_Toc6577"/>
      <w:bookmarkStart w:id="407" w:name="_Toc4922"/>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bCs/>
          <w:color w:val="000000" w:themeColor="text1"/>
          <w:sz w:val="24"/>
          <w:szCs w:val="18"/>
          <w14:textFill>
            <w14:solidFill>
              <w14:schemeClr w14:val="tx1"/>
            </w14:solidFill>
          </w14:textFill>
        </w:rPr>
        <w:t>评标程序</w:t>
      </w:r>
      <w:bookmarkEnd w:id="399"/>
      <w:bookmarkEnd w:id="400"/>
      <w:bookmarkEnd w:id="401"/>
      <w:bookmarkEnd w:id="402"/>
      <w:bookmarkEnd w:id="403"/>
      <w:bookmarkEnd w:id="404"/>
      <w:bookmarkEnd w:id="405"/>
      <w:bookmarkEnd w:id="406"/>
      <w:bookmarkEnd w:id="407"/>
    </w:p>
    <w:p w14:paraId="761A3F6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初步评审</w:t>
      </w:r>
    </w:p>
    <w:p w14:paraId="397A98FC">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3.1.1 评标委员会依据本章第2.1款规定的标准对投标文件进行初步评审。有一项不符合评审标准的，评标委员会应当否决其投标。</w:t>
      </w:r>
    </w:p>
    <w:p w14:paraId="4C3607C8">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3.1.2 投标人有以下情形之一的，评标委员会应当否决其投标：</w:t>
      </w:r>
    </w:p>
    <w:p w14:paraId="1B4673E2">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（1）第二章“投标人须知”第1.4.3项规定的任何一种情形的；</w:t>
      </w:r>
    </w:p>
    <w:p w14:paraId="1BCD4C5A">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（2）投标文件不按规定加盖印章、签字的；</w:t>
      </w:r>
    </w:p>
    <w:p w14:paraId="35DD5E72">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（3）投标文件的关键内容字迹模糊，无法辨认的；</w:t>
      </w:r>
    </w:p>
    <w:p w14:paraId="5F01D8E1">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（4）在同一个项目中有两个同类数字，又未注明其中哪一个有效的；</w:t>
      </w:r>
    </w:p>
    <w:p w14:paraId="351F9FD5">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（5）未按规定提交“投标保证金企业信用承诺函”的；</w:t>
      </w:r>
    </w:p>
    <w:p w14:paraId="122FCEB3">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（6）设计项目负责人标述标时不按规定参加述标的</w:t>
      </w:r>
      <w:r>
        <w:rPr>
          <w:rFonts w:hint="eastAsia" w:ascii="仿宋" w:hAnsi="仿宋" w:eastAsia="仿宋" w:cs="仿宋"/>
          <w:b/>
          <w:bCs/>
          <w:color w:val="000000" w:themeColor="text1"/>
          <w:szCs w:val="21"/>
          <w:lang w:val="en-US" w:eastAsia="zh-CN"/>
          <w14:textFill>
            <w14:solidFill>
              <w14:schemeClr w14:val="tx1"/>
            </w14:solidFill>
          </w14:textFill>
        </w:rPr>
        <w:t>(本项目不适用）</w:t>
      </w:r>
      <w:r>
        <w:rPr>
          <w:rFonts w:hint="eastAsia" w:ascii="仿宋" w:hAnsi="仿宋" w:eastAsia="仿宋" w:cs="仿宋"/>
          <w:b/>
          <w:bCs/>
          <w:color w:val="000000" w:themeColor="text1"/>
          <w:szCs w:val="21"/>
          <w14:textFill>
            <w14:solidFill>
              <w14:schemeClr w14:val="tx1"/>
            </w14:solidFill>
          </w14:textFill>
        </w:rPr>
        <w:t>；</w:t>
      </w:r>
    </w:p>
    <w:p w14:paraId="43E44F67">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（7）投标文件中拟派的设计项目负责人，与投标人在评标过程中拟派的设计项目负责人不符的；</w:t>
      </w:r>
    </w:p>
    <w:p w14:paraId="4955CEF8">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（8）投标人未按资格评审要求提供资格证明材料或提供的证明材料不清晰不能够在电脑上被阅读、识别和判断的；</w:t>
      </w:r>
    </w:p>
    <w:p w14:paraId="4809D543">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（9）不同投标人的投标文件由同一单位或者个人编制；</w:t>
      </w:r>
    </w:p>
    <w:p w14:paraId="2DAE0CDB">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(10) 不同投标人委托同一单位或者个人办理投标事宜；</w:t>
      </w:r>
    </w:p>
    <w:p w14:paraId="57E41AD3">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 xml:space="preserve">(11) 不同投标人的投标文件载明的项目管理成员或者联系人、联系地址、联系电话为同一人，或者联系地址、联系电话为同一单位； </w:t>
      </w:r>
    </w:p>
    <w:p w14:paraId="7973587B">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 xml:space="preserve">(12) 不同投标人的投标文件异常一致； </w:t>
      </w:r>
    </w:p>
    <w:p w14:paraId="54E88491">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(13) 不同投标人的投标文件错、漏之处非正常一致，且不能合理解释的；</w:t>
      </w:r>
    </w:p>
    <w:p w14:paraId="34FF6EE4">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(14) 有串通投标或弄虚作假或有其他违法行为的；</w:t>
      </w:r>
    </w:p>
    <w:p w14:paraId="34D70DE7">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(15) 不按评标委员会要求澄清、说明或补正的；</w:t>
      </w:r>
    </w:p>
    <w:p w14:paraId="6D969CE5">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 xml:space="preserve">(16) 未对《洛阳市工程建设项目廉洁自律告知书》和《洛阳市工程建设项目廉洁自律承诺书》承诺的； </w:t>
      </w:r>
    </w:p>
    <w:p w14:paraId="73C122EC">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(17)运用计算机硬件特征码识别技术、标书编制系统软证书识别技术、标书编制系统与计价软件特征码关联识别技术，发现投标人的投标文件出自同一台计算机的；通过电子评标系统雷同性分析技术，发现投标人的投标文件相互之间存在非正常雷同现象的；通过电子评标系统不平衡报价分析技术，发现投标人的投标文件相互之间存在过高报价或过低报价雷同的；</w:t>
      </w:r>
    </w:p>
    <w:p w14:paraId="37A31ACA">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（18）提供虚假材料或不符合法律、法规和本招标文件规定的其他实质性要求的。</w:t>
      </w:r>
    </w:p>
    <w:p w14:paraId="03209043">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19）电子开评标系统提示不同投标人的投标技术文件存在内容高度一致的、投标报价或报价组成出现非正常一致或者呈规律性变化的，评标委员会可以要求投标人作出澄清，评标委员会应当集体认定是否属于《中华人民共和国招标投标法实施条例》第四十条第（四）项“不同投标人的投标文件异常一致或者投标报价呈规律性差异”的情形。</w:t>
      </w:r>
    </w:p>
    <w:p w14:paraId="4D8B4353">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20）电子开评标系统对不同投标人的电子投标文件作出雷同性提示或预警的，资格评审委员会或评标委员会应当集体表决认定是否属于《中华人民共和国招标投标法实施条例》第四十条“视为投标人相互串通投标”的情形，同时写出串（围）标行为认定报告并签字。</w:t>
      </w:r>
    </w:p>
    <w:p w14:paraId="07F9B832">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电子投标文件雷同性认定及处理：</w:t>
      </w:r>
    </w:p>
    <w:p w14:paraId="49A70B7D">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1）电子投标文件雷同认定与处理应符合《关于房屋建筑和市政基础设施工程电子投标文件雷同认定与处理的通知》（洛建【2020】60号）文件要求，出现以下情况的，评标委员会应认定为《中华人民共和国招标投标法实施条例》第四十条第（一）项“不同投标人的投标文件由同一单位或者个人编制”的情形：</w:t>
      </w:r>
    </w:p>
    <w:p w14:paraId="6D97C69B">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①电子开评标系统提示不同投标人的电子投标文件的文件制作机器码、文件创建标识码等软硬件信息，有一条及以上相同的；</w:t>
      </w:r>
    </w:p>
    <w:p w14:paraId="4F8DA785">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2）电子开评标系统提示不同投标人的投标技术文件存在内容高度一致的、投标报价或报价组成出现非正常一致或者呈规律性变化的，评标委员会可以要求投标人作出澄清，评标委员会集体表决认定属于《中华人民共和国招标投标法实施条例》第四十条第（四）项“不同投标人的投标文件异常一致或者投标报价呈规律性差异”的。</w:t>
      </w:r>
    </w:p>
    <w:p w14:paraId="72C4A3EA">
      <w:pPr>
        <w:spacing w:after="0" w:line="360" w:lineRule="auto"/>
        <w:ind w:firstLine="422" w:firstLineChars="200"/>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注：电子开评标系统对不同投标人的电子投标文件作出雷同性提示或预警的，资格评审委员会或评标委员会集体表决认定属于《中华人民共和国招标投标法实施条例》第四十条“视为投标人相互串通投标”的情形，同时写出串（围）标行为认定报告并签字。</w:t>
      </w:r>
    </w:p>
    <w:p w14:paraId="1FFD2768">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3.1.3 投标报价有算术错误及其他错误的，评标委员会按以下原则要求投标人对投标报价进行修正，并要求投标人书面澄清确认。投标人拒不澄清确认的，评标委员会应当否决其投标：</w:t>
      </w:r>
    </w:p>
    <w:p w14:paraId="36A59CE9">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（1）投标文件中的大写金额与小写金额不一致的，以大写金额为准；</w:t>
      </w:r>
    </w:p>
    <w:p w14:paraId="333C5139">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（2）总价金额与单价金额不一致的，以单价金额为准，但单价金额小数点有明显错误的除外。</w:t>
      </w:r>
    </w:p>
    <w:p w14:paraId="2054F9FE">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 详细评审</w:t>
      </w:r>
    </w:p>
    <w:p w14:paraId="0F62F963">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3.2.1 评标委员会按本章第2.2款规定的量化因素和分值进行打分，并计算出综合评估得分。</w:t>
      </w:r>
    </w:p>
    <w:p w14:paraId="15A42946">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（1）按本章第2.2.4（1）目规定的评审因素和分值对投标报价部分计算出得分A；</w:t>
      </w:r>
    </w:p>
    <w:p w14:paraId="7F145406">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（2）按本章第2.2.4（2）目规定的评审因素和分值对技术标部分计算出得分B；</w:t>
      </w:r>
    </w:p>
    <w:p w14:paraId="28A61148">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（3）按本章第2.2.4（3）目规定的评审因素和分值对综合标部分计算出得分C；</w:t>
      </w:r>
    </w:p>
    <w:p w14:paraId="03F3456F">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3.2.2 评分分值计算保留小数点后两位，小数点后第三位“四舍五入”。</w:t>
      </w:r>
    </w:p>
    <w:p w14:paraId="68EA65DD">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3.2.3 投标人得分=A+B+C。</w:t>
      </w:r>
    </w:p>
    <w:p w14:paraId="4A44BF3A">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3ACAB853">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 投标文件的澄清</w:t>
      </w:r>
    </w:p>
    <w:p w14:paraId="3BA96357">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2A5FCA80">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3.3.2 澄清、说明或补正不得超出投标文件的范围且不得改变投标文件的实质性内容，并构成投标文件的组成部分。</w:t>
      </w:r>
    </w:p>
    <w:p w14:paraId="01F7D7EF">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3.3.3 评标委员会对投标人提交的澄清、说明或补正有疑问的，可以要求投标人进一步澄清、说明或补正，直至满足评标委员会的要求。</w:t>
      </w:r>
    </w:p>
    <w:p w14:paraId="10F8B2B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3.4 评标结果</w:t>
      </w:r>
    </w:p>
    <w:p w14:paraId="7613EACA">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3.4.1 除第二章“投标人须知”前附表授权直接确定中标人外，评标委员会按照得分由高到低的顺序推荐中标候选人，并标明排序。</w:t>
      </w:r>
    </w:p>
    <w:p w14:paraId="41037049">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3.4.2 评标委员会完成评标后，应当向招标人提交书面评标报告和中标候选人名单。</w:t>
      </w:r>
    </w:p>
    <w:p w14:paraId="213C3E27">
      <w:pPr>
        <w:spacing w:after="0" w:line="360" w:lineRule="auto"/>
        <w:rPr>
          <w:rFonts w:hint="eastAsia" w:ascii="仿宋" w:hAnsi="仿宋" w:eastAsia="仿宋" w:cs="仿宋"/>
          <w:b/>
          <w:bCs/>
          <w:color w:val="000000" w:themeColor="text1"/>
          <w:kern w:val="44"/>
          <w:sz w:val="32"/>
          <w:szCs w:val="44"/>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br w:type="page"/>
      </w:r>
    </w:p>
    <w:p w14:paraId="10FB8A6A">
      <w:pPr>
        <w:pStyle w:val="2"/>
        <w:keepNext w:val="0"/>
        <w:keepLines w:val="0"/>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408" w:name="_Toc177142660"/>
      <w:bookmarkStart w:id="409" w:name="_Toc40361904"/>
      <w:r>
        <w:rPr>
          <w:rFonts w:hint="eastAsia" w:ascii="仿宋" w:hAnsi="仿宋" w:eastAsia="仿宋" w:cs="仿宋"/>
          <w:color w:val="000000" w:themeColor="text1"/>
          <w:sz w:val="32"/>
          <w14:textFill>
            <w14:solidFill>
              <w14:schemeClr w14:val="tx1"/>
            </w14:solidFill>
          </w14:textFill>
        </w:rPr>
        <w:t>第四章   合同条款及格式</w:t>
      </w:r>
      <w:bookmarkEnd w:id="408"/>
      <w:bookmarkEnd w:id="409"/>
    </w:p>
    <w:p w14:paraId="729694C4">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bookmarkStart w:id="410" w:name="_Toc40361906"/>
      <w:r>
        <w:rPr>
          <w:rFonts w:hint="eastAsia" w:ascii="仿宋" w:hAnsi="仿宋" w:eastAsia="仿宋" w:cs="仿宋"/>
          <w:color w:val="000000" w:themeColor="text1"/>
          <w:szCs w:val="21"/>
          <w14:textFill>
            <w14:solidFill>
              <w14:schemeClr w14:val="tx1"/>
            </w14:solidFill>
          </w14:textFill>
        </w:rPr>
        <w:t>本项目合同条款及格式由招标人与中标人协商签订，可参照《建设工程设计合同示范文本 (专业建设工程) 》 (GF-2015-0210)</w:t>
      </w:r>
    </w:p>
    <w:p w14:paraId="6CBEAFBF">
      <w:pP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br w:type="page"/>
      </w:r>
    </w:p>
    <w:p w14:paraId="65AC3919">
      <w:pPr>
        <w:pStyle w:val="2"/>
        <w:keepNext w:val="0"/>
        <w:keepLines w:val="0"/>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411" w:name="_Toc177142661"/>
      <w:r>
        <w:rPr>
          <w:rFonts w:hint="eastAsia" w:ascii="仿宋" w:hAnsi="仿宋" w:eastAsia="仿宋" w:cs="仿宋"/>
          <w:color w:val="000000" w:themeColor="text1"/>
          <w:sz w:val="32"/>
          <w14:textFill>
            <w14:solidFill>
              <w14:schemeClr w14:val="tx1"/>
            </w14:solidFill>
          </w14:textFill>
        </w:rPr>
        <w:t>第五章   发包人要求</w:t>
      </w:r>
      <w:bookmarkEnd w:id="410"/>
      <w:bookmarkEnd w:id="411"/>
    </w:p>
    <w:p w14:paraId="494626CB">
      <w:pPr>
        <w:pStyle w:val="83"/>
        <w:spacing w:line="500" w:lineRule="exact"/>
        <w:ind w:firstLine="422" w:firstLineChars="200"/>
        <w:rPr>
          <w:rFonts w:hint="eastAsia" w:ascii="仿宋" w:hAnsi="仿宋" w:eastAsia="仿宋"/>
          <w:b/>
          <w:bCs/>
          <w:color w:val="000000" w:themeColor="text1"/>
          <w:szCs w:val="21"/>
          <w14:textFill>
            <w14:solidFill>
              <w14:schemeClr w14:val="tx1"/>
            </w14:solidFill>
          </w14:textFill>
        </w:rPr>
      </w:pPr>
      <w:r>
        <w:rPr>
          <w:rFonts w:hint="eastAsia" w:ascii="仿宋" w:hAnsi="仿宋" w:eastAsia="仿宋"/>
          <w:b/>
          <w:bCs/>
          <w:color w:val="000000" w:themeColor="text1"/>
          <w:szCs w:val="21"/>
          <w14:textFill>
            <w14:solidFill>
              <w14:schemeClr w14:val="tx1"/>
            </w14:solidFill>
          </w14:textFill>
        </w:rPr>
        <w:t>一、项目概况</w:t>
      </w:r>
      <w:bookmarkStart w:id="412" w:name="_Toc1660936"/>
      <w:bookmarkStart w:id="413" w:name="_Toc238530903"/>
    </w:p>
    <w:bookmarkEnd w:id="412"/>
    <w:bookmarkEnd w:id="413"/>
    <w:p w14:paraId="0F0BACA0">
      <w:pPr>
        <w:pStyle w:val="83"/>
        <w:keepNext w:val="0"/>
        <w:keepLines w:val="0"/>
        <w:pageBreakBefore w:val="0"/>
        <w:kinsoku/>
        <w:wordWrap/>
        <w:overflowPunct/>
        <w:topLinePunct w:val="0"/>
        <w:autoSpaceDE/>
        <w:autoSpaceDN/>
        <w:bidi w:val="0"/>
        <w:adjustRightInd/>
        <w:snapToGrid/>
        <w:spacing w:line="360" w:lineRule="auto"/>
        <w:ind w:firstLine="420" w:firstLineChars="200"/>
        <w:jc w:val="left"/>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建设地点：项目</w:t>
      </w:r>
      <w:r>
        <w:rPr>
          <w:rFonts w:hint="eastAsia" w:ascii="仿宋" w:hAnsi="仿宋" w:eastAsia="仿宋"/>
          <w:color w:val="000000" w:themeColor="text1"/>
          <w:szCs w:val="21"/>
          <w:lang w:eastAsia="zh-CN"/>
          <w14:textFill>
            <w14:solidFill>
              <w14:schemeClr w14:val="tx1"/>
            </w14:solidFill>
          </w14:textFill>
        </w:rPr>
        <w:t>洛阳市伊川县</w:t>
      </w:r>
      <w:r>
        <w:rPr>
          <w:rFonts w:hint="eastAsia" w:ascii="仿宋" w:hAnsi="仿宋" w:eastAsia="仿宋"/>
          <w:color w:val="000000" w:themeColor="text1"/>
          <w:szCs w:val="21"/>
          <w14:textFill>
            <w14:solidFill>
              <w14:schemeClr w14:val="tx1"/>
            </w14:solidFill>
          </w14:textFill>
        </w:rPr>
        <w:t>。</w:t>
      </w:r>
    </w:p>
    <w:p w14:paraId="469DC0F5">
      <w:pPr>
        <w:keepNext w:val="0"/>
        <w:keepLines w:val="0"/>
        <w:pageBreakBefore w:val="0"/>
        <w:kinsoku/>
        <w:wordWrap/>
        <w:overflowPunct/>
        <w:topLinePunct w:val="0"/>
        <w:autoSpaceDE/>
        <w:autoSpaceDN/>
        <w:bidi w:val="0"/>
        <w:adjustRightInd/>
        <w:snapToGrid/>
        <w:spacing w:after="0" w:line="360" w:lineRule="auto"/>
        <w:ind w:firstLine="42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项目概况：</w:t>
      </w:r>
      <w:r>
        <w:rPr>
          <w:rFonts w:hint="eastAsia" w:ascii="仿宋" w:hAnsi="仿宋" w:eastAsia="仿宋" w:cs="仿宋"/>
          <w:color w:val="000000" w:themeColor="text1"/>
          <w:szCs w:val="21"/>
          <w:highlight w:val="none"/>
          <w14:textFill>
            <w14:solidFill>
              <w14:schemeClr w14:val="tx1"/>
            </w14:solidFill>
          </w14:textFill>
        </w:rPr>
        <w:t>伊川县高山镇豫西中药材集散中心建设</w:t>
      </w:r>
      <w:r>
        <w:rPr>
          <w:rFonts w:hint="eastAsia" w:ascii="仿宋" w:hAnsi="仿宋" w:eastAsia="仿宋" w:cs="仿宋"/>
          <w:color w:val="000000" w:themeColor="text1"/>
          <w:szCs w:val="21"/>
          <w:highlight w:val="none"/>
          <w:lang w:eastAsia="zh-CN"/>
          <w14:textFill>
            <w14:solidFill>
              <w14:schemeClr w14:val="tx1"/>
            </w14:solidFill>
          </w14:textFill>
        </w:rPr>
        <w:t>项目的设计服务包含勘察、测绘、初步设计（含概算的编制）、施工图设计等及后续服务工作。（具体内容详见招标文件）</w:t>
      </w:r>
      <w:r>
        <w:rPr>
          <w:rFonts w:hint="eastAsia" w:ascii="仿宋" w:hAnsi="仿宋" w:eastAsia="仿宋" w:cs="仿宋"/>
          <w:color w:val="000000" w:themeColor="text1"/>
          <w14:textFill>
            <w14:solidFill>
              <w14:schemeClr w14:val="tx1"/>
            </w14:solidFill>
          </w14:textFill>
        </w:rPr>
        <w:br w:type="page"/>
      </w:r>
    </w:p>
    <w:p w14:paraId="61F28B02">
      <w:pPr>
        <w:pStyle w:val="2"/>
        <w:keepNext w:val="0"/>
        <w:keepLines w:val="0"/>
        <w:spacing w:before="0" w:after="0" w:line="360" w:lineRule="auto"/>
        <w:jc w:val="center"/>
        <w:rPr>
          <w:rFonts w:hint="eastAsia" w:ascii="仿宋" w:hAnsi="仿宋" w:eastAsia="仿宋" w:cs="仿宋"/>
          <w:color w:val="000000" w:themeColor="text1"/>
          <w:sz w:val="32"/>
          <w14:textFill>
            <w14:solidFill>
              <w14:schemeClr w14:val="tx1"/>
            </w14:solidFill>
          </w14:textFill>
        </w:rPr>
      </w:pPr>
      <w:bookmarkStart w:id="414" w:name="_Toc40361908"/>
      <w:bookmarkStart w:id="415" w:name="_Toc177142662"/>
      <w:r>
        <w:rPr>
          <w:rFonts w:hint="eastAsia" w:ascii="仿宋" w:hAnsi="仿宋" w:eastAsia="仿宋" w:cs="仿宋"/>
          <w:color w:val="000000" w:themeColor="text1"/>
          <w:sz w:val="32"/>
          <w14:textFill>
            <w14:solidFill>
              <w14:schemeClr w14:val="tx1"/>
            </w14:solidFill>
          </w14:textFill>
        </w:rPr>
        <w:t>第六章   投标文件格式</w:t>
      </w:r>
      <w:bookmarkEnd w:id="414"/>
      <w:bookmarkEnd w:id="415"/>
    </w:p>
    <w:p w14:paraId="6AAC43F6">
      <w:pPr>
        <w:pStyle w:val="41"/>
        <w:adjustRightInd/>
        <w:spacing w:line="360" w:lineRule="auto"/>
        <w:rPr>
          <w:rFonts w:hint="eastAsia" w:ascii="仿宋" w:hAnsi="仿宋" w:eastAsia="仿宋" w:cs="仿宋"/>
          <w:color w:val="000000" w:themeColor="text1"/>
          <w14:textFill>
            <w14:solidFill>
              <w14:schemeClr w14:val="tx1"/>
            </w14:solidFill>
          </w14:textFill>
        </w:rPr>
      </w:pPr>
    </w:p>
    <w:p w14:paraId="52CD3E11">
      <w:pPr>
        <w:pStyle w:val="41"/>
        <w:adjustRightInd/>
        <w:spacing w:line="360" w:lineRule="auto"/>
        <w:rPr>
          <w:rFonts w:hint="eastAsia" w:ascii="仿宋" w:hAnsi="仿宋" w:eastAsia="仿宋" w:cs="仿宋"/>
          <w:color w:val="000000" w:themeColor="text1"/>
          <w14:textFill>
            <w14:solidFill>
              <w14:schemeClr w14:val="tx1"/>
            </w14:solidFill>
          </w14:textFill>
        </w:rPr>
      </w:pPr>
    </w:p>
    <w:p w14:paraId="2841B179">
      <w:pPr>
        <w:spacing w:after="0" w:line="360" w:lineRule="auto"/>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（项目名称）</w:t>
      </w:r>
    </w:p>
    <w:p w14:paraId="54F9BF46">
      <w:pPr>
        <w:spacing w:after="0" w:line="360" w:lineRule="auto"/>
        <w:rPr>
          <w:rFonts w:hint="eastAsia" w:ascii="仿宋" w:hAnsi="仿宋" w:eastAsia="仿宋" w:cs="仿宋"/>
          <w:color w:val="000000" w:themeColor="text1"/>
          <w:sz w:val="20"/>
          <w:szCs w:val="20"/>
          <w14:textFill>
            <w14:solidFill>
              <w14:schemeClr w14:val="tx1"/>
            </w14:solidFill>
          </w14:textFill>
        </w:rPr>
      </w:pPr>
    </w:p>
    <w:p w14:paraId="336453AA">
      <w:pPr>
        <w:spacing w:after="0" w:line="360" w:lineRule="auto"/>
        <w:rPr>
          <w:rFonts w:hint="eastAsia" w:ascii="仿宋" w:hAnsi="仿宋" w:eastAsia="仿宋" w:cs="仿宋"/>
          <w:color w:val="000000" w:themeColor="text1"/>
          <w:sz w:val="20"/>
          <w:szCs w:val="20"/>
          <w14:textFill>
            <w14:solidFill>
              <w14:schemeClr w14:val="tx1"/>
            </w14:solidFill>
          </w14:textFill>
        </w:rPr>
      </w:pPr>
    </w:p>
    <w:p w14:paraId="68636103">
      <w:pPr>
        <w:spacing w:after="0" w:line="360" w:lineRule="auto"/>
        <w:jc w:val="center"/>
        <w:rPr>
          <w:rFonts w:hint="eastAsia" w:ascii="仿宋" w:hAnsi="仿宋" w:eastAsia="仿宋" w:cs="仿宋"/>
          <w:color w:val="000000" w:themeColor="text1"/>
          <w:sz w:val="72"/>
          <w:szCs w:val="44"/>
          <w14:textFill>
            <w14:solidFill>
              <w14:schemeClr w14:val="tx1"/>
            </w14:solidFill>
          </w14:textFill>
        </w:rPr>
      </w:pPr>
      <w:r>
        <w:rPr>
          <w:rFonts w:hint="eastAsia" w:ascii="仿宋" w:hAnsi="仿宋" w:eastAsia="仿宋" w:cs="仿宋"/>
          <w:color w:val="000000" w:themeColor="text1"/>
          <w:sz w:val="72"/>
          <w:szCs w:val="44"/>
          <w14:textFill>
            <w14:solidFill>
              <w14:schemeClr w14:val="tx1"/>
            </w14:solidFill>
          </w14:textFill>
        </w:rPr>
        <w:t>投 标 文 件</w:t>
      </w:r>
    </w:p>
    <w:p w14:paraId="6F6A5272">
      <w:pPr>
        <w:spacing w:after="0" w:line="360" w:lineRule="auto"/>
        <w:jc w:val="center"/>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项目编号：</w:t>
      </w:r>
    </w:p>
    <w:p w14:paraId="1E485BBD">
      <w:pPr>
        <w:spacing w:after="0" w:line="360" w:lineRule="auto"/>
        <w:jc w:val="center"/>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4"/>
          <w:highlight w:val="none"/>
          <w14:textFill>
            <w14:solidFill>
              <w14:schemeClr w14:val="tx1"/>
            </w14:solidFill>
          </w14:textFill>
        </w:rPr>
        <w:t>招标编号：</w:t>
      </w:r>
    </w:p>
    <w:p w14:paraId="7A4DBB91">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230776F3">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43A3859B">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5D03A484">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3450357E">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09AD7C44">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56BC12A5">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493E9B71">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3A8D92BD">
      <w:pPr>
        <w:spacing w:after="0" w:line="360" w:lineRule="auto"/>
        <w:rPr>
          <w:rFonts w:hint="eastAsia" w:ascii="仿宋" w:hAnsi="仿宋" w:eastAsia="仿宋" w:cs="仿宋"/>
          <w:color w:val="000000" w:themeColor="text1"/>
          <w:sz w:val="28"/>
          <w:szCs w:val="28"/>
          <w14:textFill>
            <w14:solidFill>
              <w14:schemeClr w14:val="tx1"/>
            </w14:solidFill>
          </w14:textFill>
        </w:rPr>
      </w:pPr>
    </w:p>
    <w:p w14:paraId="14468127">
      <w:pPr>
        <w:spacing w:after="0" w:line="360" w:lineRule="auto"/>
        <w:jc w:val="center"/>
        <w:rPr>
          <w:rFonts w:hint="eastAsia"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投标人：</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（盖单位章）</w:t>
      </w:r>
    </w:p>
    <w:p w14:paraId="40B76D8C">
      <w:pPr>
        <w:spacing w:after="0" w:line="360" w:lineRule="auto"/>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法定代表人或其委托代理人：</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（签字或盖电子章）</w:t>
      </w:r>
    </w:p>
    <w:p w14:paraId="21BB4DA0">
      <w:pPr>
        <w:spacing w:after="0" w:line="360" w:lineRule="auto"/>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265E0E3D">
      <w:pPr>
        <w:spacing w:after="0" w:line="360" w:lineRule="auto"/>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r>
        <w:rPr>
          <w:rFonts w:hint="eastAsia" w:ascii="仿宋" w:hAnsi="仿宋" w:eastAsia="仿宋" w:cs="仿宋"/>
          <w:b/>
          <w:bCs/>
          <w:color w:val="000000" w:themeColor="text1"/>
          <w:sz w:val="28"/>
          <w:szCs w:val="28"/>
          <w14:textFill>
            <w14:solidFill>
              <w14:schemeClr w14:val="tx1"/>
            </w14:solidFill>
          </w14:textFill>
        </w:rPr>
        <w:t>洛阳市工程建设项目廉洁自律承诺书</w:t>
      </w:r>
    </w:p>
    <w:p w14:paraId="193067E3">
      <w:pPr>
        <w:spacing w:after="0" w:line="360" w:lineRule="auto"/>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为切实加强工程建设领域的党风廉政建设，严格遵守廉洁从业的有关规定，有效预防和制止各种违法违纪行为和腐败问题的发生，确保把工程项目建设成为廉洁工程，促进经济社会又好又快地发展，作为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（项目名称）的投标人，特向市委、市政府做出如下庄严承诺：</w:t>
      </w:r>
    </w:p>
    <w:p w14:paraId="4757D86C">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一、严格遵守党纪国法和各项政策规定，将廉政建设和廉洁从业的各项要求贯彻始终，廉洁自律，加强监督，保证将工程建设成廉洁工程。</w:t>
      </w:r>
    </w:p>
    <w:p w14:paraId="0B2D0023">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二、严格遵守职业道德，坚持公开、公正、公平的原则，依法合规参与竞争，努力推进诚信建设，决不从事任何不正当竞争和任何违法违纪行为。</w:t>
      </w:r>
    </w:p>
    <w:p w14:paraId="0E2B8FF0">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2DF459CD">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四、建立工程质量监管保证体系。严格按照国家各项相关法规和技术规范从事设计、施工、监理，确保工程设计、施工组织、质量监理全部依法合规，争创优质工程。</w:t>
      </w:r>
    </w:p>
    <w:p w14:paraId="66851AC4">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五、建立安全生产监管保证体系。按照国家各项相关法律和技术规范，在工程建设中落实安全生产“三同时”要求，确保施工人员和其他相关人员生命及人身安全，严防各类安全事故的发生。</w:t>
      </w:r>
    </w:p>
    <w:p w14:paraId="7181DF5E">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六、遵守财经法规，厉行勤俭节约，杜绝铺张浪费，严格控制开支，最大限度地压缩土层用，节约资金。</w:t>
      </w:r>
    </w:p>
    <w:p w14:paraId="58C21DD3">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七、定期不定期地对工程建设中的廉政建设和廉洁从业情况进行内部监督检查，同时主动接受外部有关部门依法依纪的监督检查，及时发现和整改存在的各种问题。</w:t>
      </w:r>
    </w:p>
    <w:p w14:paraId="49DC408E">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八、如在工程建设中发生违法违纪行为和腐败问题，自愿接受党纪、政纪处理直至追究法律责任。</w:t>
      </w:r>
    </w:p>
    <w:p w14:paraId="06C0F36E">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p>
    <w:p w14:paraId="4AAFAA10">
      <w:pPr>
        <w:spacing w:after="0" w:line="360" w:lineRule="auto"/>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承诺单位（企业电子章）</w:t>
      </w:r>
      <w:r>
        <w:rPr>
          <w:rFonts w:hint="eastAsia" w:ascii="仿宋" w:hAnsi="仿宋" w:eastAsia="仿宋" w:cs="仿宋"/>
          <w:color w:val="000000" w:themeColor="text1"/>
          <w:szCs w:val="21"/>
          <w:lang w:val="en-US" w:eastAsia="zh-CN"/>
          <w14:textFill>
            <w14:solidFill>
              <w14:schemeClr w14:val="tx1"/>
            </w14:solidFill>
          </w14:textFill>
        </w:rPr>
        <w:t>:</w:t>
      </w:r>
    </w:p>
    <w:p w14:paraId="0B453C1E">
      <w:pPr>
        <w:spacing w:after="0" w:line="360" w:lineRule="auto"/>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法定代表人（个人电子章）</w:t>
      </w:r>
      <w:r>
        <w:rPr>
          <w:rFonts w:hint="eastAsia" w:ascii="仿宋" w:hAnsi="仿宋" w:eastAsia="仿宋" w:cs="仿宋"/>
          <w:color w:val="000000" w:themeColor="text1"/>
          <w:szCs w:val="21"/>
          <w:lang w:val="en-US" w:eastAsia="zh-CN"/>
          <w14:textFill>
            <w14:solidFill>
              <w14:schemeClr w14:val="tx1"/>
            </w14:solidFill>
          </w14:textFill>
        </w:rPr>
        <w:t>:</w:t>
      </w:r>
    </w:p>
    <w:p w14:paraId="22F761A6">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日期：         年     月     日</w:t>
      </w:r>
    </w:p>
    <w:p w14:paraId="267D09A4">
      <w:pPr>
        <w:spacing w:after="0" w:line="360" w:lineRule="auto"/>
        <w:jc w:val="center"/>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br w:type="page"/>
      </w:r>
      <w:r>
        <w:rPr>
          <w:rFonts w:hint="eastAsia" w:ascii="仿宋" w:hAnsi="仿宋" w:eastAsia="仿宋" w:cs="仿宋"/>
          <w:b/>
          <w:bCs/>
          <w:color w:val="000000" w:themeColor="text1"/>
          <w:sz w:val="28"/>
          <w:szCs w:val="28"/>
          <w14:textFill>
            <w14:solidFill>
              <w14:schemeClr w14:val="tx1"/>
            </w14:solidFill>
          </w14:textFill>
        </w:rPr>
        <w:t>洛阳市工程建设项目廉洁自律告知书</w:t>
      </w:r>
    </w:p>
    <w:p w14:paraId="5604210C">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为维护公平竞争的市场秩序,从源头上有效预防和制止违法违纪行为和腐败问题的发生,促进工程项目建设廉洁优质高效，现就有关事项告知如下：</w:t>
      </w:r>
    </w:p>
    <w:p w14:paraId="2F632AD8">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1、严格遵守工程建设项目的法律、法规及规章制度。</w:t>
      </w:r>
    </w:p>
    <w:p w14:paraId="7D69AF53">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2、严格遵守职业道德，坚持公开、公正、公平、诚信的原则；</w:t>
      </w:r>
    </w:p>
    <w:p w14:paraId="064BC982">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3、严格执行工程建设项目合同文件，自觉按合同办事；</w:t>
      </w:r>
    </w:p>
    <w:p w14:paraId="55F0C6DA">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4、严格执行工程建设项目招标投标、物资采购、设计变更、质量认证、安全生产等各项规定；</w:t>
      </w:r>
    </w:p>
    <w:p w14:paraId="4A39D011">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5、严禁为了获取不正当的利益而损害国家利益、社会公共利益或者他人合法权益；</w:t>
      </w:r>
    </w:p>
    <w:p w14:paraId="2BA83967">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6、严禁向项目建设单位和相关职能部门及有关人员赠送礼金、有价证券、贵重物品或回扣、好处费、感谢费等，不直接或变相行贿搞商业贿赂；</w:t>
      </w:r>
    </w:p>
    <w:p w14:paraId="46A6F7D7">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7、加强内部监督，并自觉接受有关职能部门对工程建设情况的监督检查；</w:t>
      </w:r>
    </w:p>
    <w:p w14:paraId="2E4C7089">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8、严格执行廉洁从业各项规定，并向市委、市政府作出廉洁自律承诺。</w:t>
      </w:r>
    </w:p>
    <w:p w14:paraId="0C11F517">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违反上述告知事项造成不良影响或严重后果的，按照国家有关法律法规予以处理；涉嫌犯罪的，移送司法机关依法追究刑事责任。</w:t>
      </w:r>
    </w:p>
    <w:p w14:paraId="293A8863">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本人已认真阅读并充分理解以上条款，并代表所属单位严格遵守。</w:t>
      </w:r>
    </w:p>
    <w:p w14:paraId="3DB19F29">
      <w:pPr>
        <w:spacing w:after="0" w:line="360" w:lineRule="auto"/>
        <w:ind w:firstLine="435"/>
        <w:rPr>
          <w:rFonts w:hint="eastAsia" w:ascii="仿宋" w:hAnsi="仿宋" w:eastAsia="仿宋" w:cs="仿宋"/>
          <w:color w:val="000000" w:themeColor="text1"/>
          <w:szCs w:val="21"/>
          <w14:textFill>
            <w14:solidFill>
              <w14:schemeClr w14:val="tx1"/>
            </w14:solidFill>
          </w14:textFill>
        </w:rPr>
      </w:pPr>
    </w:p>
    <w:p w14:paraId="4457A1CF">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单位（企业电子章）：</w:t>
      </w:r>
    </w:p>
    <w:p w14:paraId="741B312D">
      <w:pPr>
        <w:spacing w:after="0" w:line="360" w:lineRule="auto"/>
        <w:ind w:firstLine="43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法定代表人（个人电子章）：</w:t>
      </w:r>
    </w:p>
    <w:p w14:paraId="12B6748B">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日期：     年     月     日</w:t>
      </w:r>
    </w:p>
    <w:p w14:paraId="1AA4E599">
      <w:pPr>
        <w:spacing w:after="0" w:line="360" w:lineRule="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39451808">
      <w:pPr>
        <w:spacing w:after="0" w:line="360" w:lineRule="auto"/>
        <w:jc w:val="center"/>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目  录</w:t>
      </w:r>
    </w:p>
    <w:p w14:paraId="2546F18D">
      <w:pPr>
        <w:spacing w:after="0" w:line="360" w:lineRule="auto"/>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p>
    <w:p w14:paraId="4ABC201F">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一、投标函及投标函附录 </w:t>
      </w:r>
    </w:p>
    <w:p w14:paraId="064A4CAC">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二、法定代表人身份证明</w:t>
      </w:r>
    </w:p>
    <w:p w14:paraId="7DAC7E57">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三、法定代表人授权委托书</w:t>
      </w:r>
    </w:p>
    <w:p w14:paraId="364CC7D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四、投标保证金企业信用承诺函</w:t>
      </w:r>
    </w:p>
    <w:p w14:paraId="0083F8B2">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五、投标人基本资料</w:t>
      </w:r>
    </w:p>
    <w:p w14:paraId="337671CB">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六、项目设计方案</w:t>
      </w:r>
    </w:p>
    <w:p w14:paraId="7A3F1681">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七、其他资料</w:t>
      </w:r>
    </w:p>
    <w:p w14:paraId="30C25B09">
      <w:pPr>
        <w:spacing w:after="0" w:line="360" w:lineRule="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31CB2B2F">
      <w:pPr>
        <w:pStyle w:val="47"/>
        <w:keepNext w:val="0"/>
        <w:keepLines w:val="0"/>
        <w:spacing w:before="0" w:line="360" w:lineRule="auto"/>
        <w:jc w:val="center"/>
        <w:rPr>
          <w:rFonts w:hint="eastAsia" w:ascii="仿宋" w:hAnsi="仿宋" w:eastAsia="仿宋" w:cs="仿宋"/>
          <w:color w:val="000000" w:themeColor="text1"/>
          <w:szCs w:val="28"/>
          <w14:textFill>
            <w14:solidFill>
              <w14:schemeClr w14:val="tx1"/>
            </w14:solidFill>
          </w14:textFill>
        </w:rPr>
      </w:pPr>
      <w:bookmarkStart w:id="416" w:name="_Toc144974857"/>
      <w:bookmarkStart w:id="417" w:name="_Toc8423600"/>
      <w:bookmarkStart w:id="418" w:name="_Toc152042577"/>
      <w:bookmarkStart w:id="419" w:name="_Toc152045788"/>
      <w:bookmarkStart w:id="420" w:name="_Toc26538246"/>
      <w:bookmarkStart w:id="421" w:name="_Toc177142663"/>
      <w:bookmarkStart w:id="422" w:name="_Toc40361909"/>
      <w:r>
        <w:rPr>
          <w:rFonts w:hint="eastAsia" w:ascii="仿宋" w:hAnsi="仿宋" w:eastAsia="仿宋" w:cs="仿宋"/>
          <w:color w:val="000000" w:themeColor="text1"/>
          <w:szCs w:val="28"/>
          <w14:textFill>
            <w14:solidFill>
              <w14:schemeClr w14:val="tx1"/>
            </w14:solidFill>
          </w14:textFill>
        </w:rPr>
        <w:t>一、投标函及投标函附录</w:t>
      </w:r>
      <w:bookmarkEnd w:id="416"/>
      <w:bookmarkEnd w:id="417"/>
      <w:bookmarkEnd w:id="418"/>
      <w:bookmarkEnd w:id="419"/>
      <w:bookmarkEnd w:id="420"/>
      <w:bookmarkEnd w:id="421"/>
      <w:bookmarkEnd w:id="422"/>
    </w:p>
    <w:p w14:paraId="1E589162">
      <w:pPr>
        <w:pStyle w:val="4"/>
        <w:keepNext w:val="0"/>
        <w:keepLines w:val="0"/>
        <w:numPr>
          <w:ilvl w:val="0"/>
          <w:numId w:val="1"/>
        </w:numPr>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bookmarkStart w:id="423" w:name="_Toc40361910"/>
      <w:bookmarkStart w:id="424" w:name="_Toc6826"/>
      <w:r>
        <w:rPr>
          <w:rFonts w:hint="eastAsia" w:ascii="仿宋" w:hAnsi="仿宋" w:eastAsia="仿宋" w:cs="仿宋"/>
          <w:color w:val="000000" w:themeColor="text1"/>
          <w:sz w:val="21"/>
          <w:szCs w:val="21"/>
          <w14:textFill>
            <w14:solidFill>
              <w14:schemeClr w14:val="tx1"/>
            </w14:solidFill>
          </w14:textFill>
        </w:rPr>
        <w:t>投标函</w:t>
      </w:r>
      <w:bookmarkEnd w:id="423"/>
      <w:bookmarkEnd w:id="424"/>
    </w:p>
    <w:p w14:paraId="6F170C69">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（招标人名称）：</w:t>
      </w:r>
    </w:p>
    <w:p w14:paraId="3E894634">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1．我方已仔细研究了</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（项目名称）招标文件的全部内容，愿意以</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元的投标报价，服务周期：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，质量要求：</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，按合同约定完成本项目设计工作。</w:t>
      </w:r>
    </w:p>
    <w:p w14:paraId="462D6217">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2．我方承诺在投标有效期内不修改、撤销投标文件。</w:t>
      </w:r>
    </w:p>
    <w:p w14:paraId="436A8C19">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3．如我方中标：</w:t>
      </w:r>
    </w:p>
    <w:p w14:paraId="3B3B4B8E">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（1）我方承诺在收到中标通知书后，在中标通知书规定的期限内与你方签订合同。</w:t>
      </w:r>
    </w:p>
    <w:p w14:paraId="0467F3B6">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（2）随同本投标函递交的投标函附录属于合同文件的组成部分。</w:t>
      </w:r>
    </w:p>
    <w:p w14:paraId="66AC7C7B">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（3）我方承诺按照招标文件规定向你方递交履约保证金（如有）。</w:t>
      </w:r>
    </w:p>
    <w:p w14:paraId="15D480E8">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（4）我方愿意按照招标文件要求缴纳代理服务费。</w:t>
      </w:r>
    </w:p>
    <w:p w14:paraId="467B3EE1">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（5）我单位承诺按招标文件中付款周期的约定签订合同。</w:t>
      </w:r>
    </w:p>
    <w:p w14:paraId="36AED7DD">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（6）我方承诺在合同约定的期限内完成并移交全部合同工作。</w:t>
      </w:r>
    </w:p>
    <w:p w14:paraId="08B07761">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4．我方在此声明，所递交的投标文件及有关资料内容完整、真实和准确，且不存在第二章“投标人须知”第1.4.3项规定的任何一种情形。</w:t>
      </w:r>
    </w:p>
    <w:p w14:paraId="5B41742B">
      <w:pPr>
        <w:spacing w:after="0" w:line="360" w:lineRule="auto"/>
        <w:ind w:firstLine="567" w:firstLineChars="27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（其他补充说明）。</w:t>
      </w:r>
    </w:p>
    <w:p w14:paraId="6AB0EAE5">
      <w:pPr>
        <w:pStyle w:val="41"/>
        <w:adjustRightInd/>
        <w:spacing w:line="360" w:lineRule="auto"/>
        <w:rPr>
          <w:rFonts w:hint="eastAsia" w:ascii="仿宋" w:hAnsi="仿宋" w:eastAsia="仿宋" w:cs="仿宋"/>
          <w:color w:val="000000" w:themeColor="text1"/>
          <w:sz w:val="21"/>
          <w:szCs w:val="21"/>
          <w14:textFill>
            <w14:solidFill>
              <w14:schemeClr w14:val="tx1"/>
            </w14:solidFill>
          </w14:textFill>
        </w:rPr>
      </w:pPr>
    </w:p>
    <w:p w14:paraId="1F10B865">
      <w:pPr>
        <w:spacing w:after="0" w:line="360" w:lineRule="auto"/>
        <w:ind w:firstLine="497"/>
        <w:rPr>
          <w:rFonts w:hint="eastAsia" w:ascii="仿宋" w:hAnsi="仿宋" w:eastAsia="仿宋" w:cs="仿宋"/>
          <w:color w:val="000000" w:themeColor="text1"/>
          <w:szCs w:val="21"/>
          <w14:textFill>
            <w14:solidFill>
              <w14:schemeClr w14:val="tx1"/>
            </w14:solidFill>
          </w14:textFill>
        </w:rPr>
      </w:pPr>
    </w:p>
    <w:p w14:paraId="3B952F62">
      <w:pPr>
        <w:spacing w:after="0" w:line="360" w:lineRule="auto"/>
        <w:rPr>
          <w:rFonts w:hint="eastAsia" w:ascii="仿宋" w:hAnsi="仿宋" w:eastAsia="仿宋" w:cs="仿宋"/>
          <w:color w:val="000000" w:themeColor="text1"/>
          <w:szCs w:val="21"/>
          <w:u w:val="single"/>
          <w14:textFill>
            <w14:solidFill>
              <w14:schemeClr w14:val="tx1"/>
            </w14:solidFill>
          </w14:textFill>
        </w:rPr>
      </w:pPr>
    </w:p>
    <w:p w14:paraId="2EFEF97E">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（企业电子章）</w:t>
      </w:r>
    </w:p>
    <w:p w14:paraId="30E71F6F">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（个人电子章）</w:t>
      </w:r>
    </w:p>
    <w:p w14:paraId="52A9144F">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地址：</w:t>
      </w:r>
      <w:r>
        <w:rPr>
          <w:rFonts w:hint="eastAsia" w:ascii="仿宋" w:hAnsi="仿宋" w:eastAsia="仿宋" w:cs="仿宋"/>
          <w:color w:val="000000" w:themeColor="text1"/>
          <w:szCs w:val="21"/>
          <w:u w:val="single"/>
          <w14:textFill>
            <w14:solidFill>
              <w14:schemeClr w14:val="tx1"/>
            </w14:solidFill>
          </w14:textFill>
        </w:rPr>
        <w:t xml:space="preserve">                                 </w:t>
      </w:r>
    </w:p>
    <w:p w14:paraId="67282D40">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网址：</w:t>
      </w:r>
      <w:r>
        <w:rPr>
          <w:rFonts w:hint="eastAsia" w:ascii="仿宋" w:hAnsi="仿宋" w:eastAsia="仿宋" w:cs="仿宋"/>
          <w:color w:val="000000" w:themeColor="text1"/>
          <w:szCs w:val="21"/>
          <w:u w:val="single"/>
          <w14:textFill>
            <w14:solidFill>
              <w14:schemeClr w14:val="tx1"/>
            </w14:solidFill>
          </w14:textFill>
        </w:rPr>
        <w:t xml:space="preserve">                                 </w:t>
      </w:r>
    </w:p>
    <w:p w14:paraId="68CF8EC4">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电话：</w:t>
      </w:r>
      <w:r>
        <w:rPr>
          <w:rFonts w:hint="eastAsia" w:ascii="仿宋" w:hAnsi="仿宋" w:eastAsia="仿宋" w:cs="仿宋"/>
          <w:color w:val="000000" w:themeColor="text1"/>
          <w:szCs w:val="21"/>
          <w:u w:val="single"/>
          <w14:textFill>
            <w14:solidFill>
              <w14:schemeClr w14:val="tx1"/>
            </w14:solidFill>
          </w14:textFill>
        </w:rPr>
        <w:t xml:space="preserve">                                 </w:t>
      </w:r>
    </w:p>
    <w:p w14:paraId="4F92D15C">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传真：</w:t>
      </w:r>
      <w:r>
        <w:rPr>
          <w:rFonts w:hint="eastAsia" w:ascii="仿宋" w:hAnsi="仿宋" w:eastAsia="仿宋" w:cs="仿宋"/>
          <w:color w:val="000000" w:themeColor="text1"/>
          <w:szCs w:val="21"/>
          <w:u w:val="single"/>
          <w14:textFill>
            <w14:solidFill>
              <w14:schemeClr w14:val="tx1"/>
            </w14:solidFill>
          </w14:textFill>
        </w:rPr>
        <w:t xml:space="preserve">                                 </w:t>
      </w:r>
    </w:p>
    <w:p w14:paraId="44613DC6">
      <w:pPr>
        <w:spacing w:after="0" w:line="360" w:lineRule="auto"/>
        <w:ind w:firstLine="3099" w:firstLineChars="147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r>
        <w:rPr>
          <w:rFonts w:hint="eastAsia" w:ascii="仿宋" w:hAnsi="仿宋" w:eastAsia="仿宋" w:cs="仿宋"/>
          <w:color w:val="000000" w:themeColor="text1"/>
          <w:szCs w:val="21"/>
          <w:u w:val="single"/>
          <w14:textFill>
            <w14:solidFill>
              <w14:schemeClr w14:val="tx1"/>
            </w14:solidFill>
          </w14:textFill>
        </w:rPr>
        <w:t xml:space="preserve">                             </w:t>
      </w:r>
    </w:p>
    <w:p w14:paraId="0354A710">
      <w:pPr>
        <w:spacing w:after="0" w:line="360" w:lineRule="auto"/>
        <w:ind w:firstLine="4515" w:firstLineChars="21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36557623">
      <w:pPr>
        <w:pStyle w:val="4"/>
        <w:keepNext w:val="0"/>
        <w:keepLines w:val="0"/>
        <w:numPr>
          <w:ilvl w:val="0"/>
          <w:numId w:val="1"/>
        </w:numPr>
        <w:spacing w:before="0" w:after="0" w:line="360" w:lineRule="auto"/>
        <w:jc w:val="center"/>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bookmarkStart w:id="425" w:name="_Toc40361911"/>
      <w:r>
        <w:rPr>
          <w:rFonts w:hint="eastAsia" w:ascii="仿宋" w:hAnsi="仿宋" w:eastAsia="仿宋" w:cs="仿宋"/>
          <w:color w:val="000000" w:themeColor="text1"/>
          <w:sz w:val="21"/>
          <w:szCs w:val="21"/>
          <w14:textFill>
            <w14:solidFill>
              <w14:schemeClr w14:val="tx1"/>
            </w14:solidFill>
          </w14:textFill>
        </w:rPr>
        <w:t>投标函附录</w:t>
      </w:r>
      <w:bookmarkEnd w:id="425"/>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1174"/>
        <w:gridCol w:w="1056"/>
        <w:gridCol w:w="1056"/>
        <w:gridCol w:w="1056"/>
        <w:gridCol w:w="1187"/>
        <w:gridCol w:w="1474"/>
      </w:tblGrid>
      <w:tr w14:paraId="3A3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47" w:type="pct"/>
            <w:shd w:val="clear" w:color="auto" w:fill="auto"/>
            <w:vAlign w:val="center"/>
          </w:tcPr>
          <w:p w14:paraId="1CED9743">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项目名称</w:t>
            </w:r>
          </w:p>
        </w:tc>
        <w:tc>
          <w:tcPr>
            <w:tcW w:w="3953" w:type="pct"/>
            <w:gridSpan w:val="6"/>
            <w:shd w:val="clear" w:color="auto" w:fill="auto"/>
            <w:vAlign w:val="center"/>
          </w:tcPr>
          <w:p w14:paraId="1C373D77">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r w14:paraId="747E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047" w:type="pct"/>
            <w:shd w:val="clear" w:color="auto" w:fill="auto"/>
            <w:vAlign w:val="center"/>
          </w:tcPr>
          <w:p w14:paraId="1A592437">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投标报价</w:t>
            </w:r>
          </w:p>
        </w:tc>
        <w:tc>
          <w:tcPr>
            <w:tcW w:w="3953" w:type="pct"/>
            <w:gridSpan w:val="6"/>
            <w:shd w:val="clear" w:color="auto" w:fill="auto"/>
            <w:vAlign w:val="center"/>
          </w:tcPr>
          <w:p w14:paraId="2E5A212C">
            <w:pPr>
              <w:spacing w:after="0" w:line="360" w:lineRule="auto"/>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xml:space="preserve">小写（元）：   </w:t>
            </w:r>
          </w:p>
          <w:p w14:paraId="1B34C695">
            <w:pPr>
              <w:pStyle w:val="9"/>
              <w:rPr>
                <w:rFonts w:hint="eastAsia"/>
                <w:color w:val="000000" w:themeColor="text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大写：</w:t>
            </w:r>
          </w:p>
        </w:tc>
      </w:tr>
      <w:tr w14:paraId="5F04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047" w:type="pct"/>
            <w:shd w:val="clear" w:color="auto" w:fill="auto"/>
            <w:vAlign w:val="center"/>
          </w:tcPr>
          <w:p w14:paraId="2936A8E4">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设计项目负责人</w:t>
            </w:r>
          </w:p>
        </w:tc>
        <w:tc>
          <w:tcPr>
            <w:tcW w:w="663" w:type="pct"/>
            <w:shd w:val="clear" w:color="auto" w:fill="auto"/>
            <w:vAlign w:val="center"/>
          </w:tcPr>
          <w:p w14:paraId="16DA5558">
            <w:pPr>
              <w:spacing w:after="0" w:line="360" w:lineRule="auto"/>
              <w:ind w:left="155" w:hanging="155" w:hangingChars="74"/>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姓名</w:t>
            </w:r>
          </w:p>
        </w:tc>
        <w:tc>
          <w:tcPr>
            <w:tcW w:w="596" w:type="pct"/>
            <w:shd w:val="clear" w:color="auto" w:fill="auto"/>
            <w:vAlign w:val="center"/>
          </w:tcPr>
          <w:p w14:paraId="7C0E74EA">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c>
          <w:tcPr>
            <w:tcW w:w="596" w:type="pct"/>
            <w:shd w:val="clear" w:color="auto" w:fill="auto"/>
            <w:vAlign w:val="center"/>
          </w:tcPr>
          <w:p w14:paraId="57E13EAA">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身份证号</w:t>
            </w:r>
          </w:p>
        </w:tc>
        <w:tc>
          <w:tcPr>
            <w:tcW w:w="596" w:type="pct"/>
            <w:shd w:val="clear" w:color="auto" w:fill="auto"/>
            <w:vAlign w:val="center"/>
          </w:tcPr>
          <w:p w14:paraId="00A7582B">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c>
          <w:tcPr>
            <w:tcW w:w="670" w:type="pct"/>
            <w:shd w:val="clear" w:color="auto" w:fill="auto"/>
            <w:vAlign w:val="center"/>
          </w:tcPr>
          <w:p w14:paraId="7CC636F0">
            <w:pPr>
              <w:spacing w:after="0" w:line="360" w:lineRule="auto"/>
              <w:ind w:firstLine="178" w:firstLineChars="85"/>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证书编号</w:t>
            </w:r>
          </w:p>
        </w:tc>
        <w:tc>
          <w:tcPr>
            <w:tcW w:w="832" w:type="pct"/>
            <w:shd w:val="clear" w:color="auto" w:fill="auto"/>
            <w:vAlign w:val="center"/>
          </w:tcPr>
          <w:p w14:paraId="7FA4F152">
            <w:pPr>
              <w:spacing w:after="0" w:line="360" w:lineRule="auto"/>
              <w:ind w:firstLine="179" w:firstLineChars="85"/>
              <w:jc w:val="center"/>
              <w:rPr>
                <w:rFonts w:hint="eastAsia" w:ascii="仿宋" w:hAnsi="仿宋" w:eastAsia="仿宋" w:cs="仿宋"/>
                <w:b/>
                <w:bCs/>
                <w:color w:val="000000" w:themeColor="text1"/>
                <w:kern w:val="0"/>
                <w:szCs w:val="21"/>
                <w14:textFill>
                  <w14:solidFill>
                    <w14:schemeClr w14:val="tx1"/>
                  </w14:solidFill>
                </w14:textFill>
              </w:rPr>
            </w:pPr>
          </w:p>
        </w:tc>
      </w:tr>
      <w:tr w14:paraId="6471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47" w:type="pct"/>
            <w:shd w:val="clear" w:color="auto" w:fill="auto"/>
            <w:vAlign w:val="center"/>
          </w:tcPr>
          <w:p w14:paraId="57FBAD97">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服务周期</w:t>
            </w:r>
          </w:p>
        </w:tc>
        <w:tc>
          <w:tcPr>
            <w:tcW w:w="3953" w:type="pct"/>
            <w:gridSpan w:val="6"/>
            <w:shd w:val="clear" w:color="auto" w:fill="auto"/>
            <w:vAlign w:val="center"/>
          </w:tcPr>
          <w:p w14:paraId="6262A722">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r w14:paraId="4BCE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7" w:type="pct"/>
            <w:shd w:val="clear" w:color="auto" w:fill="auto"/>
            <w:vAlign w:val="center"/>
          </w:tcPr>
          <w:p w14:paraId="6F47CE2E">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质量要求</w:t>
            </w:r>
          </w:p>
        </w:tc>
        <w:tc>
          <w:tcPr>
            <w:tcW w:w="3953" w:type="pct"/>
            <w:gridSpan w:val="6"/>
            <w:shd w:val="clear" w:color="auto" w:fill="auto"/>
            <w:vAlign w:val="center"/>
          </w:tcPr>
          <w:p w14:paraId="1C001908">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r w14:paraId="4BF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47" w:type="pct"/>
            <w:shd w:val="clear" w:color="auto" w:fill="auto"/>
            <w:vAlign w:val="center"/>
          </w:tcPr>
          <w:p w14:paraId="74466A13">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投标有效期</w:t>
            </w:r>
          </w:p>
        </w:tc>
        <w:tc>
          <w:tcPr>
            <w:tcW w:w="3953" w:type="pct"/>
            <w:gridSpan w:val="6"/>
            <w:shd w:val="clear" w:color="auto" w:fill="auto"/>
            <w:vAlign w:val="center"/>
          </w:tcPr>
          <w:p w14:paraId="028247FE">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r w14:paraId="4D82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047" w:type="pct"/>
            <w:shd w:val="clear" w:color="auto" w:fill="auto"/>
            <w:vAlign w:val="center"/>
          </w:tcPr>
          <w:p w14:paraId="4F2FE9CD">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是否响应本项目“第五章 发包人要求”中的所有内容</w:t>
            </w:r>
          </w:p>
        </w:tc>
        <w:tc>
          <w:tcPr>
            <w:tcW w:w="3953" w:type="pct"/>
            <w:gridSpan w:val="6"/>
            <w:shd w:val="clear" w:color="auto" w:fill="auto"/>
            <w:vAlign w:val="center"/>
          </w:tcPr>
          <w:p w14:paraId="2D454239">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r w14:paraId="3BFD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47" w:type="pct"/>
            <w:shd w:val="clear" w:color="auto" w:fill="auto"/>
            <w:vAlign w:val="center"/>
          </w:tcPr>
          <w:p w14:paraId="0DE02D5A">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是否响应本项目的付款方式</w:t>
            </w:r>
          </w:p>
        </w:tc>
        <w:tc>
          <w:tcPr>
            <w:tcW w:w="3953" w:type="pct"/>
            <w:gridSpan w:val="6"/>
            <w:shd w:val="clear" w:color="auto" w:fill="auto"/>
            <w:vAlign w:val="center"/>
          </w:tcPr>
          <w:p w14:paraId="55C1FFCB">
            <w:pPr>
              <w:spacing w:after="0" w:line="360" w:lineRule="auto"/>
              <w:jc w:val="center"/>
              <w:rPr>
                <w:rFonts w:hint="eastAsia" w:ascii="仿宋" w:hAnsi="仿宋" w:eastAsia="仿宋" w:cs="仿宋"/>
                <w:b/>
                <w:bCs/>
                <w:color w:val="000000" w:themeColor="text1"/>
                <w:kern w:val="0"/>
                <w:szCs w:val="21"/>
                <w14:textFill>
                  <w14:solidFill>
                    <w14:schemeClr w14:val="tx1"/>
                  </w14:solidFill>
                </w14:textFill>
              </w:rPr>
            </w:pPr>
          </w:p>
        </w:tc>
      </w:tr>
    </w:tbl>
    <w:p w14:paraId="765F43BA">
      <w:pPr>
        <w:spacing w:after="0" w:line="360" w:lineRule="auto"/>
        <w:rPr>
          <w:rFonts w:hint="eastAsia" w:ascii="仿宋" w:hAnsi="仿宋" w:eastAsia="仿宋" w:cs="仿宋"/>
          <w:color w:val="000000" w:themeColor="text1"/>
          <w:kern w:val="0"/>
          <w:sz w:val="24"/>
          <w:szCs w:val="24"/>
          <w14:textFill>
            <w14:solidFill>
              <w14:schemeClr w14:val="tx1"/>
            </w14:solidFill>
          </w14:textFill>
        </w:rPr>
      </w:pPr>
    </w:p>
    <w:p w14:paraId="1131B3CD">
      <w:pPr>
        <w:spacing w:after="0" w:line="360" w:lineRule="auto"/>
        <w:ind w:firstLine="4410" w:firstLineChars="21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（企业电子章）</w:t>
      </w:r>
    </w:p>
    <w:p w14:paraId="34BAAC05">
      <w:pPr>
        <w:spacing w:after="0" w:line="360" w:lineRule="auto"/>
        <w:ind w:firstLine="4393" w:firstLineChars="209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（个人电子章）</w:t>
      </w:r>
    </w:p>
    <w:p w14:paraId="6898D90B">
      <w:pPr>
        <w:spacing w:after="0" w:line="360" w:lineRule="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23EDA363">
      <w:pPr>
        <w:spacing w:after="0" w:line="360" w:lineRule="auto"/>
        <w:rPr>
          <w:rFonts w:hint="eastAsia" w:ascii="仿宋" w:hAnsi="仿宋" w:eastAsia="仿宋" w:cs="仿宋"/>
          <w:color w:val="000000" w:themeColor="text1"/>
          <w14:textFill>
            <w14:solidFill>
              <w14:schemeClr w14:val="tx1"/>
            </w14:solidFill>
          </w14:textFill>
        </w:rPr>
      </w:pPr>
      <w:bookmarkStart w:id="426" w:name="_Toc40361912"/>
      <w:r>
        <w:rPr>
          <w:rFonts w:hint="eastAsia" w:ascii="仿宋" w:hAnsi="仿宋" w:eastAsia="仿宋" w:cs="仿宋"/>
          <w:color w:val="000000" w:themeColor="text1"/>
          <w14:textFill>
            <w14:solidFill>
              <w14:schemeClr w14:val="tx1"/>
            </w14:solidFill>
          </w14:textFill>
        </w:rPr>
        <w:br w:type="page"/>
      </w:r>
    </w:p>
    <w:p w14:paraId="18A8EB0F">
      <w:pPr>
        <w:pStyle w:val="47"/>
        <w:keepNext w:val="0"/>
        <w:keepLines w:val="0"/>
        <w:spacing w:before="0" w:line="360" w:lineRule="auto"/>
        <w:jc w:val="center"/>
        <w:rPr>
          <w:rFonts w:hint="eastAsia" w:ascii="仿宋" w:hAnsi="仿宋" w:eastAsia="仿宋" w:cs="仿宋"/>
          <w:color w:val="000000" w:themeColor="text1"/>
          <w:szCs w:val="28"/>
          <w14:textFill>
            <w14:solidFill>
              <w14:schemeClr w14:val="tx1"/>
            </w14:solidFill>
          </w14:textFill>
        </w:rPr>
      </w:pPr>
      <w:bookmarkStart w:id="427" w:name="_Toc177142664"/>
      <w:r>
        <w:rPr>
          <w:rFonts w:hint="eastAsia" w:ascii="仿宋" w:hAnsi="仿宋" w:eastAsia="仿宋" w:cs="仿宋"/>
          <w:color w:val="000000" w:themeColor="text1"/>
          <w:szCs w:val="28"/>
          <w14:textFill>
            <w14:solidFill>
              <w14:schemeClr w14:val="tx1"/>
            </w14:solidFill>
          </w14:textFill>
        </w:rPr>
        <w:t>二、法定代表人身份证明</w:t>
      </w:r>
      <w:bookmarkEnd w:id="426"/>
      <w:bookmarkEnd w:id="427"/>
      <w:r>
        <w:rPr>
          <w:rFonts w:hint="eastAsia" w:ascii="仿宋" w:hAnsi="仿宋" w:eastAsia="仿宋" w:cs="仿宋"/>
          <w:color w:val="000000" w:themeColor="text1"/>
          <w:szCs w:val="28"/>
          <w14:textFill>
            <w14:solidFill>
              <w14:schemeClr w14:val="tx1"/>
            </w14:solidFill>
          </w14:textFill>
        </w:rPr>
        <w:t xml:space="preserve"> </w:t>
      </w:r>
    </w:p>
    <w:p w14:paraId="3EE658EF">
      <w:pPr>
        <w:spacing w:after="0" w:line="360" w:lineRule="auto"/>
        <w:ind w:firstLine="424" w:firstLineChars="202"/>
        <w:jc w:val="center"/>
        <w:rPr>
          <w:rFonts w:hint="eastAsia" w:ascii="仿宋" w:hAnsi="仿宋" w:eastAsia="仿宋" w:cs="仿宋"/>
          <w:color w:val="000000" w:themeColor="text1"/>
          <w:szCs w:val="21"/>
          <w14:textFill>
            <w14:solidFill>
              <w14:schemeClr w14:val="tx1"/>
            </w14:solidFill>
          </w14:textFill>
        </w:rPr>
      </w:pPr>
    </w:p>
    <w:p w14:paraId="2B09F994">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p>
    <w:p w14:paraId="53FAAE52">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投标人名称：_________________________________________________</w:t>
      </w:r>
    </w:p>
    <w:p w14:paraId="5AFFD866">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单位性质：___________________________________________________</w:t>
      </w:r>
    </w:p>
    <w:p w14:paraId="3D09E789">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地址：_______________________________________________________</w:t>
      </w:r>
    </w:p>
    <w:p w14:paraId="20D43BFD">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成立时间：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68A6507D">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经营期限：___________________________________________________</w:t>
      </w:r>
    </w:p>
    <w:p w14:paraId="05BE29B0">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姓名：</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性别：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年龄：</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职务：_________</w:t>
      </w:r>
    </w:p>
    <w:p w14:paraId="6055D183">
      <w:pPr>
        <w:spacing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（投标人名称）的法定代表人。</w:t>
      </w:r>
    </w:p>
    <w:p w14:paraId="08269F97">
      <w:pPr>
        <w:spacing w:after="0" w:line="24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特此证明。</w:t>
      </w:r>
    </w:p>
    <w:p w14:paraId="1D7A09FA">
      <w:pPr>
        <w:spacing w:after="0" w:line="360" w:lineRule="auto"/>
        <w:rPr>
          <w:rFonts w:hint="eastAsia" w:ascii="仿宋" w:hAnsi="仿宋" w:eastAsia="仿宋" w:cs="仿宋"/>
          <w:color w:val="000000" w:themeColor="text1"/>
          <w:szCs w:val="21"/>
          <w14:textFill>
            <w14:solidFill>
              <w14:schemeClr w14:val="tx1"/>
            </w14:solidFill>
          </w14:textFill>
        </w:rPr>
      </w:pPr>
    </w:p>
    <w:p w14:paraId="3D26C9BD">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附：法定代表人身份证双面扫描件。</w:t>
      </w:r>
    </w:p>
    <w:p w14:paraId="6535271C">
      <w:pPr>
        <w:pStyle w:val="41"/>
        <w:adjustRightInd/>
        <w:spacing w:line="360" w:lineRule="auto"/>
        <w:rPr>
          <w:rFonts w:hint="eastAsia" w:ascii="仿宋" w:hAnsi="仿宋" w:eastAsia="仿宋" w:cs="仿宋"/>
          <w:color w:val="000000" w:themeColor="text1"/>
          <w14:textFill>
            <w14:solidFill>
              <w14:schemeClr w14:val="tx1"/>
            </w14:solidFill>
          </w14:textFill>
        </w:rPr>
      </w:pPr>
    </w:p>
    <w:p w14:paraId="689347C9">
      <w:pPr>
        <w:pStyle w:val="41"/>
        <w:adjustRightInd/>
        <w:spacing w:line="360" w:lineRule="auto"/>
        <w:rPr>
          <w:rFonts w:hint="eastAsia" w:ascii="仿宋" w:hAnsi="仿宋" w:eastAsia="仿宋" w:cs="仿宋"/>
          <w:color w:val="000000" w:themeColor="text1"/>
          <w14:textFill>
            <w14:solidFill>
              <w14:schemeClr w14:val="tx1"/>
            </w14:solidFill>
          </w14:textFill>
        </w:rPr>
      </w:pPr>
    </w:p>
    <w:p w14:paraId="1460F35D">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（企业电子章）</w:t>
      </w:r>
    </w:p>
    <w:p w14:paraId="431B3BBD">
      <w:pPr>
        <w:spacing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54AF1C27">
      <w:pPr>
        <w:spacing w:after="0" w:line="360" w:lineRule="auto"/>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br w:type="page"/>
      </w:r>
    </w:p>
    <w:p w14:paraId="0499F292">
      <w:pPr>
        <w:pStyle w:val="72"/>
        <w:keepNext w:val="0"/>
        <w:keepLines w:val="0"/>
        <w:jc w:val="center"/>
        <w:rPr>
          <w:rFonts w:hint="eastAsia" w:ascii="仿宋" w:hAnsi="仿宋" w:eastAsia="仿宋" w:cs="仿宋"/>
          <w:bCs w:val="0"/>
          <w:color w:val="000000" w:themeColor="text1"/>
          <w:sz w:val="28"/>
          <w:szCs w:val="28"/>
          <w14:textFill>
            <w14:solidFill>
              <w14:schemeClr w14:val="tx1"/>
            </w14:solidFill>
          </w14:textFill>
        </w:rPr>
      </w:pPr>
      <w:bookmarkStart w:id="428" w:name="_Toc152042581"/>
      <w:bookmarkStart w:id="429" w:name="_Toc144974861"/>
      <w:bookmarkStart w:id="430" w:name="_Toc152045792"/>
      <w:bookmarkStart w:id="431" w:name="_Toc177142665"/>
      <w:bookmarkStart w:id="432" w:name="_Toc8423605"/>
      <w:bookmarkStart w:id="433" w:name="_Toc40361914"/>
      <w:bookmarkStart w:id="434" w:name="_Toc26538248"/>
      <w:r>
        <w:rPr>
          <w:rFonts w:hint="eastAsia" w:ascii="仿宋" w:hAnsi="仿宋" w:eastAsia="仿宋" w:cs="仿宋"/>
          <w:bCs w:val="0"/>
          <w:color w:val="000000" w:themeColor="text1"/>
          <w:sz w:val="28"/>
          <w:szCs w:val="28"/>
          <w14:textFill>
            <w14:solidFill>
              <w14:schemeClr w14:val="tx1"/>
            </w14:solidFill>
          </w14:textFill>
        </w:rPr>
        <w:t>三、法定代表人授权委托书</w:t>
      </w:r>
      <w:bookmarkEnd w:id="428"/>
      <w:bookmarkEnd w:id="429"/>
      <w:bookmarkEnd w:id="430"/>
      <w:bookmarkEnd w:id="431"/>
      <w:bookmarkEnd w:id="432"/>
      <w:bookmarkEnd w:id="433"/>
      <w:bookmarkEnd w:id="434"/>
    </w:p>
    <w:p w14:paraId="5EF8FEEA">
      <w:pPr>
        <w:topLinePunct/>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44B78F81">
      <w:pPr>
        <w:topLinePunct/>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（姓名）系</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（投标人名称）的法定代表人，现委托</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（姓名）</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联系电话）为我方代理人。代理人根据授权，以我方名义签署、澄清、说明、补正、递交、撤回、修改</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（项目名称）投标文件、签订合同和处理有关事宜，其法律后果由我方承担。</w:t>
      </w:r>
    </w:p>
    <w:p w14:paraId="49C544D0">
      <w:pPr>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本授权委托书自签署之日起至投标有效期结束前始终有效。</w:t>
      </w:r>
    </w:p>
    <w:p w14:paraId="4ED9829C">
      <w:pPr>
        <w:spacing w:after="0"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代理人无转委托权。</w:t>
      </w:r>
    </w:p>
    <w:p w14:paraId="3F1B4D97">
      <w:pPr>
        <w:topLinePunct/>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p>
    <w:p w14:paraId="05F75D6D">
      <w:pPr>
        <w:topLinePunct/>
        <w:spacing w:after="0" w:line="360" w:lineRule="auto"/>
        <w:ind w:firstLine="424" w:firstLineChars="20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附：委托代理人身份证双面扫描件。</w:t>
      </w:r>
    </w:p>
    <w:p w14:paraId="7A929256">
      <w:pPr>
        <w:spacing w:after="0" w:line="360" w:lineRule="auto"/>
        <w:rPr>
          <w:rFonts w:hint="eastAsia" w:ascii="仿宋" w:hAnsi="仿宋" w:eastAsia="仿宋" w:cs="仿宋"/>
          <w:color w:val="000000" w:themeColor="text1"/>
          <w:szCs w:val="21"/>
          <w14:textFill>
            <w14:solidFill>
              <w14:schemeClr w14:val="tx1"/>
            </w14:solidFill>
          </w14:textFill>
        </w:rPr>
      </w:pPr>
    </w:p>
    <w:p w14:paraId="397986A9">
      <w:pPr>
        <w:pStyle w:val="9"/>
        <w:spacing w:after="0" w:line="360" w:lineRule="auto"/>
        <w:rPr>
          <w:rFonts w:hint="eastAsia" w:ascii="仿宋" w:hAnsi="仿宋" w:eastAsia="仿宋" w:cs="仿宋"/>
          <w:color w:val="000000" w:themeColor="text1"/>
          <w:szCs w:val="21"/>
          <w14:textFill>
            <w14:solidFill>
              <w14:schemeClr w14:val="tx1"/>
            </w14:solidFill>
          </w14:textFill>
        </w:rPr>
      </w:pPr>
    </w:p>
    <w:p w14:paraId="75E8D37C">
      <w:pPr>
        <w:pStyle w:val="41"/>
        <w:spacing w:line="360" w:lineRule="auto"/>
        <w:rPr>
          <w:rFonts w:hint="eastAsia" w:ascii="仿宋" w:hAnsi="仿宋" w:eastAsia="仿宋" w:cs="仿宋"/>
          <w:color w:val="000000" w:themeColor="text1"/>
          <w:sz w:val="21"/>
          <w:szCs w:val="21"/>
          <w14:textFill>
            <w14:solidFill>
              <w14:schemeClr w14:val="tx1"/>
            </w14:solidFill>
          </w14:textFill>
        </w:rPr>
      </w:pPr>
    </w:p>
    <w:p w14:paraId="5F6E19BD">
      <w:pPr>
        <w:spacing w:after="0" w:line="360" w:lineRule="auto"/>
        <w:ind w:firstLine="3826" w:firstLineChars="182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（企业电子章）</w:t>
      </w:r>
    </w:p>
    <w:p w14:paraId="168E8406">
      <w:pPr>
        <w:spacing w:after="0" w:line="360" w:lineRule="auto"/>
        <w:ind w:firstLine="3826" w:firstLineChars="1822"/>
        <w:rPr>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（个人电子章）                   </w:t>
      </w:r>
    </w:p>
    <w:p w14:paraId="3E062873">
      <w:pPr>
        <w:spacing w:after="0" w:line="360" w:lineRule="auto"/>
        <w:ind w:firstLine="3780" w:firstLineChars="18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委托代理人：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（签字或盖章）</w:t>
      </w:r>
    </w:p>
    <w:p w14:paraId="46E3D6C8">
      <w:pPr>
        <w:spacing w:after="0" w:line="360" w:lineRule="auto"/>
        <w:ind w:firstLine="5810" w:firstLineChars="276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280AAAF7">
      <w:pPr>
        <w:rPr>
          <w:rFonts w:hint="eastAsia" w:ascii="仿宋" w:hAnsi="仿宋" w:eastAsia="仿宋" w:cs="仿宋"/>
          <w:color w:val="000000" w:themeColor="text1"/>
          <w:szCs w:val="21"/>
          <w14:textFill>
            <w14:solidFill>
              <w14:schemeClr w14:val="tx1"/>
            </w14:solidFill>
          </w14:textFill>
        </w:rPr>
      </w:pPr>
    </w:p>
    <w:p w14:paraId="062B4807">
      <w:pPr>
        <w:rPr>
          <w:rFonts w:hint="eastAsia" w:ascii="仿宋" w:hAnsi="仿宋" w:eastAsia="仿宋" w:cs="仿宋"/>
          <w:color w:val="000000" w:themeColor="text1"/>
          <w:szCs w:val="21"/>
          <w14:textFill>
            <w14:solidFill>
              <w14:schemeClr w14:val="tx1"/>
            </w14:solidFill>
          </w14:textFill>
        </w:rPr>
      </w:pPr>
    </w:p>
    <w:p w14:paraId="74AC3B4C">
      <w:pPr>
        <w:rPr>
          <w:color w:val="000000" w:themeColor="text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注：授权委托书中委托代理人可电子签章或签字后扫描上传。</w:t>
      </w:r>
    </w:p>
    <w:p w14:paraId="66414E5F">
      <w:pPr>
        <w:widowControl/>
        <w:spacing w:after="0" w:line="360" w:lineRule="auto"/>
        <w:rPr>
          <w:rFonts w:hint="eastAsia" w:ascii="仿宋" w:hAnsi="仿宋" w:eastAsia="仿宋" w:cs="仿宋"/>
          <w:b/>
          <w:color w:val="000000" w:themeColor="text1"/>
          <w:sz w:val="32"/>
          <w:szCs w:val="32"/>
          <w14:textFill>
            <w14:solidFill>
              <w14:schemeClr w14:val="tx1"/>
            </w14:solidFill>
          </w14:textFill>
        </w:rPr>
      </w:pPr>
      <w:bookmarkStart w:id="435" w:name="_Toc40361917"/>
      <w:r>
        <w:rPr>
          <w:rFonts w:hint="eastAsia" w:ascii="仿宋" w:hAnsi="仿宋" w:eastAsia="仿宋" w:cs="仿宋"/>
          <w:color w:val="000000" w:themeColor="text1"/>
          <w:sz w:val="32"/>
          <w:szCs w:val="32"/>
          <w14:textFill>
            <w14:solidFill>
              <w14:schemeClr w14:val="tx1"/>
            </w14:solidFill>
          </w14:textFill>
        </w:rPr>
        <w:br w:type="page"/>
      </w:r>
    </w:p>
    <w:p w14:paraId="0C3FA910">
      <w:pPr>
        <w:spacing w:after="0" w:line="360" w:lineRule="auto"/>
        <w:jc w:val="center"/>
        <w:outlineLvl w:val="1"/>
        <w:rPr>
          <w:rFonts w:hint="eastAsia" w:ascii="仿宋" w:hAnsi="仿宋" w:eastAsia="仿宋" w:cs="仿宋"/>
          <w:b/>
          <w:bCs/>
          <w:color w:val="000000" w:themeColor="text1"/>
          <w:sz w:val="22"/>
          <w14:textFill>
            <w14:solidFill>
              <w14:schemeClr w14:val="tx1"/>
            </w14:solidFill>
          </w14:textFill>
        </w:rPr>
      </w:pPr>
      <w:bookmarkStart w:id="436" w:name="_Toc177142666"/>
      <w:bookmarkStart w:id="437" w:name="_Toc14086"/>
      <w:r>
        <w:rPr>
          <w:rFonts w:hint="eastAsia" w:ascii="仿宋" w:hAnsi="仿宋" w:eastAsia="仿宋" w:cs="仿宋"/>
          <w:b/>
          <w:bCs/>
          <w:color w:val="000000" w:themeColor="text1"/>
          <w:sz w:val="28"/>
          <w:szCs w:val="28"/>
          <w14:textFill>
            <w14:solidFill>
              <w14:schemeClr w14:val="tx1"/>
            </w14:solidFill>
          </w14:textFill>
        </w:rPr>
        <w:t>四、投标保证金企业信用承诺函</w:t>
      </w:r>
      <w:bookmarkEnd w:id="436"/>
      <w:bookmarkEnd w:id="437"/>
    </w:p>
    <w:p w14:paraId="7FE8E81F">
      <w:pPr>
        <w:widowControl/>
        <w:spacing w:after="0" w:line="360" w:lineRule="auto"/>
        <w:rPr>
          <w:rFonts w:hint="eastAsia" w:ascii="仿宋" w:hAnsi="仿宋" w:eastAsia="仿宋" w:cs="仿宋"/>
          <w:color w:val="000000" w:themeColor="text1"/>
          <w:kern w:val="0"/>
          <w:szCs w:val="21"/>
          <w:u w:val="single"/>
          <w:shd w:val="clear" w:color="080000" w:fill="FFFFFF"/>
          <w14:textFill>
            <w14:solidFill>
              <w14:schemeClr w14:val="tx1"/>
            </w14:solidFill>
          </w14:textFill>
        </w:rPr>
      </w:pPr>
    </w:p>
    <w:p w14:paraId="688F9A63">
      <w:pPr>
        <w:widowControl/>
        <w:spacing w:after="0" w:line="360" w:lineRule="auto"/>
        <w:rPr>
          <w:rFonts w:hint="eastAsia" w:ascii="仿宋" w:hAnsi="仿宋" w:eastAsia="仿宋" w:cs="仿宋"/>
          <w:color w:val="000000" w:themeColor="text1"/>
          <w:kern w:val="0"/>
          <w:szCs w:val="21"/>
          <w:u w:val="single"/>
          <w:shd w:val="clear" w:color="080000" w:fill="FFFFFF"/>
          <w14:textFill>
            <w14:solidFill>
              <w14:schemeClr w14:val="tx1"/>
            </w14:solidFill>
          </w14:textFill>
        </w:rPr>
      </w:pPr>
      <w:r>
        <w:rPr>
          <w:rFonts w:hint="eastAsia" w:ascii="仿宋" w:hAnsi="仿宋" w:eastAsia="仿宋" w:cs="仿宋"/>
          <w:color w:val="000000" w:themeColor="text1"/>
          <w:kern w:val="0"/>
          <w:szCs w:val="21"/>
          <w:u w:val="single"/>
          <w:shd w:val="clear" w:color="080000" w:fill="FFFFFF"/>
          <w14:textFill>
            <w14:solidFill>
              <w14:schemeClr w14:val="tx1"/>
            </w14:solidFill>
          </w14:textFill>
        </w:rPr>
        <w:t xml:space="preserve">          （招标单位名称）</w:t>
      </w:r>
      <w:r>
        <w:rPr>
          <w:rFonts w:hint="eastAsia" w:ascii="仿宋" w:hAnsi="仿宋" w:eastAsia="仿宋" w:cs="仿宋"/>
          <w:color w:val="000000" w:themeColor="text1"/>
          <w:kern w:val="0"/>
          <w:szCs w:val="21"/>
          <w:shd w:val="clear" w:color="080000" w:fill="FFFFFF"/>
          <w14:textFill>
            <w14:solidFill>
              <w14:schemeClr w14:val="tx1"/>
            </w14:solidFill>
          </w14:textFill>
        </w:rPr>
        <w:t>：</w:t>
      </w:r>
    </w:p>
    <w:p w14:paraId="1FDF697E">
      <w:pPr>
        <w:widowControl/>
        <w:spacing w:after="0" w:line="360" w:lineRule="auto"/>
        <w:ind w:firstLine="420" w:firstLineChars="200"/>
        <w:jc w:val="both"/>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为维护公平、公正、公开的政府投资市场秩序，树立诚实守信的投标人形象，我单位自愿作出以下承诺：</w:t>
      </w:r>
    </w:p>
    <w:p w14:paraId="1A85FB6F">
      <w:pPr>
        <w:spacing w:after="0" w:line="360" w:lineRule="auto"/>
        <w:ind w:firstLine="424" w:firstLineChars="226"/>
        <w:jc w:val="both"/>
        <w:rPr>
          <w:rFonts w:hint="eastAsia" w:ascii="仿宋" w:hAnsi="仿宋" w:eastAsia="仿宋" w:cs="仿宋"/>
          <w:color w:val="000000" w:themeColor="text1"/>
          <w:spacing w:val="-11"/>
          <w:szCs w:val="21"/>
          <w:u w:val="single"/>
          <w14:textFill>
            <w14:solidFill>
              <w14:schemeClr w14:val="tx1"/>
            </w14:solidFill>
          </w14:textFill>
        </w:rPr>
      </w:pPr>
      <w:r>
        <w:rPr>
          <w:rFonts w:hint="eastAsia" w:ascii="仿宋" w:hAnsi="仿宋" w:eastAsia="仿宋" w:cs="仿宋"/>
          <w:color w:val="000000" w:themeColor="text1"/>
          <w:spacing w:val="-11"/>
          <w:szCs w:val="21"/>
          <w14:textFill>
            <w14:solidFill>
              <w14:schemeClr w14:val="tx1"/>
            </w14:solidFill>
          </w14:textFill>
        </w:rPr>
        <w:t>单</w:t>
      </w:r>
      <w:r>
        <w:rPr>
          <w:rFonts w:hint="eastAsia" w:ascii="仿宋" w:hAnsi="仿宋" w:eastAsia="仿宋" w:cs="仿宋"/>
          <w:color w:val="000000" w:themeColor="text1"/>
          <w:kern w:val="0"/>
          <w:szCs w:val="21"/>
          <w:shd w:val="clear" w:color="080000" w:fill="FFFFFF"/>
          <w14:textFill>
            <w14:solidFill>
              <w14:schemeClr w14:val="tx1"/>
            </w14:solidFill>
          </w14:textFill>
        </w:rPr>
        <w:t>位名称：</w:t>
      </w:r>
      <w:r>
        <w:rPr>
          <w:rFonts w:hint="eastAsia" w:ascii="仿宋" w:hAnsi="仿宋" w:eastAsia="仿宋" w:cs="仿宋"/>
          <w:color w:val="000000" w:themeColor="text1"/>
          <w:kern w:val="0"/>
          <w:szCs w:val="21"/>
          <w:u w:val="single"/>
          <w:shd w:val="clear" w:color="080000" w:fill="FFFFFF"/>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r>
        <w:rPr>
          <w:rFonts w:hint="eastAsia" w:ascii="仿宋" w:hAnsi="仿宋" w:eastAsia="仿宋" w:cs="仿宋"/>
          <w:color w:val="000000" w:themeColor="text1"/>
          <w:spacing w:val="-11"/>
          <w:szCs w:val="21"/>
          <w:u w:val="single"/>
          <w:lang w:val="en"/>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p>
    <w:p w14:paraId="22F121C1">
      <w:pPr>
        <w:spacing w:after="0" w:line="360" w:lineRule="auto"/>
        <w:ind w:firstLine="474" w:firstLineChars="226"/>
        <w:jc w:val="both"/>
        <w:rPr>
          <w:rFonts w:hint="eastAsia" w:ascii="仿宋" w:hAnsi="仿宋" w:eastAsia="仿宋" w:cs="仿宋"/>
          <w:color w:val="000000" w:themeColor="text1"/>
          <w:spacing w:val="-11"/>
          <w:szCs w:val="21"/>
          <w:u w:val="single"/>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统一社会信用代码</w:t>
      </w:r>
      <w:r>
        <w:rPr>
          <w:rFonts w:hint="eastAsia" w:ascii="仿宋" w:hAnsi="仿宋" w:eastAsia="仿宋" w:cs="仿宋"/>
          <w:color w:val="000000" w:themeColor="text1"/>
          <w:spacing w:val="-11"/>
          <w:szCs w:val="21"/>
          <w14:textFill>
            <w14:solidFill>
              <w14:schemeClr w14:val="tx1"/>
            </w14:solidFill>
          </w14:textFill>
        </w:rPr>
        <w:t>：</w:t>
      </w:r>
      <w:r>
        <w:rPr>
          <w:rFonts w:hint="eastAsia" w:ascii="仿宋" w:hAnsi="仿宋" w:eastAsia="仿宋" w:cs="仿宋"/>
          <w:color w:val="000000" w:themeColor="text1"/>
          <w:spacing w:val="-11"/>
          <w:szCs w:val="21"/>
          <w:u w:val="single"/>
          <w14:textFill>
            <w14:solidFill>
              <w14:schemeClr w14:val="tx1"/>
            </w14:solidFill>
          </w14:textFill>
        </w:rPr>
        <w:t xml:space="preserve">                            </w:t>
      </w:r>
      <w:r>
        <w:rPr>
          <w:rFonts w:hint="eastAsia" w:ascii="仿宋" w:hAnsi="仿宋" w:eastAsia="仿宋" w:cs="仿宋"/>
          <w:color w:val="000000" w:themeColor="text1"/>
          <w:spacing w:val="-11"/>
          <w:szCs w:val="21"/>
          <w:u w:val="single"/>
          <w:lang w:val="en"/>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p>
    <w:p w14:paraId="4C2B3C7D">
      <w:pPr>
        <w:spacing w:after="0" w:line="360" w:lineRule="auto"/>
        <w:ind w:firstLine="424" w:firstLineChars="226"/>
        <w:jc w:val="both"/>
        <w:rPr>
          <w:rFonts w:hint="eastAsia" w:ascii="仿宋" w:hAnsi="仿宋" w:eastAsia="仿宋" w:cs="仿宋"/>
          <w:color w:val="000000" w:themeColor="text1"/>
          <w:spacing w:val="-11"/>
          <w:szCs w:val="21"/>
          <w:u w:val="single"/>
          <w14:textFill>
            <w14:solidFill>
              <w14:schemeClr w14:val="tx1"/>
            </w14:solidFill>
          </w14:textFill>
        </w:rPr>
      </w:pPr>
      <w:r>
        <w:rPr>
          <w:rFonts w:hint="eastAsia" w:ascii="仿宋" w:hAnsi="仿宋" w:eastAsia="仿宋" w:cs="仿宋"/>
          <w:color w:val="000000" w:themeColor="text1"/>
          <w:spacing w:val="-11"/>
          <w:szCs w:val="21"/>
          <w14:textFill>
            <w14:solidFill>
              <w14:schemeClr w14:val="tx1"/>
            </w14:solidFill>
          </w14:textFill>
        </w:rPr>
        <w:t>法定代表人：</w:t>
      </w:r>
      <w:r>
        <w:rPr>
          <w:rFonts w:hint="eastAsia" w:ascii="仿宋" w:hAnsi="仿宋" w:eastAsia="仿宋" w:cs="仿宋"/>
          <w:color w:val="000000" w:themeColor="text1"/>
          <w:spacing w:val="-11"/>
          <w:szCs w:val="21"/>
          <w:u w:val="single"/>
          <w14:textFill>
            <w14:solidFill>
              <w14:schemeClr w14:val="tx1"/>
            </w14:solidFill>
          </w14:textFill>
        </w:rPr>
        <w:t xml:space="preserve">                                      </w:t>
      </w:r>
      <w:r>
        <w:rPr>
          <w:rFonts w:hint="eastAsia" w:ascii="仿宋" w:hAnsi="仿宋" w:eastAsia="仿宋" w:cs="仿宋"/>
          <w:color w:val="000000" w:themeColor="text1"/>
          <w:spacing w:val="-11"/>
          <w:szCs w:val="21"/>
          <w:u w:val="single"/>
          <w:lang w:val="en"/>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p>
    <w:p w14:paraId="51FF79E0">
      <w:pPr>
        <w:spacing w:after="0" w:line="360" w:lineRule="auto"/>
        <w:ind w:firstLine="424" w:firstLineChars="226"/>
        <w:jc w:val="both"/>
        <w:rPr>
          <w:rFonts w:hint="eastAsia" w:ascii="仿宋" w:hAnsi="仿宋" w:eastAsia="仿宋" w:cs="仿宋"/>
          <w:color w:val="000000" w:themeColor="text1"/>
          <w:spacing w:val="-11"/>
          <w:szCs w:val="21"/>
          <w:u w:val="single"/>
          <w14:textFill>
            <w14:solidFill>
              <w14:schemeClr w14:val="tx1"/>
            </w14:solidFill>
          </w14:textFill>
        </w:rPr>
      </w:pPr>
      <w:r>
        <w:rPr>
          <w:rFonts w:hint="eastAsia" w:ascii="仿宋" w:hAnsi="仿宋" w:eastAsia="仿宋" w:cs="仿宋"/>
          <w:color w:val="000000" w:themeColor="text1"/>
          <w:spacing w:val="-11"/>
          <w:szCs w:val="21"/>
          <w14:textFill>
            <w14:solidFill>
              <w14:schemeClr w14:val="tx1"/>
            </w14:solidFill>
          </w14:textFill>
        </w:rPr>
        <w:t>地址和联系电话：</w:t>
      </w:r>
      <w:r>
        <w:rPr>
          <w:rFonts w:hint="eastAsia" w:ascii="仿宋" w:hAnsi="仿宋" w:eastAsia="仿宋" w:cs="仿宋"/>
          <w:color w:val="000000" w:themeColor="text1"/>
          <w:spacing w:val="-11"/>
          <w:szCs w:val="21"/>
          <w:u w:val="single"/>
          <w14:textFill>
            <w14:solidFill>
              <w14:schemeClr w14:val="tx1"/>
            </w14:solidFill>
          </w14:textFill>
        </w:rPr>
        <w:t xml:space="preserve">                           </w:t>
      </w:r>
      <w:r>
        <w:rPr>
          <w:rFonts w:hint="eastAsia" w:ascii="仿宋" w:hAnsi="仿宋" w:eastAsia="仿宋" w:cs="仿宋"/>
          <w:color w:val="000000" w:themeColor="text1"/>
          <w:spacing w:val="-11"/>
          <w:szCs w:val="21"/>
          <w:u w:val="single"/>
          <w:lang w:val="en"/>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r>
        <w:rPr>
          <w:rFonts w:hint="eastAsia" w:ascii="仿宋" w:hAnsi="仿宋" w:eastAsia="仿宋" w:cs="仿宋"/>
          <w:color w:val="000000" w:themeColor="text1"/>
          <w:spacing w:val="-11"/>
          <w:szCs w:val="21"/>
          <w:u w:val="single"/>
          <w:lang w:val="en"/>
          <w14:textFill>
            <w14:solidFill>
              <w14:schemeClr w14:val="tx1"/>
            </w14:solidFill>
          </w14:textFill>
        </w:rPr>
        <w:t xml:space="preserve"> </w:t>
      </w:r>
      <w:r>
        <w:rPr>
          <w:rFonts w:hint="eastAsia" w:ascii="仿宋" w:hAnsi="仿宋" w:eastAsia="仿宋" w:cs="仿宋"/>
          <w:color w:val="000000" w:themeColor="text1"/>
          <w:spacing w:val="-11"/>
          <w:szCs w:val="21"/>
          <w:u w:val="single"/>
          <w14:textFill>
            <w14:solidFill>
              <w14:schemeClr w14:val="tx1"/>
            </w14:solidFill>
          </w14:textFill>
        </w:rPr>
        <w:t xml:space="preserve">        </w:t>
      </w:r>
    </w:p>
    <w:p w14:paraId="265E910F">
      <w:pPr>
        <w:spacing w:after="0" w:line="360" w:lineRule="auto"/>
        <w:ind w:firstLine="376" w:firstLineChars="200"/>
        <w:jc w:val="both"/>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spacing w:val="-11"/>
          <w:szCs w:val="21"/>
          <w14:textFill>
            <w14:solidFill>
              <w14:schemeClr w14:val="tx1"/>
            </w14:solidFill>
          </w14:textFill>
        </w:rPr>
        <w:t>一、</w:t>
      </w:r>
      <w:r>
        <w:rPr>
          <w:rFonts w:hint="eastAsia" w:ascii="仿宋" w:hAnsi="仿宋" w:eastAsia="仿宋" w:cs="仿宋"/>
          <w:color w:val="000000" w:themeColor="text1"/>
          <w:kern w:val="0"/>
          <w:szCs w:val="21"/>
          <w:shd w:val="clear" w:color="080000" w:fill="FFFFFF"/>
          <w14:textFill>
            <w14:solidFill>
              <w14:schemeClr w14:val="tx1"/>
            </w14:solidFill>
          </w14:textFill>
        </w:rPr>
        <w:t>我单位具备承担招标项目的能力，自愿参加</w:t>
      </w:r>
      <w:r>
        <w:rPr>
          <w:rFonts w:hint="eastAsia" w:ascii="仿宋" w:hAnsi="仿宋" w:eastAsia="仿宋" w:cs="仿宋"/>
          <w:color w:val="000000" w:themeColor="text1"/>
          <w:kern w:val="0"/>
          <w:szCs w:val="21"/>
          <w:u w:val="single"/>
          <w:shd w:val="clear" w:color="080000" w:fill="FFFFFF"/>
          <w14:textFill>
            <w14:solidFill>
              <w14:schemeClr w14:val="tx1"/>
            </w14:solidFill>
          </w14:textFill>
        </w:rPr>
        <w:t xml:space="preserve">         （项目名称）</w:t>
      </w:r>
      <w:r>
        <w:rPr>
          <w:rFonts w:hint="eastAsia" w:ascii="仿宋" w:hAnsi="仿宋" w:eastAsia="仿宋" w:cs="仿宋"/>
          <w:color w:val="000000" w:themeColor="text1"/>
          <w:kern w:val="0"/>
          <w:szCs w:val="21"/>
          <w:shd w:val="clear" w:color="080000" w:fill="FFFFFF"/>
          <w14:textFill>
            <w14:solidFill>
              <w14:schemeClr w14:val="tx1"/>
            </w14:solidFill>
          </w14:textFill>
        </w:rPr>
        <w:t>投标活动，严格遵守《中华人民共和国招标投标法》及相关法律法规，依法诚信经营，无条件遵守招标投标活动的各项规定。</w:t>
      </w:r>
    </w:p>
    <w:p w14:paraId="51DE73D2">
      <w:pPr>
        <w:spacing w:after="0" w:line="360" w:lineRule="auto"/>
        <w:ind w:firstLine="420" w:firstLineChars="200"/>
        <w:jc w:val="both"/>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二、</w:t>
      </w:r>
      <w:r>
        <w:rPr>
          <w:rFonts w:hint="eastAsia" w:ascii="仿宋" w:hAnsi="仿宋" w:eastAsia="仿宋" w:cs="仿宋"/>
          <w:color w:val="000000" w:themeColor="text1"/>
          <w:kern w:val="0"/>
          <w:szCs w:val="21"/>
          <w:shd w:val="clear" w:color="080000" w:fill="FFFFFF"/>
          <w14:textFill>
            <w14:solidFill>
              <w14:schemeClr w14:val="tx1"/>
            </w14:solidFill>
          </w14:textFill>
        </w:rPr>
        <w:t>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14:paraId="3133DF60">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w:t>
      </w:r>
      <w:r>
        <w:rPr>
          <w:rFonts w:hint="eastAsia" w:ascii="仿宋" w:hAnsi="仿宋" w:eastAsia="仿宋" w:cs="仿宋"/>
          <w:color w:val="000000" w:themeColor="text1"/>
          <w:kern w:val="0"/>
          <w:szCs w:val="21"/>
          <w:shd w:val="clear" w:color="080000" w:fill="FFFFFF"/>
          <w14:textFill>
            <w14:solidFill>
              <w14:schemeClr w14:val="tx1"/>
            </w14:solidFill>
          </w14:textFill>
        </w:rPr>
        <w:t>我单位如有发生下述任何一种违约行为，自愿承担相关法律责任，1年内自动放弃在洛阳市工程建设项目招投标中使用“投标保证金企业信用承诺函”资格。</w:t>
      </w:r>
    </w:p>
    <w:p w14:paraId="66E144F0">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（一）在招标文件中规定的投标有效期内撤销投标文件；</w:t>
      </w:r>
    </w:p>
    <w:p w14:paraId="4A5B7384">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（二）中标后在规定期限内无正当理由不与招标人签订合同、或者未按招标文件规定提交履约保证金（如有）；</w:t>
      </w:r>
    </w:p>
    <w:p w14:paraId="56F0295F">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（三）评标委员会认定投标人串通投标或弄虚作假等违法行为；</w:t>
      </w:r>
    </w:p>
    <w:p w14:paraId="0173FF86">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kern w:val="0"/>
          <w:szCs w:val="21"/>
          <w:shd w:val="clear" w:color="080000" w:fill="FFFFFF"/>
          <w14:textFill>
            <w14:solidFill>
              <w14:schemeClr w14:val="tx1"/>
            </w14:solidFill>
          </w14:textFill>
        </w:rPr>
        <w:t>（四）法律、法规规定的其他情形。</w:t>
      </w:r>
    </w:p>
    <w:p w14:paraId="108BF744">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四、</w:t>
      </w:r>
      <w:r>
        <w:rPr>
          <w:rFonts w:hint="eastAsia" w:ascii="仿宋" w:hAnsi="仿宋" w:eastAsia="仿宋" w:cs="仿宋"/>
          <w:color w:val="000000" w:themeColor="text1"/>
          <w:kern w:val="0"/>
          <w:szCs w:val="21"/>
          <w:shd w:val="clear" w:color="080000" w:fill="FFFFFF"/>
          <w14:textFill>
            <w14:solidFill>
              <w14:schemeClr w14:val="tx1"/>
            </w14:solidFill>
          </w14:textFill>
        </w:rPr>
        <w:t>同意将承诺和践诺信息作为我单位信用记录由“信用洛阳”网站归集并合规应用。特此承诺。</w:t>
      </w:r>
    </w:p>
    <w:p w14:paraId="1B3FE844">
      <w:pPr>
        <w:spacing w:after="0" w:line="360" w:lineRule="auto"/>
        <w:ind w:firstLine="420" w:firstLineChars="200"/>
        <w:jc w:val="both"/>
        <w:textAlignment w:val="bottom"/>
        <w:rPr>
          <w:rFonts w:hint="eastAsia" w:ascii="仿宋" w:hAnsi="仿宋" w:eastAsia="仿宋" w:cs="仿宋"/>
          <w:color w:val="000000" w:themeColor="text1"/>
          <w:kern w:val="0"/>
          <w:szCs w:val="21"/>
          <w:shd w:val="clear" w:color="080000" w:fill="FFFFFF"/>
          <w14:textFill>
            <w14:solidFill>
              <w14:schemeClr w14:val="tx1"/>
            </w14:solidFill>
          </w14:textFill>
        </w:rPr>
      </w:pPr>
    </w:p>
    <w:p w14:paraId="2E2A51F5">
      <w:pPr>
        <w:spacing w:after="0" w:line="360" w:lineRule="auto"/>
        <w:ind w:firstLine="3826" w:firstLineChars="182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（企业电子章）</w:t>
      </w:r>
    </w:p>
    <w:p w14:paraId="7E682C00">
      <w:pPr>
        <w:spacing w:after="0" w:line="360" w:lineRule="auto"/>
        <w:ind w:firstLine="3826" w:firstLineChars="1822"/>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（个人电子章）</w:t>
      </w:r>
    </w:p>
    <w:p w14:paraId="6D5C0228">
      <w:pPr>
        <w:jc w:val="righ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48E6C2D5">
      <w:pPr>
        <w:pStyle w:val="9"/>
        <w:rPr>
          <w:rFonts w:hint="eastAsia"/>
          <w:color w:val="000000" w:themeColor="text1"/>
          <w14:textFill>
            <w14:solidFill>
              <w14:schemeClr w14:val="tx1"/>
            </w14:solidFill>
          </w14:textFill>
        </w:rPr>
      </w:pPr>
    </w:p>
    <w:p w14:paraId="56227FE6">
      <w:pPr>
        <w:pStyle w:val="47"/>
        <w:keepNext w:val="0"/>
        <w:keepLines w:val="0"/>
        <w:spacing w:before="0" w:line="360" w:lineRule="auto"/>
        <w:jc w:val="center"/>
        <w:outlineLvl w:val="9"/>
        <w:rPr>
          <w:rFonts w:hint="eastAsia" w:ascii="仿宋" w:hAnsi="仿宋" w:eastAsia="仿宋" w:cs="仿宋"/>
          <w:color w:val="000000" w:themeColor="text1"/>
          <w:szCs w:val="28"/>
          <w14:textFill>
            <w14:solidFill>
              <w14:schemeClr w14:val="tx1"/>
            </w14:solidFill>
          </w14:textFill>
        </w:rPr>
      </w:pPr>
    </w:p>
    <w:p w14:paraId="5620C2F6">
      <w:pPr>
        <w:pStyle w:val="47"/>
        <w:keepNext w:val="0"/>
        <w:keepLines w:val="0"/>
        <w:spacing w:before="0" w:line="360" w:lineRule="auto"/>
        <w:jc w:val="center"/>
        <w:rPr>
          <w:rFonts w:hint="eastAsia" w:ascii="仿宋" w:hAnsi="仿宋" w:eastAsia="仿宋" w:cs="仿宋"/>
          <w:color w:val="000000" w:themeColor="text1"/>
          <w:szCs w:val="28"/>
          <w14:textFill>
            <w14:solidFill>
              <w14:schemeClr w14:val="tx1"/>
            </w14:solidFill>
          </w14:textFill>
        </w:rPr>
      </w:pPr>
      <w:bookmarkStart w:id="438" w:name="_Toc177142667"/>
      <w:r>
        <w:rPr>
          <w:rFonts w:hint="eastAsia" w:ascii="仿宋" w:hAnsi="仿宋" w:eastAsia="仿宋" w:cs="仿宋"/>
          <w:color w:val="000000" w:themeColor="text1"/>
          <w:szCs w:val="28"/>
          <w14:textFill>
            <w14:solidFill>
              <w14:schemeClr w14:val="tx1"/>
            </w14:solidFill>
          </w14:textFill>
        </w:rPr>
        <w:t>五、</w:t>
      </w:r>
      <w:bookmarkEnd w:id="435"/>
      <w:r>
        <w:rPr>
          <w:rFonts w:hint="eastAsia" w:ascii="仿宋" w:hAnsi="仿宋" w:eastAsia="仿宋" w:cs="仿宋"/>
          <w:color w:val="000000" w:themeColor="text1"/>
          <w:szCs w:val="28"/>
          <w14:textFill>
            <w14:solidFill>
              <w14:schemeClr w14:val="tx1"/>
            </w14:solidFill>
          </w14:textFill>
        </w:rPr>
        <w:t>投标人基本资料</w:t>
      </w:r>
      <w:bookmarkEnd w:id="438"/>
    </w:p>
    <w:p w14:paraId="4445A2F2">
      <w:pPr>
        <w:pStyle w:val="4"/>
        <w:keepNext w:val="0"/>
        <w:keepLines w:val="0"/>
        <w:numPr>
          <w:ilvl w:val="0"/>
          <w:numId w:val="2"/>
        </w:numPr>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bookmarkStart w:id="439" w:name="_Toc40361918"/>
      <w:r>
        <w:rPr>
          <w:rFonts w:hint="eastAsia" w:ascii="仿宋" w:hAnsi="仿宋" w:eastAsia="仿宋" w:cs="仿宋"/>
          <w:color w:val="000000" w:themeColor="text1"/>
          <w:sz w:val="21"/>
          <w:szCs w:val="21"/>
          <w14:textFill>
            <w14:solidFill>
              <w14:schemeClr w14:val="tx1"/>
            </w14:solidFill>
          </w14:textFill>
        </w:rPr>
        <w:t>基本情况表</w:t>
      </w:r>
      <w:bookmarkEnd w:id="439"/>
    </w:p>
    <w:tbl>
      <w:tblPr>
        <w:tblStyle w:val="2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25"/>
        <w:gridCol w:w="955"/>
        <w:gridCol w:w="1013"/>
        <w:gridCol w:w="894"/>
        <w:gridCol w:w="446"/>
        <w:gridCol w:w="329"/>
        <w:gridCol w:w="1146"/>
        <w:gridCol w:w="524"/>
        <w:gridCol w:w="916"/>
        <w:gridCol w:w="908"/>
      </w:tblGrid>
      <w:tr w14:paraId="53679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0C1F745A">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投标人名称</w:t>
            </w:r>
          </w:p>
        </w:tc>
        <w:tc>
          <w:tcPr>
            <w:tcW w:w="4026" w:type="pct"/>
            <w:gridSpan w:val="9"/>
            <w:tcBorders>
              <w:top w:val="single" w:color="auto" w:sz="4" w:space="0"/>
              <w:left w:val="single" w:color="auto" w:sz="4" w:space="0"/>
              <w:bottom w:val="single" w:color="auto" w:sz="4" w:space="0"/>
              <w:right w:val="single" w:color="auto" w:sz="4" w:space="0"/>
            </w:tcBorders>
            <w:vAlign w:val="center"/>
          </w:tcPr>
          <w:p w14:paraId="2914AE6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19C42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50459C9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注册地址</w:t>
            </w:r>
          </w:p>
        </w:tc>
        <w:tc>
          <w:tcPr>
            <w:tcW w:w="2054" w:type="pct"/>
            <w:gridSpan w:val="5"/>
            <w:tcBorders>
              <w:top w:val="single" w:color="auto" w:sz="4" w:space="0"/>
              <w:left w:val="single" w:color="auto" w:sz="4" w:space="0"/>
              <w:bottom w:val="single" w:color="auto" w:sz="4" w:space="0"/>
              <w:right w:val="single" w:color="auto" w:sz="4" w:space="0"/>
            </w:tcBorders>
            <w:vAlign w:val="center"/>
          </w:tcPr>
          <w:p w14:paraId="63932435">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647" w:type="pct"/>
            <w:tcBorders>
              <w:top w:val="single" w:color="auto" w:sz="4" w:space="0"/>
              <w:left w:val="single" w:color="auto" w:sz="4" w:space="0"/>
              <w:bottom w:val="single" w:color="auto" w:sz="4" w:space="0"/>
              <w:right w:val="single" w:color="auto" w:sz="4" w:space="0"/>
            </w:tcBorders>
            <w:vAlign w:val="center"/>
          </w:tcPr>
          <w:p w14:paraId="199F6A72">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324" w:type="pct"/>
            <w:gridSpan w:val="3"/>
            <w:tcBorders>
              <w:top w:val="single" w:color="auto" w:sz="4" w:space="0"/>
              <w:left w:val="single" w:color="auto" w:sz="4" w:space="0"/>
              <w:bottom w:val="single" w:color="auto" w:sz="4" w:space="0"/>
              <w:right w:val="single" w:color="auto" w:sz="4" w:space="0"/>
            </w:tcBorders>
            <w:vAlign w:val="center"/>
          </w:tcPr>
          <w:p w14:paraId="2CC9A521">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68ADA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974" w:type="pct"/>
            <w:vMerge w:val="restart"/>
            <w:tcBorders>
              <w:top w:val="single" w:color="auto" w:sz="4" w:space="0"/>
              <w:left w:val="single" w:color="auto" w:sz="4" w:space="0"/>
              <w:bottom w:val="single" w:color="auto" w:sz="4" w:space="0"/>
              <w:right w:val="single" w:color="auto" w:sz="4" w:space="0"/>
            </w:tcBorders>
            <w:vAlign w:val="center"/>
          </w:tcPr>
          <w:p w14:paraId="310BB781">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联系方式</w:t>
            </w:r>
          </w:p>
        </w:tc>
        <w:tc>
          <w:tcPr>
            <w:tcW w:w="539" w:type="pct"/>
            <w:tcBorders>
              <w:top w:val="single" w:color="auto" w:sz="4" w:space="0"/>
              <w:left w:val="single" w:color="auto" w:sz="4" w:space="0"/>
              <w:bottom w:val="single" w:color="auto" w:sz="4" w:space="0"/>
              <w:right w:val="single" w:color="auto" w:sz="4" w:space="0"/>
            </w:tcBorders>
            <w:vAlign w:val="center"/>
          </w:tcPr>
          <w:p w14:paraId="388B2965">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联系人</w:t>
            </w:r>
          </w:p>
        </w:tc>
        <w:tc>
          <w:tcPr>
            <w:tcW w:w="1515" w:type="pct"/>
            <w:gridSpan w:val="4"/>
            <w:tcBorders>
              <w:top w:val="single" w:color="auto" w:sz="4" w:space="0"/>
              <w:left w:val="single" w:color="auto" w:sz="4" w:space="0"/>
              <w:bottom w:val="single" w:color="auto" w:sz="4" w:space="0"/>
              <w:right w:val="single" w:color="auto" w:sz="4" w:space="0"/>
            </w:tcBorders>
            <w:vAlign w:val="center"/>
          </w:tcPr>
          <w:p w14:paraId="34D4601F">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647" w:type="pct"/>
            <w:tcBorders>
              <w:top w:val="single" w:color="auto" w:sz="4" w:space="0"/>
              <w:left w:val="single" w:color="auto" w:sz="4" w:space="0"/>
              <w:bottom w:val="single" w:color="auto" w:sz="4" w:space="0"/>
              <w:right w:val="single" w:color="auto" w:sz="4" w:space="0"/>
            </w:tcBorders>
            <w:vAlign w:val="center"/>
          </w:tcPr>
          <w:p w14:paraId="23711EF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 话</w:t>
            </w:r>
          </w:p>
        </w:tc>
        <w:tc>
          <w:tcPr>
            <w:tcW w:w="1324" w:type="pct"/>
            <w:gridSpan w:val="3"/>
            <w:tcBorders>
              <w:top w:val="single" w:color="auto" w:sz="4" w:space="0"/>
              <w:left w:val="single" w:color="auto" w:sz="4" w:space="0"/>
              <w:bottom w:val="single" w:color="auto" w:sz="4" w:space="0"/>
              <w:right w:val="single" w:color="auto" w:sz="4" w:space="0"/>
            </w:tcBorders>
            <w:vAlign w:val="center"/>
          </w:tcPr>
          <w:p w14:paraId="63CB7DB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7A4A5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974" w:type="pct"/>
            <w:vMerge w:val="continue"/>
            <w:tcBorders>
              <w:top w:val="single" w:color="auto" w:sz="4" w:space="0"/>
              <w:left w:val="single" w:color="auto" w:sz="4" w:space="0"/>
              <w:bottom w:val="single" w:color="auto" w:sz="4" w:space="0"/>
              <w:right w:val="single" w:color="auto" w:sz="4" w:space="0"/>
            </w:tcBorders>
            <w:vAlign w:val="center"/>
          </w:tcPr>
          <w:p w14:paraId="4BBD280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39" w:type="pct"/>
            <w:tcBorders>
              <w:top w:val="single" w:color="auto" w:sz="4" w:space="0"/>
              <w:left w:val="single" w:color="auto" w:sz="4" w:space="0"/>
              <w:bottom w:val="single" w:color="auto" w:sz="4" w:space="0"/>
              <w:right w:val="single" w:color="auto" w:sz="4" w:space="0"/>
            </w:tcBorders>
            <w:vAlign w:val="center"/>
          </w:tcPr>
          <w:p w14:paraId="77F6C30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传  真</w:t>
            </w:r>
          </w:p>
        </w:tc>
        <w:tc>
          <w:tcPr>
            <w:tcW w:w="1515" w:type="pct"/>
            <w:gridSpan w:val="4"/>
            <w:tcBorders>
              <w:top w:val="single" w:color="auto" w:sz="4" w:space="0"/>
              <w:left w:val="single" w:color="auto" w:sz="4" w:space="0"/>
              <w:bottom w:val="single" w:color="auto" w:sz="4" w:space="0"/>
              <w:right w:val="single" w:color="auto" w:sz="4" w:space="0"/>
            </w:tcBorders>
            <w:vAlign w:val="center"/>
          </w:tcPr>
          <w:p w14:paraId="57A8E847">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647" w:type="pct"/>
            <w:tcBorders>
              <w:top w:val="single" w:color="auto" w:sz="4" w:space="0"/>
              <w:left w:val="single" w:color="auto" w:sz="4" w:space="0"/>
              <w:bottom w:val="single" w:color="auto" w:sz="4" w:space="0"/>
              <w:right w:val="single" w:color="auto" w:sz="4" w:space="0"/>
            </w:tcBorders>
            <w:vAlign w:val="center"/>
          </w:tcPr>
          <w:p w14:paraId="594A3DA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网 址</w:t>
            </w:r>
          </w:p>
        </w:tc>
        <w:tc>
          <w:tcPr>
            <w:tcW w:w="1324" w:type="pct"/>
            <w:gridSpan w:val="3"/>
            <w:tcBorders>
              <w:top w:val="single" w:color="auto" w:sz="4" w:space="0"/>
              <w:left w:val="single" w:color="auto" w:sz="4" w:space="0"/>
              <w:bottom w:val="single" w:color="auto" w:sz="4" w:space="0"/>
              <w:right w:val="single" w:color="auto" w:sz="4" w:space="0"/>
            </w:tcBorders>
            <w:vAlign w:val="center"/>
          </w:tcPr>
          <w:p w14:paraId="2E67B216">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44C8A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6491712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tc>
        <w:tc>
          <w:tcPr>
            <w:tcW w:w="539" w:type="pct"/>
            <w:tcBorders>
              <w:top w:val="single" w:color="auto" w:sz="4" w:space="0"/>
              <w:left w:val="single" w:color="auto" w:sz="4" w:space="0"/>
              <w:bottom w:val="single" w:color="auto" w:sz="4" w:space="0"/>
              <w:right w:val="single" w:color="auto" w:sz="4" w:space="0"/>
            </w:tcBorders>
            <w:vAlign w:val="center"/>
          </w:tcPr>
          <w:p w14:paraId="6B5A5278">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姓名</w:t>
            </w:r>
          </w:p>
        </w:tc>
        <w:tc>
          <w:tcPr>
            <w:tcW w:w="571" w:type="pct"/>
            <w:tcBorders>
              <w:top w:val="single" w:color="auto" w:sz="4" w:space="0"/>
              <w:left w:val="single" w:color="auto" w:sz="4" w:space="0"/>
              <w:bottom w:val="single" w:color="auto" w:sz="4" w:space="0"/>
              <w:right w:val="single" w:color="auto" w:sz="4" w:space="0"/>
            </w:tcBorders>
            <w:vAlign w:val="center"/>
          </w:tcPr>
          <w:p w14:paraId="2D06FB62">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757" w:type="pct"/>
            <w:gridSpan w:val="2"/>
            <w:tcBorders>
              <w:top w:val="single" w:color="auto" w:sz="4" w:space="0"/>
              <w:left w:val="single" w:color="auto" w:sz="4" w:space="0"/>
              <w:bottom w:val="single" w:color="auto" w:sz="4" w:space="0"/>
              <w:right w:val="single" w:color="auto" w:sz="4" w:space="0"/>
            </w:tcBorders>
            <w:vAlign w:val="center"/>
          </w:tcPr>
          <w:p w14:paraId="0C640826">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技术职称</w:t>
            </w:r>
          </w:p>
        </w:tc>
        <w:tc>
          <w:tcPr>
            <w:tcW w:w="1129" w:type="pct"/>
            <w:gridSpan w:val="3"/>
            <w:tcBorders>
              <w:top w:val="single" w:color="auto" w:sz="4" w:space="0"/>
              <w:left w:val="single" w:color="auto" w:sz="4" w:space="0"/>
              <w:bottom w:val="single" w:color="auto" w:sz="4" w:space="0"/>
              <w:right w:val="single" w:color="auto" w:sz="4" w:space="0"/>
            </w:tcBorders>
            <w:vAlign w:val="center"/>
          </w:tcPr>
          <w:p w14:paraId="2A0CDEAA">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17" w:type="pct"/>
            <w:tcBorders>
              <w:top w:val="single" w:color="auto" w:sz="4" w:space="0"/>
              <w:left w:val="single" w:color="auto" w:sz="4" w:space="0"/>
              <w:bottom w:val="single" w:color="auto" w:sz="4" w:space="0"/>
              <w:right w:val="single" w:color="auto" w:sz="4" w:space="0"/>
            </w:tcBorders>
            <w:vAlign w:val="center"/>
          </w:tcPr>
          <w:p w14:paraId="6CC09795">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电话</w:t>
            </w:r>
          </w:p>
        </w:tc>
        <w:tc>
          <w:tcPr>
            <w:tcW w:w="514" w:type="pct"/>
            <w:tcBorders>
              <w:top w:val="single" w:color="auto" w:sz="4" w:space="0"/>
              <w:left w:val="single" w:color="auto" w:sz="4" w:space="0"/>
              <w:bottom w:val="single" w:color="auto" w:sz="4" w:space="0"/>
              <w:right w:val="single" w:color="auto" w:sz="4" w:space="0"/>
            </w:tcBorders>
            <w:vAlign w:val="center"/>
          </w:tcPr>
          <w:p w14:paraId="09CD97F6">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1E792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10B0587F">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技术负责人</w:t>
            </w:r>
          </w:p>
        </w:tc>
        <w:tc>
          <w:tcPr>
            <w:tcW w:w="539" w:type="pct"/>
            <w:tcBorders>
              <w:top w:val="single" w:color="auto" w:sz="4" w:space="0"/>
              <w:left w:val="single" w:color="auto" w:sz="4" w:space="0"/>
              <w:bottom w:val="single" w:color="auto" w:sz="4" w:space="0"/>
              <w:right w:val="single" w:color="auto" w:sz="4" w:space="0"/>
            </w:tcBorders>
            <w:vAlign w:val="center"/>
          </w:tcPr>
          <w:p w14:paraId="53C66DCD">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姓名</w:t>
            </w:r>
          </w:p>
        </w:tc>
        <w:tc>
          <w:tcPr>
            <w:tcW w:w="571" w:type="pct"/>
            <w:tcBorders>
              <w:top w:val="single" w:color="auto" w:sz="4" w:space="0"/>
              <w:left w:val="single" w:color="auto" w:sz="4" w:space="0"/>
              <w:bottom w:val="single" w:color="auto" w:sz="4" w:space="0"/>
              <w:right w:val="single" w:color="auto" w:sz="4" w:space="0"/>
            </w:tcBorders>
            <w:vAlign w:val="center"/>
          </w:tcPr>
          <w:p w14:paraId="23D64F8D">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757" w:type="pct"/>
            <w:gridSpan w:val="2"/>
            <w:tcBorders>
              <w:top w:val="single" w:color="auto" w:sz="4" w:space="0"/>
              <w:left w:val="single" w:color="auto" w:sz="4" w:space="0"/>
              <w:bottom w:val="single" w:color="auto" w:sz="4" w:space="0"/>
              <w:right w:val="single" w:color="auto" w:sz="4" w:space="0"/>
            </w:tcBorders>
            <w:vAlign w:val="center"/>
          </w:tcPr>
          <w:p w14:paraId="29245B8B">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技术职称</w:t>
            </w:r>
          </w:p>
        </w:tc>
        <w:tc>
          <w:tcPr>
            <w:tcW w:w="1129" w:type="pct"/>
            <w:gridSpan w:val="3"/>
            <w:tcBorders>
              <w:top w:val="single" w:color="auto" w:sz="4" w:space="0"/>
              <w:left w:val="single" w:color="auto" w:sz="4" w:space="0"/>
              <w:bottom w:val="single" w:color="auto" w:sz="4" w:space="0"/>
              <w:right w:val="single" w:color="auto" w:sz="4" w:space="0"/>
            </w:tcBorders>
            <w:vAlign w:val="center"/>
          </w:tcPr>
          <w:p w14:paraId="1B9AB873">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17" w:type="pct"/>
            <w:tcBorders>
              <w:top w:val="single" w:color="auto" w:sz="4" w:space="0"/>
              <w:left w:val="single" w:color="auto" w:sz="4" w:space="0"/>
              <w:bottom w:val="single" w:color="auto" w:sz="4" w:space="0"/>
              <w:right w:val="single" w:color="auto" w:sz="4" w:space="0"/>
            </w:tcBorders>
            <w:vAlign w:val="center"/>
          </w:tcPr>
          <w:p w14:paraId="3E08590D">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电话</w:t>
            </w:r>
          </w:p>
        </w:tc>
        <w:tc>
          <w:tcPr>
            <w:tcW w:w="514" w:type="pct"/>
            <w:tcBorders>
              <w:top w:val="single" w:color="auto" w:sz="4" w:space="0"/>
              <w:left w:val="single" w:color="auto" w:sz="4" w:space="0"/>
              <w:bottom w:val="single" w:color="auto" w:sz="4" w:space="0"/>
              <w:right w:val="single" w:color="auto" w:sz="4" w:space="0"/>
            </w:tcBorders>
            <w:vAlign w:val="center"/>
          </w:tcPr>
          <w:p w14:paraId="1FCCE66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3C81B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14F9C9F8">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成立时间</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61F51A3B">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2915" w:type="pct"/>
            <w:gridSpan w:val="7"/>
            <w:tcBorders>
              <w:top w:val="single" w:color="auto" w:sz="4" w:space="0"/>
              <w:left w:val="single" w:color="auto" w:sz="4" w:space="0"/>
              <w:bottom w:val="single" w:color="auto" w:sz="4" w:space="0"/>
              <w:right w:val="single" w:color="auto" w:sz="4" w:space="0"/>
            </w:tcBorders>
            <w:vAlign w:val="center"/>
          </w:tcPr>
          <w:p w14:paraId="7B9CDF54">
            <w:pPr>
              <w:topLinePunct/>
              <w:spacing w:after="0" w:line="360" w:lineRule="auto"/>
              <w:ind w:firstLine="105" w:firstLineChars="5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员工总人数：</w:t>
            </w:r>
          </w:p>
        </w:tc>
      </w:tr>
      <w:tr w14:paraId="4D5B5B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582C593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企业资质等级</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0B0B1E51">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05" w:type="pct"/>
            <w:vMerge w:val="restart"/>
            <w:tcBorders>
              <w:top w:val="single" w:color="auto" w:sz="4" w:space="0"/>
              <w:left w:val="single" w:color="auto" w:sz="4" w:space="0"/>
              <w:bottom w:val="single" w:color="auto" w:sz="4" w:space="0"/>
              <w:right w:val="single" w:color="auto" w:sz="4" w:space="0"/>
            </w:tcBorders>
            <w:vAlign w:val="center"/>
          </w:tcPr>
          <w:p w14:paraId="7E69C86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其中</w:t>
            </w:r>
          </w:p>
        </w:tc>
        <w:tc>
          <w:tcPr>
            <w:tcW w:w="1381" w:type="pct"/>
            <w:gridSpan w:val="4"/>
            <w:tcBorders>
              <w:top w:val="single" w:color="auto" w:sz="4" w:space="0"/>
              <w:left w:val="single" w:color="auto" w:sz="4" w:space="0"/>
              <w:bottom w:val="single" w:color="auto" w:sz="4" w:space="0"/>
              <w:right w:val="single" w:color="auto" w:sz="4" w:space="0"/>
            </w:tcBorders>
            <w:vAlign w:val="center"/>
          </w:tcPr>
          <w:p w14:paraId="4392DE06">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项目经理</w:t>
            </w:r>
          </w:p>
        </w:tc>
        <w:tc>
          <w:tcPr>
            <w:tcW w:w="1030" w:type="pct"/>
            <w:gridSpan w:val="2"/>
            <w:tcBorders>
              <w:top w:val="single" w:color="auto" w:sz="4" w:space="0"/>
              <w:left w:val="single" w:color="auto" w:sz="4" w:space="0"/>
              <w:bottom w:val="single" w:color="auto" w:sz="4" w:space="0"/>
              <w:right w:val="single" w:color="auto" w:sz="4" w:space="0"/>
            </w:tcBorders>
            <w:vAlign w:val="center"/>
          </w:tcPr>
          <w:p w14:paraId="5F46F00D">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77F94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4A03E379">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营业执照号</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77E33B7F">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05" w:type="pct"/>
            <w:vMerge w:val="continue"/>
            <w:tcBorders>
              <w:top w:val="single" w:color="auto" w:sz="4" w:space="0"/>
              <w:left w:val="single" w:color="auto" w:sz="4" w:space="0"/>
              <w:bottom w:val="single" w:color="auto" w:sz="4" w:space="0"/>
              <w:right w:val="single" w:color="auto" w:sz="4" w:space="0"/>
            </w:tcBorders>
            <w:vAlign w:val="center"/>
          </w:tcPr>
          <w:p w14:paraId="765BD604">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1381" w:type="pct"/>
            <w:gridSpan w:val="4"/>
            <w:tcBorders>
              <w:top w:val="single" w:color="auto" w:sz="4" w:space="0"/>
              <w:left w:val="single" w:color="auto" w:sz="4" w:space="0"/>
              <w:bottom w:val="single" w:color="auto" w:sz="4" w:space="0"/>
              <w:right w:val="single" w:color="auto" w:sz="4" w:space="0"/>
            </w:tcBorders>
            <w:vAlign w:val="center"/>
          </w:tcPr>
          <w:p w14:paraId="36180268">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高级职称人员</w:t>
            </w:r>
          </w:p>
        </w:tc>
        <w:tc>
          <w:tcPr>
            <w:tcW w:w="1030" w:type="pct"/>
            <w:gridSpan w:val="2"/>
            <w:tcBorders>
              <w:top w:val="single" w:color="auto" w:sz="4" w:space="0"/>
              <w:left w:val="single" w:color="auto" w:sz="4" w:space="0"/>
              <w:bottom w:val="single" w:color="auto" w:sz="4" w:space="0"/>
              <w:right w:val="single" w:color="auto" w:sz="4" w:space="0"/>
            </w:tcBorders>
            <w:vAlign w:val="center"/>
          </w:tcPr>
          <w:p w14:paraId="0458FC72">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3F940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6E0CD25A">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注册资金</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13203BD1">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05" w:type="pct"/>
            <w:vMerge w:val="continue"/>
            <w:tcBorders>
              <w:top w:val="single" w:color="auto" w:sz="4" w:space="0"/>
              <w:left w:val="single" w:color="auto" w:sz="4" w:space="0"/>
              <w:bottom w:val="single" w:color="auto" w:sz="4" w:space="0"/>
              <w:right w:val="single" w:color="auto" w:sz="4" w:space="0"/>
            </w:tcBorders>
            <w:vAlign w:val="center"/>
          </w:tcPr>
          <w:p w14:paraId="04D0C165">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1381" w:type="pct"/>
            <w:gridSpan w:val="4"/>
            <w:tcBorders>
              <w:top w:val="single" w:color="auto" w:sz="4" w:space="0"/>
              <w:left w:val="single" w:color="auto" w:sz="4" w:space="0"/>
              <w:bottom w:val="single" w:color="auto" w:sz="4" w:space="0"/>
              <w:right w:val="single" w:color="auto" w:sz="4" w:space="0"/>
            </w:tcBorders>
            <w:vAlign w:val="center"/>
          </w:tcPr>
          <w:p w14:paraId="7D48ECFC">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中级职称人员</w:t>
            </w:r>
          </w:p>
        </w:tc>
        <w:tc>
          <w:tcPr>
            <w:tcW w:w="1030" w:type="pct"/>
            <w:gridSpan w:val="2"/>
            <w:tcBorders>
              <w:top w:val="single" w:color="auto" w:sz="4" w:space="0"/>
              <w:left w:val="single" w:color="auto" w:sz="4" w:space="0"/>
              <w:bottom w:val="single" w:color="auto" w:sz="4" w:space="0"/>
              <w:right w:val="single" w:color="auto" w:sz="4" w:space="0"/>
            </w:tcBorders>
            <w:vAlign w:val="center"/>
          </w:tcPr>
          <w:p w14:paraId="28DEA8AC">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71A87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15221FFC">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337EA50A">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05" w:type="pct"/>
            <w:vMerge w:val="continue"/>
            <w:tcBorders>
              <w:top w:val="single" w:color="auto" w:sz="4" w:space="0"/>
              <w:left w:val="single" w:color="auto" w:sz="4" w:space="0"/>
              <w:bottom w:val="single" w:color="auto" w:sz="4" w:space="0"/>
              <w:right w:val="single" w:color="auto" w:sz="4" w:space="0"/>
            </w:tcBorders>
            <w:vAlign w:val="center"/>
          </w:tcPr>
          <w:p w14:paraId="2BFFF620">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1381" w:type="pct"/>
            <w:gridSpan w:val="4"/>
            <w:tcBorders>
              <w:top w:val="single" w:color="auto" w:sz="4" w:space="0"/>
              <w:left w:val="single" w:color="auto" w:sz="4" w:space="0"/>
              <w:bottom w:val="single" w:color="auto" w:sz="4" w:space="0"/>
              <w:right w:val="single" w:color="auto" w:sz="4" w:space="0"/>
            </w:tcBorders>
            <w:vAlign w:val="center"/>
          </w:tcPr>
          <w:p w14:paraId="1BB6BF33">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初级职称人员</w:t>
            </w:r>
          </w:p>
        </w:tc>
        <w:tc>
          <w:tcPr>
            <w:tcW w:w="1030" w:type="pct"/>
            <w:gridSpan w:val="2"/>
            <w:tcBorders>
              <w:top w:val="single" w:color="auto" w:sz="4" w:space="0"/>
              <w:left w:val="single" w:color="auto" w:sz="4" w:space="0"/>
              <w:bottom w:val="single" w:color="auto" w:sz="4" w:space="0"/>
              <w:right w:val="single" w:color="auto" w:sz="4" w:space="0"/>
            </w:tcBorders>
            <w:vAlign w:val="center"/>
          </w:tcPr>
          <w:p w14:paraId="0FB67257">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2B8FF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37B1C4F9">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账号</w:t>
            </w:r>
          </w:p>
        </w:tc>
        <w:tc>
          <w:tcPr>
            <w:tcW w:w="1111" w:type="pct"/>
            <w:gridSpan w:val="2"/>
            <w:tcBorders>
              <w:top w:val="single" w:color="auto" w:sz="4" w:space="0"/>
              <w:left w:val="single" w:color="auto" w:sz="4" w:space="0"/>
              <w:bottom w:val="single" w:color="auto" w:sz="4" w:space="0"/>
              <w:right w:val="single" w:color="auto" w:sz="4" w:space="0"/>
            </w:tcBorders>
            <w:vAlign w:val="center"/>
          </w:tcPr>
          <w:p w14:paraId="30D18A0C">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505" w:type="pct"/>
            <w:vMerge w:val="continue"/>
            <w:tcBorders>
              <w:top w:val="single" w:color="auto" w:sz="4" w:space="0"/>
              <w:left w:val="single" w:color="auto" w:sz="4" w:space="0"/>
              <w:bottom w:val="single" w:color="auto" w:sz="4" w:space="0"/>
              <w:right w:val="single" w:color="auto" w:sz="4" w:space="0"/>
            </w:tcBorders>
            <w:vAlign w:val="center"/>
          </w:tcPr>
          <w:p w14:paraId="184F936B">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c>
          <w:tcPr>
            <w:tcW w:w="1381" w:type="pct"/>
            <w:gridSpan w:val="4"/>
            <w:tcBorders>
              <w:top w:val="single" w:color="auto" w:sz="4" w:space="0"/>
              <w:left w:val="single" w:color="auto" w:sz="4" w:space="0"/>
              <w:bottom w:val="single" w:color="auto" w:sz="4" w:space="0"/>
              <w:right w:val="single" w:color="auto" w:sz="4" w:space="0"/>
            </w:tcBorders>
            <w:vAlign w:val="center"/>
          </w:tcPr>
          <w:p w14:paraId="77B1A643">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  工</w:t>
            </w:r>
          </w:p>
        </w:tc>
        <w:tc>
          <w:tcPr>
            <w:tcW w:w="1030" w:type="pct"/>
            <w:gridSpan w:val="2"/>
            <w:tcBorders>
              <w:top w:val="single" w:color="auto" w:sz="4" w:space="0"/>
              <w:left w:val="single" w:color="auto" w:sz="4" w:space="0"/>
              <w:bottom w:val="single" w:color="auto" w:sz="4" w:space="0"/>
              <w:right w:val="single" w:color="auto" w:sz="4" w:space="0"/>
            </w:tcBorders>
            <w:vAlign w:val="center"/>
          </w:tcPr>
          <w:p w14:paraId="4903E725">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r w14:paraId="1C5BF4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jc w:val="center"/>
        </w:trPr>
        <w:tc>
          <w:tcPr>
            <w:tcW w:w="974" w:type="pct"/>
            <w:tcBorders>
              <w:top w:val="single" w:color="auto" w:sz="4" w:space="0"/>
              <w:left w:val="single" w:color="auto" w:sz="4" w:space="0"/>
              <w:right w:val="single" w:color="auto" w:sz="4" w:space="0"/>
            </w:tcBorders>
            <w:vAlign w:val="center"/>
          </w:tcPr>
          <w:p w14:paraId="5ECA2687">
            <w:pPr>
              <w:topLinePunct/>
              <w:spacing w:after="0" w:line="360" w:lineRule="auto"/>
              <w:ind w:firstLine="210" w:firstLineChars="10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经营范围</w:t>
            </w:r>
          </w:p>
        </w:tc>
        <w:tc>
          <w:tcPr>
            <w:tcW w:w="4026" w:type="pct"/>
            <w:gridSpan w:val="9"/>
            <w:tcBorders>
              <w:top w:val="single" w:color="auto" w:sz="4" w:space="0"/>
              <w:left w:val="single" w:color="auto" w:sz="4" w:space="0"/>
              <w:right w:val="single" w:color="auto" w:sz="4" w:space="0"/>
            </w:tcBorders>
            <w:vAlign w:val="center"/>
          </w:tcPr>
          <w:p w14:paraId="571905E2">
            <w:pPr>
              <w:topLinePunct/>
              <w:spacing w:after="0" w:line="360" w:lineRule="auto"/>
              <w:rPr>
                <w:rFonts w:hint="eastAsia" w:ascii="仿宋" w:hAnsi="仿宋" w:eastAsia="仿宋" w:cs="仿宋"/>
                <w:color w:val="000000" w:themeColor="text1"/>
                <w:szCs w:val="21"/>
                <w14:textFill>
                  <w14:solidFill>
                    <w14:schemeClr w14:val="tx1"/>
                  </w14:solidFill>
                </w14:textFill>
              </w:rPr>
            </w:pPr>
          </w:p>
        </w:tc>
      </w:tr>
      <w:tr w14:paraId="6F30C9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974" w:type="pct"/>
            <w:tcBorders>
              <w:top w:val="single" w:color="auto" w:sz="4" w:space="0"/>
              <w:left w:val="single" w:color="auto" w:sz="4" w:space="0"/>
              <w:bottom w:val="single" w:color="auto" w:sz="4" w:space="0"/>
              <w:right w:val="single" w:color="auto" w:sz="4" w:space="0"/>
            </w:tcBorders>
            <w:vAlign w:val="center"/>
          </w:tcPr>
          <w:p w14:paraId="31238226">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备注</w:t>
            </w:r>
          </w:p>
        </w:tc>
        <w:tc>
          <w:tcPr>
            <w:tcW w:w="4026" w:type="pct"/>
            <w:gridSpan w:val="9"/>
            <w:tcBorders>
              <w:top w:val="single" w:color="auto" w:sz="4" w:space="0"/>
              <w:left w:val="single" w:color="auto" w:sz="4" w:space="0"/>
              <w:bottom w:val="single" w:color="auto" w:sz="4" w:space="0"/>
              <w:right w:val="single" w:color="auto" w:sz="4" w:space="0"/>
            </w:tcBorders>
            <w:vAlign w:val="center"/>
          </w:tcPr>
          <w:p w14:paraId="168DE44D">
            <w:pPr>
              <w:topLinePunct/>
              <w:spacing w:after="0" w:line="360" w:lineRule="auto"/>
              <w:jc w:val="center"/>
              <w:rPr>
                <w:rFonts w:hint="eastAsia" w:ascii="仿宋" w:hAnsi="仿宋" w:eastAsia="仿宋" w:cs="仿宋"/>
                <w:color w:val="000000" w:themeColor="text1"/>
                <w:szCs w:val="21"/>
                <w14:textFill>
                  <w14:solidFill>
                    <w14:schemeClr w14:val="tx1"/>
                  </w14:solidFill>
                </w14:textFill>
              </w:rPr>
            </w:pPr>
          </w:p>
        </w:tc>
      </w:tr>
    </w:tbl>
    <w:p w14:paraId="6B3B8AD9">
      <w:pPr>
        <w:spacing w:after="0" w:line="360" w:lineRule="auto"/>
        <w:ind w:firstLine="424" w:firstLineChars="202"/>
        <w:rPr>
          <w:rFonts w:hint="eastAsia" w:ascii="仿宋" w:hAnsi="仿宋" w:eastAsia="仿宋" w:cs="仿宋"/>
          <w:color w:val="000000" w:themeColor="text1"/>
          <w14:textFill>
            <w14:solidFill>
              <w14:schemeClr w14:val="tx1"/>
            </w14:solidFill>
          </w14:textFill>
        </w:rPr>
      </w:pPr>
    </w:p>
    <w:p w14:paraId="2F33FAF6">
      <w:pPr>
        <w:spacing w:after="0" w:line="360" w:lineRule="auto"/>
        <w:ind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注：应按“投标人资格要求”中的具体内容及要求附：营业执照或事业单位法人证书、资质证书等相关资料的原件扫描件。</w:t>
      </w:r>
    </w:p>
    <w:p w14:paraId="28CC538B">
      <w:pPr>
        <w:spacing w:after="0" w:line="360" w:lineRule="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51DF309">
      <w:pPr>
        <w:pStyle w:val="4"/>
        <w:keepNext w:val="0"/>
        <w:keepLines w:val="0"/>
        <w:numPr>
          <w:ilvl w:val="0"/>
          <w:numId w:val="2"/>
        </w:numPr>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bookmarkStart w:id="440" w:name="_Toc40361920"/>
      <w:r>
        <w:rPr>
          <w:rFonts w:hint="eastAsia" w:ascii="仿宋" w:hAnsi="仿宋" w:eastAsia="仿宋" w:cs="仿宋"/>
          <w:color w:val="000000" w:themeColor="text1"/>
          <w:sz w:val="21"/>
          <w:szCs w:val="21"/>
          <w14:textFill>
            <w14:solidFill>
              <w14:schemeClr w14:val="tx1"/>
            </w14:solidFill>
          </w14:textFill>
        </w:rPr>
        <w:t>信用承诺函</w:t>
      </w:r>
    </w:p>
    <w:p w14:paraId="47C97F23">
      <w:pPr>
        <w:pStyle w:val="26"/>
        <w:spacing w:after="0" w:line="360" w:lineRule="auto"/>
        <w:ind w:left="0" w:leftChars="0" w:firstLine="424" w:firstLineChars="202"/>
        <w:jc w:val="center"/>
        <w:rPr>
          <w:rFonts w:hint="eastAsia" w:ascii="仿宋" w:hAnsi="仿宋" w:eastAsia="仿宋" w:cs="仿宋"/>
          <w:color w:val="000000" w:themeColor="text1"/>
          <w14:textFill>
            <w14:solidFill>
              <w14:schemeClr w14:val="tx1"/>
            </w14:solidFill>
          </w14:textFill>
        </w:rPr>
      </w:pPr>
    </w:p>
    <w:p w14:paraId="3C281F06">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致：</w:t>
      </w:r>
      <w:r>
        <w:rPr>
          <w:rFonts w:hint="eastAsia" w:ascii="仿宋" w:hAnsi="仿宋" w:eastAsia="仿宋" w:cs="仿宋"/>
          <w:color w:val="000000" w:themeColor="text1"/>
          <w:u w:val="single"/>
          <w14:textFill>
            <w14:solidFill>
              <w14:schemeClr w14:val="tx1"/>
            </w14:solidFill>
          </w14:textFill>
        </w:rPr>
        <w:t xml:space="preserve">                   （招标人）</w:t>
      </w:r>
    </w:p>
    <w:p w14:paraId="40BAF23B">
      <w:pPr>
        <w:pStyle w:val="26"/>
        <w:spacing w:after="0" w:line="360" w:lineRule="auto"/>
        <w:ind w:left="0" w:leftChars="0" w:firstLine="424" w:firstLineChars="202"/>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单位名称：</w:t>
      </w:r>
      <w:r>
        <w:rPr>
          <w:rFonts w:hint="eastAsia" w:ascii="仿宋" w:hAnsi="仿宋" w:eastAsia="仿宋" w:cs="仿宋"/>
          <w:color w:val="000000" w:themeColor="text1"/>
          <w:u w:val="single"/>
          <w14:textFill>
            <w14:solidFill>
              <w14:schemeClr w14:val="tx1"/>
            </w14:solidFill>
          </w14:textFill>
        </w:rPr>
        <w:t xml:space="preserve">                       </w:t>
      </w:r>
    </w:p>
    <w:p w14:paraId="275F212A">
      <w:pPr>
        <w:pStyle w:val="26"/>
        <w:spacing w:after="0" w:line="360" w:lineRule="auto"/>
        <w:ind w:left="0" w:leftChars="0" w:firstLine="424" w:firstLineChars="202"/>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w:t>
      </w:r>
      <w:r>
        <w:rPr>
          <w:rFonts w:hint="eastAsia" w:ascii="仿宋" w:hAnsi="仿宋" w:eastAsia="仿宋" w:cs="仿宋"/>
          <w:color w:val="000000" w:themeColor="text1"/>
          <w:u w:val="single"/>
          <w14:textFill>
            <w14:solidFill>
              <w14:schemeClr w14:val="tx1"/>
            </w14:solidFill>
          </w14:textFill>
        </w:rPr>
        <w:t xml:space="preserve">                     </w:t>
      </w:r>
    </w:p>
    <w:p w14:paraId="61DC845A">
      <w:pPr>
        <w:pStyle w:val="26"/>
        <w:spacing w:after="0" w:line="360" w:lineRule="auto"/>
        <w:ind w:left="0" w:leftChars="0" w:firstLine="424" w:firstLineChars="202"/>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统一社会信用代码：</w:t>
      </w:r>
      <w:r>
        <w:rPr>
          <w:rFonts w:hint="eastAsia" w:ascii="仿宋" w:hAnsi="仿宋" w:eastAsia="仿宋" w:cs="仿宋"/>
          <w:color w:val="000000" w:themeColor="text1"/>
          <w:u w:val="single"/>
          <w14:textFill>
            <w14:solidFill>
              <w14:schemeClr w14:val="tx1"/>
            </w14:solidFill>
          </w14:textFill>
        </w:rPr>
        <w:t xml:space="preserve">               </w:t>
      </w:r>
    </w:p>
    <w:p w14:paraId="52B89DCB">
      <w:pPr>
        <w:pStyle w:val="26"/>
        <w:spacing w:after="0" w:line="360" w:lineRule="auto"/>
        <w:ind w:left="0" w:leftChars="0" w:firstLine="424" w:firstLineChars="202"/>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联系地址和电话：</w:t>
      </w:r>
      <w:r>
        <w:rPr>
          <w:rFonts w:hint="eastAsia" w:ascii="仿宋" w:hAnsi="仿宋" w:eastAsia="仿宋" w:cs="仿宋"/>
          <w:color w:val="000000" w:themeColor="text1"/>
          <w:u w:val="single"/>
          <w14:textFill>
            <w14:solidFill>
              <w14:schemeClr w14:val="tx1"/>
            </w14:solidFill>
          </w14:textFill>
        </w:rPr>
        <w:t xml:space="preserve">                 </w:t>
      </w:r>
    </w:p>
    <w:p w14:paraId="1CB9BB9E">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我单位自愿作出以下承诺：</w:t>
      </w:r>
    </w:p>
    <w:p w14:paraId="5FDB8811">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一、我单位自愿参加本次招标活动，严格遵守《中华人民共和国招标投标法》及相关法律法规，依法诚信经营，无条件遵守本次招标活动的各项规定。我单位郑重承诺： </w:t>
      </w:r>
    </w:p>
    <w:p w14:paraId="6A86C178">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（1）符合国家相关规定的财务状况报告；</w:t>
      </w:r>
    </w:p>
    <w:p w14:paraId="71BC6DE3">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（2）依法缴纳税收的证明材料；</w:t>
      </w:r>
    </w:p>
    <w:p w14:paraId="091639DA">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（3）依法缴纳社会保障资金的证明材料；</w:t>
      </w:r>
    </w:p>
    <w:p w14:paraId="0CCE584C">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（4）具备履行合同所必需的设备和专业技术能力的证明材料；</w:t>
      </w:r>
    </w:p>
    <w:p w14:paraId="6B3D64C6">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（5）未被列入建筑市场“黑名单”，且在管理期内的；</w:t>
      </w:r>
    </w:p>
    <w:p w14:paraId="237E6439">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（6）未被列入国家企业信用信息公示系统严重违法失信名单，且在管理期内的；</w:t>
      </w:r>
    </w:p>
    <w:p w14:paraId="373065A8">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（7）未在“信用中国”网站重点领域严重失信主体名单被限制或禁止参与招标投标活动的“严重失信主体”，且在管理期限内的；</w:t>
      </w:r>
    </w:p>
    <w:p w14:paraId="0E3D4845">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（8）未被吊销许可证件、营业执照、限制开展生产经营活动、责令停业停产、责令关闭、限制从业等，依法取消投标资格的；</w:t>
      </w:r>
    </w:p>
    <w:p w14:paraId="6BB35F77">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（9）不存在法律法规、国家规定的不得参加投标的情形。</w:t>
      </w:r>
    </w:p>
    <w:p w14:paraId="29320FB8">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二、我单位保证上述承诺事项的真实性。如有弄虚作假或其他违法违规行为，自愿放弃中标资格并按照规定将违背承诺行为作为失信行为记录到社会信用信息平台，并视同为“提供虚假材料谋取中标”。</w:t>
      </w:r>
    </w:p>
    <w:p w14:paraId="0DC162B9">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三、在签订合同前招标人要求提供相关证明材料的，积极配合招标人提供证明材料。</w:t>
      </w:r>
    </w:p>
    <w:p w14:paraId="4E98BAD0">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14:paraId="6E68394E">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 标 人：          (盖单位电子章)</w:t>
      </w:r>
    </w:p>
    <w:p w14:paraId="02DE675B">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法定代表人或其委托代理人：          (签字或盖电子章)</w:t>
      </w:r>
    </w:p>
    <w:p w14:paraId="7EF3BC8E">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日期：   年   月   日 </w:t>
      </w:r>
    </w:p>
    <w:p w14:paraId="074BEFCB">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14:paraId="0C44CFA0">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14:paraId="41144054">
      <w:pPr>
        <w:pStyle w:val="26"/>
        <w:spacing w:after="0" w:line="360" w:lineRule="auto"/>
        <w:ind w:left="0" w:leftChars="0" w:firstLine="424" w:firstLineChars="20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注：投标人须在投标文件中按此模板提供承诺函，未提供视为未实质性响应招标文件要求，按无效投标处理。</w:t>
      </w:r>
    </w:p>
    <w:p w14:paraId="15D2D809">
      <w:pPr>
        <w:pStyle w:val="4"/>
        <w:keepNext w:val="0"/>
        <w:keepLines w:val="0"/>
        <w:numPr>
          <w:ilvl w:val="0"/>
          <w:numId w:val="2"/>
        </w:numPr>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近年类似项目业绩情况表</w:t>
      </w:r>
      <w:bookmarkEnd w:id="440"/>
    </w:p>
    <w:tbl>
      <w:tblPr>
        <w:tblStyle w:val="27"/>
        <w:tblW w:w="5000" w:type="pct"/>
        <w:tblInd w:w="0" w:type="dxa"/>
        <w:tblLayout w:type="autofit"/>
        <w:tblCellMar>
          <w:top w:w="0" w:type="dxa"/>
          <w:left w:w="108" w:type="dxa"/>
          <w:bottom w:w="0" w:type="dxa"/>
          <w:right w:w="108" w:type="dxa"/>
        </w:tblCellMar>
      </w:tblPr>
      <w:tblGrid>
        <w:gridCol w:w="2304"/>
        <w:gridCol w:w="6352"/>
      </w:tblGrid>
      <w:tr w14:paraId="702ECA93">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F0D557B">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项目名称</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D8B827E">
            <w:pPr>
              <w:spacing w:after="0" w:line="360" w:lineRule="auto"/>
              <w:rPr>
                <w:rFonts w:hint="eastAsia" w:ascii="仿宋" w:hAnsi="仿宋" w:eastAsia="仿宋" w:cs="仿宋"/>
                <w:color w:val="000000" w:themeColor="text1"/>
                <w14:textFill>
                  <w14:solidFill>
                    <w14:schemeClr w14:val="tx1"/>
                  </w14:solidFill>
                </w14:textFill>
              </w:rPr>
            </w:pPr>
          </w:p>
        </w:tc>
      </w:tr>
      <w:tr w14:paraId="29D13831">
        <w:tblPrEx>
          <w:tblCellMar>
            <w:top w:w="0" w:type="dxa"/>
            <w:left w:w="108" w:type="dxa"/>
            <w:bottom w:w="0" w:type="dxa"/>
            <w:right w:w="108" w:type="dxa"/>
          </w:tblCellMar>
        </w:tblPrEx>
        <w:trPr>
          <w:trHeight w:val="684"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2A90643">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项目所在地</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4301FFB">
            <w:pPr>
              <w:spacing w:after="0" w:line="360" w:lineRule="auto"/>
              <w:rPr>
                <w:rFonts w:hint="eastAsia" w:ascii="仿宋" w:hAnsi="仿宋" w:eastAsia="仿宋" w:cs="仿宋"/>
                <w:color w:val="000000" w:themeColor="text1"/>
                <w14:textFill>
                  <w14:solidFill>
                    <w14:schemeClr w14:val="tx1"/>
                  </w14:solidFill>
                </w14:textFill>
              </w:rPr>
            </w:pPr>
          </w:p>
        </w:tc>
      </w:tr>
      <w:tr w14:paraId="31DC483B">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7CE92D2">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发包人名称</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F363698">
            <w:pPr>
              <w:spacing w:after="0" w:line="360" w:lineRule="auto"/>
              <w:rPr>
                <w:rFonts w:hint="eastAsia" w:ascii="仿宋" w:hAnsi="仿宋" w:eastAsia="仿宋" w:cs="仿宋"/>
                <w:color w:val="000000" w:themeColor="text1"/>
                <w14:textFill>
                  <w14:solidFill>
                    <w14:schemeClr w14:val="tx1"/>
                  </w14:solidFill>
                </w14:textFill>
              </w:rPr>
            </w:pPr>
          </w:p>
        </w:tc>
      </w:tr>
      <w:tr w14:paraId="1C983EA8">
        <w:tblPrEx>
          <w:tblCellMar>
            <w:top w:w="0" w:type="dxa"/>
            <w:left w:w="108" w:type="dxa"/>
            <w:bottom w:w="0" w:type="dxa"/>
            <w:right w:w="108" w:type="dxa"/>
          </w:tblCellMar>
        </w:tblPrEx>
        <w:trPr>
          <w:trHeight w:val="682"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A9E4BEA">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发包人地址</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B23F9AF">
            <w:pPr>
              <w:spacing w:after="0" w:line="360" w:lineRule="auto"/>
              <w:rPr>
                <w:rFonts w:hint="eastAsia" w:ascii="仿宋" w:hAnsi="仿宋" w:eastAsia="仿宋" w:cs="仿宋"/>
                <w:color w:val="000000" w:themeColor="text1"/>
                <w14:textFill>
                  <w14:solidFill>
                    <w14:schemeClr w14:val="tx1"/>
                  </w14:solidFill>
                </w14:textFill>
              </w:rPr>
            </w:pPr>
          </w:p>
        </w:tc>
      </w:tr>
      <w:tr w14:paraId="4A5A6106">
        <w:tblPrEx>
          <w:tblCellMar>
            <w:top w:w="0" w:type="dxa"/>
            <w:left w:w="108" w:type="dxa"/>
            <w:bottom w:w="0" w:type="dxa"/>
            <w:right w:w="108" w:type="dxa"/>
          </w:tblCellMar>
        </w:tblPrEx>
        <w:trPr>
          <w:trHeight w:val="684"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5CD0BC9">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发包人电话</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0B77C23">
            <w:pPr>
              <w:spacing w:after="0" w:line="360" w:lineRule="auto"/>
              <w:rPr>
                <w:rFonts w:hint="eastAsia" w:ascii="仿宋" w:hAnsi="仿宋" w:eastAsia="仿宋" w:cs="仿宋"/>
                <w:color w:val="000000" w:themeColor="text1"/>
                <w14:textFill>
                  <w14:solidFill>
                    <w14:schemeClr w14:val="tx1"/>
                  </w14:solidFill>
                </w14:textFill>
              </w:rPr>
            </w:pPr>
          </w:p>
        </w:tc>
      </w:tr>
      <w:tr w14:paraId="70FCF2E0">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AAF1009">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合同价格</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9C51A94">
            <w:pPr>
              <w:spacing w:after="0" w:line="360" w:lineRule="auto"/>
              <w:rPr>
                <w:rFonts w:hint="eastAsia" w:ascii="仿宋" w:hAnsi="仿宋" w:eastAsia="仿宋" w:cs="仿宋"/>
                <w:color w:val="000000" w:themeColor="text1"/>
                <w14:textFill>
                  <w14:solidFill>
                    <w14:schemeClr w14:val="tx1"/>
                  </w14:solidFill>
                </w14:textFill>
              </w:rPr>
            </w:pPr>
          </w:p>
        </w:tc>
      </w:tr>
      <w:tr w14:paraId="62B63C5A">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401D6FE">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服务期限</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D95CF01">
            <w:pPr>
              <w:spacing w:after="0" w:line="360" w:lineRule="auto"/>
              <w:rPr>
                <w:rFonts w:hint="eastAsia" w:ascii="仿宋" w:hAnsi="仿宋" w:eastAsia="仿宋" w:cs="仿宋"/>
                <w:color w:val="000000" w:themeColor="text1"/>
                <w14:textFill>
                  <w14:solidFill>
                    <w14:schemeClr w14:val="tx1"/>
                  </w14:solidFill>
                </w14:textFill>
              </w:rPr>
            </w:pPr>
          </w:p>
        </w:tc>
      </w:tr>
      <w:tr w14:paraId="6B3F79F2">
        <w:tblPrEx>
          <w:tblCellMar>
            <w:top w:w="0" w:type="dxa"/>
            <w:left w:w="108" w:type="dxa"/>
            <w:bottom w:w="0" w:type="dxa"/>
            <w:right w:w="108" w:type="dxa"/>
          </w:tblCellMar>
        </w:tblPrEx>
        <w:trPr>
          <w:trHeight w:val="684"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5491177">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项目内容</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1B2B66E">
            <w:pPr>
              <w:spacing w:after="0" w:line="360" w:lineRule="auto"/>
              <w:rPr>
                <w:rFonts w:hint="eastAsia" w:ascii="仿宋" w:hAnsi="仿宋" w:eastAsia="仿宋" w:cs="仿宋"/>
                <w:color w:val="000000" w:themeColor="text1"/>
                <w14:textFill>
                  <w14:solidFill>
                    <w14:schemeClr w14:val="tx1"/>
                  </w14:solidFill>
                </w14:textFill>
              </w:rPr>
            </w:pPr>
          </w:p>
        </w:tc>
      </w:tr>
      <w:tr w14:paraId="40DFA632">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6C97ADE">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项目负责人</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E1AAFAD">
            <w:pPr>
              <w:spacing w:after="0" w:line="360" w:lineRule="auto"/>
              <w:rPr>
                <w:rFonts w:hint="eastAsia" w:ascii="仿宋" w:hAnsi="仿宋" w:eastAsia="仿宋" w:cs="仿宋"/>
                <w:color w:val="000000" w:themeColor="text1"/>
                <w14:textFill>
                  <w14:solidFill>
                    <w14:schemeClr w14:val="tx1"/>
                  </w14:solidFill>
                </w14:textFill>
              </w:rPr>
            </w:pPr>
          </w:p>
        </w:tc>
      </w:tr>
      <w:tr w14:paraId="7302F10A">
        <w:tblPrEx>
          <w:tblCellMar>
            <w:top w:w="0" w:type="dxa"/>
            <w:left w:w="108" w:type="dxa"/>
            <w:bottom w:w="0" w:type="dxa"/>
            <w:right w:w="108" w:type="dxa"/>
          </w:tblCellMar>
        </w:tblPrEx>
        <w:trPr>
          <w:trHeight w:val="310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FC05C07">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项目描述</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B3C4EEC">
            <w:pPr>
              <w:spacing w:after="0" w:line="360" w:lineRule="auto"/>
              <w:rPr>
                <w:rFonts w:hint="eastAsia" w:ascii="仿宋" w:hAnsi="仿宋" w:eastAsia="仿宋" w:cs="仿宋"/>
                <w:color w:val="000000" w:themeColor="text1"/>
                <w14:textFill>
                  <w14:solidFill>
                    <w14:schemeClr w14:val="tx1"/>
                  </w14:solidFill>
                </w14:textFill>
              </w:rPr>
            </w:pPr>
          </w:p>
        </w:tc>
      </w:tr>
      <w:tr w14:paraId="07A688F1">
        <w:tblPrEx>
          <w:tblCellMar>
            <w:top w:w="0" w:type="dxa"/>
            <w:left w:w="108" w:type="dxa"/>
            <w:bottom w:w="0" w:type="dxa"/>
            <w:right w:w="108" w:type="dxa"/>
          </w:tblCellMar>
        </w:tblPrEx>
        <w:trPr>
          <w:trHeight w:val="681" w:hRule="exact"/>
        </w:trPr>
        <w:tc>
          <w:tcPr>
            <w:tcW w:w="133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74F0A48">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备注</w:t>
            </w:r>
          </w:p>
        </w:tc>
        <w:tc>
          <w:tcPr>
            <w:tcW w:w="3669"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7B9BB84">
            <w:pPr>
              <w:spacing w:after="0" w:line="360" w:lineRule="auto"/>
              <w:rPr>
                <w:rFonts w:hint="eastAsia" w:ascii="仿宋" w:hAnsi="仿宋" w:eastAsia="仿宋" w:cs="仿宋"/>
                <w:color w:val="000000" w:themeColor="text1"/>
                <w14:textFill>
                  <w14:solidFill>
                    <w14:schemeClr w14:val="tx1"/>
                  </w14:solidFill>
                </w14:textFill>
              </w:rPr>
            </w:pPr>
          </w:p>
        </w:tc>
      </w:tr>
    </w:tbl>
    <w:p w14:paraId="6D4CED8B">
      <w:pPr>
        <w:pStyle w:val="57"/>
        <w:widowControl w:val="0"/>
        <w:spacing w:line="360" w:lineRule="auto"/>
        <w:rPr>
          <w:rFonts w:hint="eastAsia" w:ascii="仿宋" w:hAnsi="仿宋" w:eastAsia="仿宋" w:cs="仿宋"/>
          <w:color w:val="000000" w:themeColor="text1"/>
          <w14:textFill>
            <w14:solidFill>
              <w14:schemeClr w14:val="tx1"/>
            </w14:solidFill>
          </w14:textFill>
        </w:rPr>
      </w:pPr>
      <w:bookmarkStart w:id="441" w:name="_Toc24064"/>
      <w:bookmarkStart w:id="442" w:name="_Toc31554"/>
    </w:p>
    <w:p w14:paraId="62BF1691">
      <w:pPr>
        <w:pStyle w:val="57"/>
        <w:widowControl w:val="0"/>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注：应按评标办法“企业业绩”中的具体内容及要求附合同扫描件、中标通知书扫描件。每张表格只填写一个项目。</w:t>
      </w:r>
    </w:p>
    <w:bookmarkEnd w:id="441"/>
    <w:bookmarkEnd w:id="442"/>
    <w:p w14:paraId="30F1B57B">
      <w:pPr>
        <w:spacing w:after="0" w:line="360" w:lineRule="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F0D8EE0">
      <w:pPr>
        <w:pStyle w:val="4"/>
        <w:keepNext w:val="0"/>
        <w:keepLines w:val="0"/>
        <w:numPr>
          <w:ilvl w:val="0"/>
          <w:numId w:val="2"/>
        </w:numPr>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bookmarkStart w:id="443" w:name="_Toc40361923"/>
      <w:r>
        <w:rPr>
          <w:rFonts w:hint="eastAsia" w:ascii="仿宋" w:hAnsi="仿宋" w:eastAsia="仿宋" w:cs="仿宋"/>
          <w:color w:val="000000" w:themeColor="text1"/>
          <w:sz w:val="21"/>
          <w:szCs w:val="21"/>
          <w14:textFill>
            <w14:solidFill>
              <w14:schemeClr w14:val="tx1"/>
            </w14:solidFill>
          </w14:textFill>
        </w:rPr>
        <w:t>拟派的主要人员汇总表</w:t>
      </w:r>
      <w:bookmarkEnd w:id="443"/>
    </w:p>
    <w:tbl>
      <w:tblPr>
        <w:tblStyle w:val="27"/>
        <w:tblW w:w="5000" w:type="pct"/>
        <w:tblInd w:w="0" w:type="dxa"/>
        <w:tblLayout w:type="autofit"/>
        <w:tblCellMar>
          <w:top w:w="0" w:type="dxa"/>
          <w:left w:w="108" w:type="dxa"/>
          <w:bottom w:w="0" w:type="dxa"/>
          <w:right w:w="108" w:type="dxa"/>
        </w:tblCellMar>
      </w:tblPr>
      <w:tblGrid>
        <w:gridCol w:w="716"/>
        <w:gridCol w:w="1278"/>
        <w:gridCol w:w="848"/>
        <w:gridCol w:w="852"/>
        <w:gridCol w:w="992"/>
        <w:gridCol w:w="1702"/>
        <w:gridCol w:w="1562"/>
        <w:gridCol w:w="706"/>
      </w:tblGrid>
      <w:tr w14:paraId="6D5697D3">
        <w:tblPrEx>
          <w:tblCellMar>
            <w:top w:w="0" w:type="dxa"/>
            <w:left w:w="108" w:type="dxa"/>
            <w:bottom w:w="0" w:type="dxa"/>
            <w:right w:w="108" w:type="dxa"/>
          </w:tblCellMar>
        </w:tblPrEx>
        <w:trPr>
          <w:trHeight w:val="453" w:hRule="exact"/>
        </w:trPr>
        <w:tc>
          <w:tcPr>
            <w:tcW w:w="414" w:type="pct"/>
            <w:vMerge w:val="restar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F6CFC79">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序号</w:t>
            </w:r>
          </w:p>
        </w:tc>
        <w:tc>
          <w:tcPr>
            <w:tcW w:w="738" w:type="pct"/>
            <w:vMerge w:val="restar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E4BE62C">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本项目任职</w:t>
            </w:r>
          </w:p>
        </w:tc>
        <w:tc>
          <w:tcPr>
            <w:tcW w:w="490" w:type="pct"/>
            <w:vMerge w:val="restar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9272B57">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姓名</w:t>
            </w:r>
          </w:p>
        </w:tc>
        <w:tc>
          <w:tcPr>
            <w:tcW w:w="492" w:type="pct"/>
            <w:vMerge w:val="restar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C5BF0C2">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职称</w:t>
            </w:r>
          </w:p>
        </w:tc>
        <w:tc>
          <w:tcPr>
            <w:tcW w:w="573" w:type="pct"/>
            <w:vMerge w:val="restar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606D6FC">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专业</w:t>
            </w:r>
          </w:p>
        </w:tc>
        <w:tc>
          <w:tcPr>
            <w:tcW w:w="1885"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D78E03">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执业或职业资格证明</w:t>
            </w: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A48A030">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备注</w:t>
            </w:r>
          </w:p>
        </w:tc>
      </w:tr>
      <w:tr w14:paraId="7792D9D6">
        <w:tblPrEx>
          <w:tblCellMar>
            <w:top w:w="0" w:type="dxa"/>
            <w:left w:w="108" w:type="dxa"/>
            <w:bottom w:w="0" w:type="dxa"/>
            <w:right w:w="108" w:type="dxa"/>
          </w:tblCellMar>
        </w:tblPrEx>
        <w:trPr>
          <w:trHeight w:val="455" w:hRule="exact"/>
        </w:trPr>
        <w:tc>
          <w:tcPr>
            <w:tcW w:w="414" w:type="pct"/>
            <w:vMerge w:val="continue"/>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2A366DA">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vMerge w:val="continue"/>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AC1C71C">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vMerge w:val="continue"/>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361DD4A">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vMerge w:val="continue"/>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B4F5AB9">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vMerge w:val="continue"/>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09D67E">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091D674">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证书名称</w:t>
            </w: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96C691A">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级别</w:t>
            </w: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58DCD0A">
            <w:pPr>
              <w:spacing w:after="0" w:line="360" w:lineRule="auto"/>
              <w:rPr>
                <w:rFonts w:hint="eastAsia" w:ascii="仿宋" w:hAnsi="仿宋" w:eastAsia="仿宋" w:cs="仿宋"/>
                <w:color w:val="000000" w:themeColor="text1"/>
                <w14:textFill>
                  <w14:solidFill>
                    <w14:schemeClr w14:val="tx1"/>
                  </w14:solidFill>
                </w14:textFill>
              </w:rPr>
            </w:pPr>
          </w:p>
        </w:tc>
      </w:tr>
      <w:tr w14:paraId="77FD1AC7">
        <w:tblPrEx>
          <w:tblCellMar>
            <w:top w:w="0" w:type="dxa"/>
            <w:left w:w="108" w:type="dxa"/>
            <w:bottom w:w="0" w:type="dxa"/>
            <w:right w:w="108" w:type="dxa"/>
          </w:tblCellMar>
        </w:tblPrEx>
        <w:trPr>
          <w:trHeight w:val="453"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60C2A5E">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FEC3FD9">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720B049">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3C77490">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1BAA189">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8AA644E">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C2A5018">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F6E52A7">
            <w:pPr>
              <w:spacing w:after="0" w:line="360" w:lineRule="auto"/>
              <w:rPr>
                <w:rFonts w:hint="eastAsia" w:ascii="仿宋" w:hAnsi="仿宋" w:eastAsia="仿宋" w:cs="仿宋"/>
                <w:color w:val="000000" w:themeColor="text1"/>
                <w14:textFill>
                  <w14:solidFill>
                    <w14:schemeClr w14:val="tx1"/>
                  </w14:solidFill>
                </w14:textFill>
              </w:rPr>
            </w:pPr>
          </w:p>
        </w:tc>
      </w:tr>
      <w:tr w14:paraId="5098B09F">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052C6F7">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E9D2961">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28DD0C">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B653CDC">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8DF166E">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3A2C484">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8657E76">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191F4F4">
            <w:pPr>
              <w:spacing w:after="0" w:line="360" w:lineRule="auto"/>
              <w:rPr>
                <w:rFonts w:hint="eastAsia" w:ascii="仿宋" w:hAnsi="仿宋" w:eastAsia="仿宋" w:cs="仿宋"/>
                <w:color w:val="000000" w:themeColor="text1"/>
                <w14:textFill>
                  <w14:solidFill>
                    <w14:schemeClr w14:val="tx1"/>
                  </w14:solidFill>
                </w14:textFill>
              </w:rPr>
            </w:pPr>
          </w:p>
        </w:tc>
      </w:tr>
      <w:tr w14:paraId="44783694">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2028A93">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6EC00FB">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6193D4F">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86FF010">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226C150">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37A1CE2">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146FB3E">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E8E1DE2">
            <w:pPr>
              <w:spacing w:after="0" w:line="360" w:lineRule="auto"/>
              <w:rPr>
                <w:rFonts w:hint="eastAsia" w:ascii="仿宋" w:hAnsi="仿宋" w:eastAsia="仿宋" w:cs="仿宋"/>
                <w:color w:val="000000" w:themeColor="text1"/>
                <w14:textFill>
                  <w14:solidFill>
                    <w14:schemeClr w14:val="tx1"/>
                  </w14:solidFill>
                </w14:textFill>
              </w:rPr>
            </w:pPr>
          </w:p>
        </w:tc>
      </w:tr>
      <w:tr w14:paraId="01A3A83B">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86B1808">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02D7A9">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0DE6B7A">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47394A1">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FFB5E4D">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9246BA1">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018A0B8">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F0E2307">
            <w:pPr>
              <w:spacing w:after="0" w:line="360" w:lineRule="auto"/>
              <w:rPr>
                <w:rFonts w:hint="eastAsia" w:ascii="仿宋" w:hAnsi="仿宋" w:eastAsia="仿宋" w:cs="仿宋"/>
                <w:color w:val="000000" w:themeColor="text1"/>
                <w14:textFill>
                  <w14:solidFill>
                    <w14:schemeClr w14:val="tx1"/>
                  </w14:solidFill>
                </w14:textFill>
              </w:rPr>
            </w:pPr>
          </w:p>
        </w:tc>
      </w:tr>
      <w:tr w14:paraId="45DD4F0A">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7515363">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4A94DAE">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A92672A">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C7171DD">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19ADD5E">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5EB81F5">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4BBDF38">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32BB0E4">
            <w:pPr>
              <w:spacing w:after="0" w:line="360" w:lineRule="auto"/>
              <w:rPr>
                <w:rFonts w:hint="eastAsia" w:ascii="仿宋" w:hAnsi="仿宋" w:eastAsia="仿宋" w:cs="仿宋"/>
                <w:color w:val="000000" w:themeColor="text1"/>
                <w14:textFill>
                  <w14:solidFill>
                    <w14:schemeClr w14:val="tx1"/>
                  </w14:solidFill>
                </w14:textFill>
              </w:rPr>
            </w:pPr>
          </w:p>
        </w:tc>
      </w:tr>
      <w:tr w14:paraId="1CB589D8">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D632D59">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0D9B90">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C5FA9AC">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10BBE11">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587D5EA">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7E52339">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A8A2C79">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497CD51">
            <w:pPr>
              <w:spacing w:after="0" w:line="360" w:lineRule="auto"/>
              <w:rPr>
                <w:rFonts w:hint="eastAsia" w:ascii="仿宋" w:hAnsi="仿宋" w:eastAsia="仿宋" w:cs="仿宋"/>
                <w:color w:val="000000" w:themeColor="text1"/>
                <w14:textFill>
                  <w14:solidFill>
                    <w14:schemeClr w14:val="tx1"/>
                  </w14:solidFill>
                </w14:textFill>
              </w:rPr>
            </w:pPr>
          </w:p>
        </w:tc>
      </w:tr>
      <w:tr w14:paraId="3949D374">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C1C99A7">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A9729D9">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8F6C920">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F9AB2FB">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3379BCF">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B997D57">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812A391">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95CEA04">
            <w:pPr>
              <w:spacing w:after="0" w:line="360" w:lineRule="auto"/>
              <w:rPr>
                <w:rFonts w:hint="eastAsia" w:ascii="仿宋" w:hAnsi="仿宋" w:eastAsia="仿宋" w:cs="仿宋"/>
                <w:color w:val="000000" w:themeColor="text1"/>
                <w14:textFill>
                  <w14:solidFill>
                    <w14:schemeClr w14:val="tx1"/>
                  </w14:solidFill>
                </w14:textFill>
              </w:rPr>
            </w:pPr>
          </w:p>
        </w:tc>
      </w:tr>
      <w:tr w14:paraId="0B7A9887">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D8C51E6">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24B179E">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7F51080">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E26A823">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AAC35BA">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076A1E8">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8699596">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1BBBC44">
            <w:pPr>
              <w:spacing w:after="0" w:line="360" w:lineRule="auto"/>
              <w:rPr>
                <w:rFonts w:hint="eastAsia" w:ascii="仿宋" w:hAnsi="仿宋" w:eastAsia="仿宋" w:cs="仿宋"/>
                <w:color w:val="000000" w:themeColor="text1"/>
                <w14:textFill>
                  <w14:solidFill>
                    <w14:schemeClr w14:val="tx1"/>
                  </w14:solidFill>
                </w14:textFill>
              </w:rPr>
            </w:pPr>
          </w:p>
        </w:tc>
      </w:tr>
      <w:tr w14:paraId="67E71655">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52F72E9">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DBD7319">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4EE36EF">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16F521B">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BB81D66">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832AF09">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5CA4BD">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4BEBEFC">
            <w:pPr>
              <w:spacing w:after="0" w:line="360" w:lineRule="auto"/>
              <w:rPr>
                <w:rFonts w:hint="eastAsia" w:ascii="仿宋" w:hAnsi="仿宋" w:eastAsia="仿宋" w:cs="仿宋"/>
                <w:color w:val="000000" w:themeColor="text1"/>
                <w14:textFill>
                  <w14:solidFill>
                    <w14:schemeClr w14:val="tx1"/>
                  </w14:solidFill>
                </w14:textFill>
              </w:rPr>
            </w:pPr>
          </w:p>
        </w:tc>
      </w:tr>
      <w:tr w14:paraId="442F5A5C">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11394A3">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7EFAAC9">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6735BE4">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750C10F">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9F0509">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98979EA">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398CA6C">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49D3EB5">
            <w:pPr>
              <w:spacing w:after="0" w:line="360" w:lineRule="auto"/>
              <w:rPr>
                <w:rFonts w:hint="eastAsia" w:ascii="仿宋" w:hAnsi="仿宋" w:eastAsia="仿宋" w:cs="仿宋"/>
                <w:color w:val="000000" w:themeColor="text1"/>
                <w14:textFill>
                  <w14:solidFill>
                    <w14:schemeClr w14:val="tx1"/>
                  </w14:solidFill>
                </w14:textFill>
              </w:rPr>
            </w:pPr>
          </w:p>
        </w:tc>
      </w:tr>
      <w:tr w14:paraId="44F26789">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44D1198">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DB4177C">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8C15B48">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01E5FD5">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2B493FC">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DA89772">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297AC8E">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44452DD">
            <w:pPr>
              <w:spacing w:after="0" w:line="360" w:lineRule="auto"/>
              <w:rPr>
                <w:rFonts w:hint="eastAsia" w:ascii="仿宋" w:hAnsi="仿宋" w:eastAsia="仿宋" w:cs="仿宋"/>
                <w:color w:val="000000" w:themeColor="text1"/>
                <w14:textFill>
                  <w14:solidFill>
                    <w14:schemeClr w14:val="tx1"/>
                  </w14:solidFill>
                </w14:textFill>
              </w:rPr>
            </w:pPr>
          </w:p>
        </w:tc>
      </w:tr>
      <w:tr w14:paraId="480AC3AC">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EB27746">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2DFC414">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B124B72">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697B541">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6B1E37B">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8071788">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0058456">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E110784">
            <w:pPr>
              <w:spacing w:after="0" w:line="360" w:lineRule="auto"/>
              <w:rPr>
                <w:rFonts w:hint="eastAsia" w:ascii="仿宋" w:hAnsi="仿宋" w:eastAsia="仿宋" w:cs="仿宋"/>
                <w:color w:val="000000" w:themeColor="text1"/>
                <w14:textFill>
                  <w14:solidFill>
                    <w14:schemeClr w14:val="tx1"/>
                  </w14:solidFill>
                </w14:textFill>
              </w:rPr>
            </w:pPr>
          </w:p>
        </w:tc>
      </w:tr>
      <w:tr w14:paraId="58239BD0">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34EAE9A">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FAF6391">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C5CA3E">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BF3E24D">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081378">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A91EB58">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B3D19B0">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696C47F">
            <w:pPr>
              <w:spacing w:after="0" w:line="360" w:lineRule="auto"/>
              <w:rPr>
                <w:rFonts w:hint="eastAsia" w:ascii="仿宋" w:hAnsi="仿宋" w:eastAsia="仿宋" w:cs="仿宋"/>
                <w:color w:val="000000" w:themeColor="text1"/>
                <w14:textFill>
                  <w14:solidFill>
                    <w14:schemeClr w14:val="tx1"/>
                  </w14:solidFill>
                </w14:textFill>
              </w:rPr>
            </w:pPr>
          </w:p>
        </w:tc>
      </w:tr>
      <w:tr w14:paraId="14531ED8">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0E4C531">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A9F0790">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E01D188">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B249671">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EA0BD20">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E806E27">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543AEC0">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4C97E01">
            <w:pPr>
              <w:spacing w:after="0" w:line="360" w:lineRule="auto"/>
              <w:rPr>
                <w:rFonts w:hint="eastAsia" w:ascii="仿宋" w:hAnsi="仿宋" w:eastAsia="仿宋" w:cs="仿宋"/>
                <w:color w:val="000000" w:themeColor="text1"/>
                <w14:textFill>
                  <w14:solidFill>
                    <w14:schemeClr w14:val="tx1"/>
                  </w14:solidFill>
                </w14:textFill>
              </w:rPr>
            </w:pPr>
          </w:p>
        </w:tc>
      </w:tr>
      <w:tr w14:paraId="7A7DCAC2">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6097FBB">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B999142">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7762CFA">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0BB10C7">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321E91B">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AE55557">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780F286">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4EFAD01">
            <w:pPr>
              <w:spacing w:after="0" w:line="360" w:lineRule="auto"/>
              <w:rPr>
                <w:rFonts w:hint="eastAsia" w:ascii="仿宋" w:hAnsi="仿宋" w:eastAsia="仿宋" w:cs="仿宋"/>
                <w:color w:val="000000" w:themeColor="text1"/>
                <w14:textFill>
                  <w14:solidFill>
                    <w14:schemeClr w14:val="tx1"/>
                  </w14:solidFill>
                </w14:textFill>
              </w:rPr>
            </w:pPr>
          </w:p>
        </w:tc>
      </w:tr>
      <w:tr w14:paraId="54BAF5A0">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A61A407">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DD8F375">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053A04A">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EE58932">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C3E920E">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CDF1E7B">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FCBE104">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F54B462">
            <w:pPr>
              <w:spacing w:after="0" w:line="360" w:lineRule="auto"/>
              <w:rPr>
                <w:rFonts w:hint="eastAsia" w:ascii="仿宋" w:hAnsi="仿宋" w:eastAsia="仿宋" w:cs="仿宋"/>
                <w:color w:val="000000" w:themeColor="text1"/>
                <w14:textFill>
                  <w14:solidFill>
                    <w14:schemeClr w14:val="tx1"/>
                  </w14:solidFill>
                </w14:textFill>
              </w:rPr>
            </w:pPr>
          </w:p>
        </w:tc>
      </w:tr>
      <w:tr w14:paraId="67FCB343">
        <w:tblPrEx>
          <w:tblCellMar>
            <w:top w:w="0" w:type="dxa"/>
            <w:left w:w="108" w:type="dxa"/>
            <w:bottom w:w="0" w:type="dxa"/>
            <w:right w:w="108" w:type="dxa"/>
          </w:tblCellMar>
        </w:tblPrEx>
        <w:trPr>
          <w:trHeight w:val="456" w:hRule="exact"/>
        </w:trPr>
        <w:tc>
          <w:tcPr>
            <w:tcW w:w="41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7537C66">
            <w:pPr>
              <w:spacing w:after="0" w:line="360" w:lineRule="auto"/>
              <w:rPr>
                <w:rFonts w:hint="eastAsia" w:ascii="仿宋" w:hAnsi="仿宋" w:eastAsia="仿宋" w:cs="仿宋"/>
                <w:color w:val="000000" w:themeColor="text1"/>
                <w14:textFill>
                  <w14:solidFill>
                    <w14:schemeClr w14:val="tx1"/>
                  </w14:solidFill>
                </w14:textFill>
              </w:rPr>
            </w:pPr>
          </w:p>
        </w:tc>
        <w:tc>
          <w:tcPr>
            <w:tcW w:w="73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8CE4CBB">
            <w:pPr>
              <w:spacing w:after="0" w:line="360" w:lineRule="auto"/>
              <w:rPr>
                <w:rFonts w:hint="eastAsia" w:ascii="仿宋" w:hAnsi="仿宋" w:eastAsia="仿宋" w:cs="仿宋"/>
                <w:color w:val="000000" w:themeColor="text1"/>
                <w14:textFill>
                  <w14:solidFill>
                    <w14:schemeClr w14:val="tx1"/>
                  </w14:solidFill>
                </w14:textFill>
              </w:rPr>
            </w:pPr>
          </w:p>
        </w:tc>
        <w:tc>
          <w:tcPr>
            <w:tcW w:w="490"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DF9EC51">
            <w:pPr>
              <w:spacing w:after="0" w:line="360" w:lineRule="auto"/>
              <w:rPr>
                <w:rFonts w:hint="eastAsia" w:ascii="仿宋" w:hAnsi="仿宋" w:eastAsia="仿宋" w:cs="仿宋"/>
                <w:color w:val="000000" w:themeColor="text1"/>
                <w14:textFill>
                  <w14:solidFill>
                    <w14:schemeClr w14:val="tx1"/>
                  </w14:solidFill>
                </w14:textFill>
              </w:rPr>
            </w:pPr>
          </w:p>
        </w:tc>
        <w:tc>
          <w:tcPr>
            <w:tcW w:w="49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D9FDBC9">
            <w:pPr>
              <w:spacing w:after="0" w:line="360" w:lineRule="auto"/>
              <w:rPr>
                <w:rFonts w:hint="eastAsia" w:ascii="仿宋" w:hAnsi="仿宋" w:eastAsia="仿宋" w:cs="仿宋"/>
                <w:color w:val="000000" w:themeColor="text1"/>
                <w14:textFill>
                  <w14:solidFill>
                    <w14:schemeClr w14:val="tx1"/>
                  </w14:solidFill>
                </w14:textFill>
              </w:rPr>
            </w:pPr>
          </w:p>
        </w:tc>
        <w:tc>
          <w:tcPr>
            <w:tcW w:w="57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B7D6CDD">
            <w:pPr>
              <w:spacing w:after="0" w:line="360" w:lineRule="auto"/>
              <w:rPr>
                <w:rFonts w:hint="eastAsia" w:ascii="仿宋" w:hAnsi="仿宋" w:eastAsia="仿宋" w:cs="仿宋"/>
                <w:color w:val="000000" w:themeColor="text1"/>
                <w14:textFill>
                  <w14:solidFill>
                    <w14:schemeClr w14:val="tx1"/>
                  </w14:solidFill>
                </w14:textFill>
              </w:rPr>
            </w:pPr>
          </w:p>
        </w:tc>
        <w:tc>
          <w:tcPr>
            <w:tcW w:w="98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F076432">
            <w:pPr>
              <w:spacing w:after="0" w:line="360" w:lineRule="auto"/>
              <w:rPr>
                <w:rFonts w:hint="eastAsia" w:ascii="仿宋" w:hAnsi="仿宋" w:eastAsia="仿宋" w:cs="仿宋"/>
                <w:color w:val="000000" w:themeColor="text1"/>
                <w14:textFill>
                  <w14:solidFill>
                    <w14:schemeClr w14:val="tx1"/>
                  </w14:solidFill>
                </w14:textFill>
              </w:rPr>
            </w:pPr>
          </w:p>
        </w:tc>
        <w:tc>
          <w:tcPr>
            <w:tcW w:w="90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FC23DA0">
            <w:pPr>
              <w:spacing w:after="0" w:line="360" w:lineRule="auto"/>
              <w:rPr>
                <w:rFonts w:hint="eastAsia" w:ascii="仿宋" w:hAnsi="仿宋" w:eastAsia="仿宋" w:cs="仿宋"/>
                <w:color w:val="000000" w:themeColor="text1"/>
                <w14:textFill>
                  <w14:solidFill>
                    <w14:schemeClr w14:val="tx1"/>
                  </w14:solidFill>
                </w14:textFill>
              </w:rPr>
            </w:pPr>
          </w:p>
        </w:tc>
        <w:tc>
          <w:tcPr>
            <w:tcW w:w="408"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06CBA1E">
            <w:pPr>
              <w:spacing w:after="0" w:line="360" w:lineRule="auto"/>
              <w:rPr>
                <w:rFonts w:hint="eastAsia" w:ascii="仿宋" w:hAnsi="仿宋" w:eastAsia="仿宋" w:cs="仿宋"/>
                <w:color w:val="000000" w:themeColor="text1"/>
                <w14:textFill>
                  <w14:solidFill>
                    <w14:schemeClr w14:val="tx1"/>
                  </w14:solidFill>
                </w14:textFill>
              </w:rPr>
            </w:pPr>
          </w:p>
        </w:tc>
      </w:tr>
    </w:tbl>
    <w:p w14:paraId="03F47CD7">
      <w:pPr>
        <w:pStyle w:val="41"/>
        <w:adjustRightInd/>
        <w:spacing w:line="360" w:lineRule="auto"/>
        <w:ind w:firstLine="567" w:firstLineChars="270"/>
        <w:rPr>
          <w:rFonts w:hint="eastAsia" w:ascii="仿宋" w:hAnsi="仿宋" w:eastAsia="仿宋" w:cs="仿宋"/>
          <w:color w:val="000000" w:themeColor="text1"/>
          <w:sz w:val="21"/>
          <w:szCs w:val="21"/>
          <w14:textFill>
            <w14:solidFill>
              <w14:schemeClr w14:val="tx1"/>
            </w14:solidFill>
          </w14:textFill>
        </w:rPr>
      </w:pPr>
    </w:p>
    <w:p w14:paraId="7C4D5D87">
      <w:pPr>
        <w:pStyle w:val="41"/>
        <w:adjustRightInd/>
        <w:spacing w:line="360" w:lineRule="auto"/>
        <w:ind w:firstLine="567" w:firstLineChars="270"/>
        <w:rPr>
          <w:rFonts w:hint="eastAsia" w:ascii="仿宋" w:hAnsi="仿宋" w:eastAsia="仿宋" w:cs="仿宋"/>
          <w:color w:val="000000" w:themeColor="text1"/>
          <w:sz w:val="21"/>
          <w:szCs w:val="21"/>
          <w14:textFill>
            <w14:solidFill>
              <w14:schemeClr w14:val="tx1"/>
            </w14:solidFill>
          </w14:textFill>
        </w:rPr>
        <w:sectPr>
          <w:footerReference r:id="rId8" w:type="default"/>
          <w:pgSz w:w="12240" w:h="15841"/>
          <w:pgMar w:top="1134" w:right="1800" w:bottom="1135" w:left="1800" w:header="567" w:footer="170" w:gutter="0"/>
          <w:pgNumType w:fmt="decimal"/>
          <w:cols w:space="720" w:num="1"/>
          <w:docGrid w:linePitch="286" w:charSpace="0"/>
        </w:sectPr>
      </w:pPr>
      <w:r>
        <w:rPr>
          <w:rFonts w:hint="eastAsia" w:ascii="仿宋" w:hAnsi="仿宋" w:eastAsia="仿宋" w:cs="仿宋"/>
          <w:color w:val="000000" w:themeColor="text1"/>
          <w:sz w:val="21"/>
          <w:szCs w:val="21"/>
          <w14:textFill>
            <w14:solidFill>
              <w14:schemeClr w14:val="tx1"/>
            </w14:solidFill>
          </w14:textFill>
        </w:rPr>
        <w:t>附：以上人员的身份证、劳动合同、证书、社保（如有）等相关证明材料的原件扫描件。</w:t>
      </w:r>
    </w:p>
    <w:p w14:paraId="544FA830">
      <w:pPr>
        <w:wordWrap w:val="0"/>
        <w:spacing w:line="360" w:lineRule="auto"/>
        <w:jc w:val="center"/>
        <w:outlineLvl w:val="2"/>
        <w:rPr>
          <w:rFonts w:hint="eastAsia" w:ascii="宋体" w:hAnsi="宋体" w:cs="宋体"/>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（五）人员社保缴纳承诺函</w:t>
      </w:r>
    </w:p>
    <w:p w14:paraId="0FBA3C6F">
      <w:pPr>
        <w:pStyle w:val="24"/>
        <w:wordWrap w:val="0"/>
        <w:spacing w:line="360" w:lineRule="auto"/>
        <w:rPr>
          <w:rFonts w:hint="eastAsia" w:ascii="宋体" w:hAnsi="宋体"/>
          <w:color w:val="000000" w:themeColor="text1"/>
          <w:sz w:val="21"/>
          <w:szCs w:val="21"/>
          <w14:textFill>
            <w14:solidFill>
              <w14:schemeClr w14:val="tx1"/>
            </w14:solidFill>
          </w14:textFill>
        </w:rPr>
      </w:pPr>
    </w:p>
    <w:p w14:paraId="6C62A459">
      <w:pPr>
        <w:pStyle w:val="24"/>
        <w:wordWrap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致：</w:t>
      </w:r>
      <w:r>
        <w:rPr>
          <w:rFonts w:hint="eastAsia" w:ascii="仿宋" w:hAnsi="仿宋" w:eastAsia="仿宋" w:cs="仿宋"/>
          <w:color w:val="000000" w:themeColor="text1"/>
          <w:sz w:val="21"/>
          <w:szCs w:val="21"/>
          <w:u w:val="single"/>
          <w14:textFill>
            <w14:solidFill>
              <w14:schemeClr w14:val="tx1"/>
            </w14:solidFill>
          </w14:textFill>
        </w:rPr>
        <w:t xml:space="preserve">             </w:t>
      </w:r>
      <w:r>
        <w:rPr>
          <w:rFonts w:hint="eastAsia" w:ascii="仿宋" w:hAnsi="仿宋" w:eastAsia="仿宋" w:cs="仿宋"/>
          <w:color w:val="000000" w:themeColor="text1"/>
          <w:sz w:val="21"/>
          <w:szCs w:val="21"/>
          <w14:textFill>
            <w14:solidFill>
              <w14:schemeClr w14:val="tx1"/>
            </w14:solidFill>
          </w14:textFill>
        </w:rPr>
        <w:t>（招标人）</w:t>
      </w:r>
    </w:p>
    <w:p w14:paraId="68CE3E0B">
      <w:pPr>
        <w:pStyle w:val="24"/>
        <w:wordWrap w:val="0"/>
        <w:spacing w:line="360" w:lineRule="auto"/>
        <w:ind w:firstLine="420" w:firstLineChars="20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我方在此声明，我方拟派往</w:t>
      </w:r>
      <w:r>
        <w:rPr>
          <w:rFonts w:hint="eastAsia" w:ascii="仿宋" w:hAnsi="仿宋" w:eastAsia="仿宋" w:cs="仿宋"/>
          <w:color w:val="000000" w:themeColor="text1"/>
          <w:sz w:val="21"/>
          <w:szCs w:val="21"/>
          <w:u w:val="single"/>
          <w14:textFill>
            <w14:solidFill>
              <w14:schemeClr w14:val="tx1"/>
            </w14:solidFill>
          </w14:textFill>
        </w:rPr>
        <w:t xml:space="preserve">        </w:t>
      </w:r>
      <w:r>
        <w:rPr>
          <w:rFonts w:hint="eastAsia" w:ascii="仿宋" w:hAnsi="仿宋" w:eastAsia="仿宋" w:cs="仿宋"/>
          <w:color w:val="000000" w:themeColor="text1"/>
          <w:sz w:val="21"/>
          <w:szCs w:val="21"/>
          <w14:textFill>
            <w14:solidFill>
              <w14:schemeClr w14:val="tx1"/>
            </w14:solidFill>
          </w14:textFill>
        </w:rPr>
        <w:t>（项目名称）的设计项目负责人及投标文件中所列的其他管理人员和委托代理人，截至本项目投标截止之日均在本单位正常缴纳社保。</w:t>
      </w:r>
    </w:p>
    <w:p w14:paraId="3D7B90F9">
      <w:pPr>
        <w:pStyle w:val="24"/>
        <w:wordWrap w:val="0"/>
        <w:spacing w:line="360" w:lineRule="auto"/>
        <w:ind w:firstLine="426"/>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我方保证上述信息的真实准确，并愿意承担我方就此弄虚作假所引起的一切法律后果。</w:t>
      </w:r>
    </w:p>
    <w:p w14:paraId="10A16C67">
      <w:pPr>
        <w:pStyle w:val="9"/>
        <w:tabs>
          <w:tab w:val="left" w:pos="6251"/>
        </w:tabs>
        <w:wordWrap w:val="0"/>
        <w:spacing w:after="0" w:line="360" w:lineRule="auto"/>
        <w:ind w:right="456"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特此承诺！</w:t>
      </w:r>
    </w:p>
    <w:p w14:paraId="5C3C4EE8">
      <w:pPr>
        <w:wordWrap w:val="0"/>
        <w:spacing w:line="360" w:lineRule="auto"/>
        <w:rPr>
          <w:rFonts w:hint="eastAsia" w:ascii="宋体" w:hAnsi="宋体" w:cs="宋体"/>
          <w:color w:val="000000" w:themeColor="text1"/>
          <w:szCs w:val="21"/>
          <w14:textFill>
            <w14:solidFill>
              <w14:schemeClr w14:val="tx1"/>
            </w14:solidFill>
          </w14:textFill>
        </w:rPr>
      </w:pPr>
    </w:p>
    <w:p w14:paraId="6E2DBE18">
      <w:pPr>
        <w:wordWrap w:val="0"/>
        <w:spacing w:line="360" w:lineRule="auto"/>
        <w:rPr>
          <w:rFonts w:hint="eastAsia" w:ascii="宋体" w:hAnsi="宋体"/>
          <w:color w:val="000000" w:themeColor="text1"/>
          <w:szCs w:val="21"/>
          <w14:textFill>
            <w14:solidFill>
              <w14:schemeClr w14:val="tx1"/>
            </w14:solidFill>
          </w14:textFill>
        </w:rPr>
      </w:pPr>
    </w:p>
    <w:p w14:paraId="2716BD6F">
      <w:pPr>
        <w:pStyle w:val="24"/>
        <w:wordWrap w:val="0"/>
        <w:spacing w:line="360" w:lineRule="auto"/>
        <w:ind w:right="210" w:firstLine="564"/>
        <w:jc w:val="righ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投 标 人：</w:t>
      </w:r>
      <w:r>
        <w:rPr>
          <w:rFonts w:hint="eastAsia" w:ascii="仿宋" w:hAnsi="仿宋" w:eastAsia="仿宋" w:cs="仿宋"/>
          <w:color w:val="000000" w:themeColor="text1"/>
          <w:sz w:val="21"/>
          <w:szCs w:val="21"/>
          <w:u w:val="single"/>
          <w14:textFill>
            <w14:solidFill>
              <w14:schemeClr w14:val="tx1"/>
            </w14:solidFill>
          </w14:textFill>
        </w:rPr>
        <w:t xml:space="preserve">               </w:t>
      </w:r>
      <w:r>
        <w:rPr>
          <w:rFonts w:hint="eastAsia" w:ascii="仿宋" w:hAnsi="仿宋" w:eastAsia="仿宋" w:cs="仿宋"/>
          <w:color w:val="000000" w:themeColor="text1"/>
          <w:sz w:val="21"/>
          <w:szCs w:val="21"/>
          <w14:textFill>
            <w14:solidFill>
              <w14:schemeClr w14:val="tx1"/>
            </w14:solidFill>
          </w14:textFill>
        </w:rPr>
        <w:t>（企业电子章）</w:t>
      </w:r>
    </w:p>
    <w:p w14:paraId="513FB8F7">
      <w:pPr>
        <w:pStyle w:val="24"/>
        <w:wordWrap w:val="0"/>
        <w:spacing w:line="360" w:lineRule="auto"/>
        <w:ind w:right="210" w:firstLine="564"/>
        <w:jc w:val="righ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法定代表人或授权代表：</w:t>
      </w:r>
      <w:r>
        <w:rPr>
          <w:rFonts w:hint="eastAsia" w:ascii="仿宋" w:hAnsi="仿宋" w:eastAsia="仿宋" w:cs="仿宋"/>
          <w:color w:val="000000" w:themeColor="text1"/>
          <w:sz w:val="21"/>
          <w:szCs w:val="21"/>
          <w:u w:val="single"/>
          <w14:textFill>
            <w14:solidFill>
              <w14:schemeClr w14:val="tx1"/>
            </w14:solidFill>
          </w14:textFill>
        </w:rPr>
        <w:t xml:space="preserve">           </w:t>
      </w:r>
      <w:r>
        <w:rPr>
          <w:rFonts w:hint="eastAsia" w:ascii="仿宋" w:hAnsi="仿宋" w:eastAsia="仿宋" w:cs="仿宋"/>
          <w:color w:val="000000" w:themeColor="text1"/>
          <w:sz w:val="21"/>
          <w:szCs w:val="21"/>
          <w14:textFill>
            <w14:solidFill>
              <w14:schemeClr w14:val="tx1"/>
            </w14:solidFill>
          </w14:textFill>
        </w:rPr>
        <w:t>（签字或盖电子章）</w:t>
      </w:r>
    </w:p>
    <w:p w14:paraId="0839EC4C">
      <w:pPr>
        <w:rPr>
          <w:rFonts w:hint="eastAsia" w:ascii="仿宋" w:hAnsi="仿宋" w:eastAsia="仿宋" w:cs="仿宋"/>
          <w:color w:val="000000" w:themeColor="text1"/>
          <w14:textFill>
            <w14:solidFill>
              <w14:schemeClr w14:val="tx1"/>
            </w14:solidFill>
          </w14:textFill>
        </w:rPr>
        <w:sectPr>
          <w:pgSz w:w="12240" w:h="15841"/>
          <w:pgMar w:top="1134" w:right="1800" w:bottom="1135" w:left="1800" w:header="454" w:footer="170" w:gutter="0"/>
          <w:pgNumType w:fmt="decimal"/>
          <w:cols w:space="720" w:num="1"/>
          <w:docGrid w:linePitch="286" w:charSpace="0"/>
        </w:sectPr>
      </w:pPr>
      <w:r>
        <w:rPr>
          <w:rFonts w:hint="eastAsia" w:ascii="仿宋" w:hAnsi="仿宋" w:eastAsia="仿宋" w:cs="仿宋"/>
          <w:color w:val="000000" w:themeColor="text1"/>
          <w:szCs w:val="21"/>
          <w14:textFill>
            <w14:solidFill>
              <w14:schemeClr w14:val="tx1"/>
            </w14:solidFill>
          </w14:textFill>
        </w:rPr>
        <w:t xml:space="preserve">                                                 </w:t>
      </w:r>
      <w:bookmarkStart w:id="444" w:name="_Hlk108106339"/>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bookmarkEnd w:id="444"/>
    </w:p>
    <w:p w14:paraId="61E4D875">
      <w:pPr>
        <w:pStyle w:val="4"/>
        <w:keepNext w:val="0"/>
        <w:keepLines w:val="0"/>
        <w:spacing w:before="0" w:after="0" w:line="36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（六）项目负责人简历表</w:t>
      </w:r>
    </w:p>
    <w:tbl>
      <w:tblPr>
        <w:tblStyle w:val="27"/>
        <w:tblW w:w="4935" w:type="pct"/>
        <w:tblInd w:w="0" w:type="dxa"/>
        <w:tblLayout w:type="autofit"/>
        <w:tblCellMar>
          <w:top w:w="0" w:type="dxa"/>
          <w:left w:w="108" w:type="dxa"/>
          <w:bottom w:w="0" w:type="dxa"/>
          <w:right w:w="108" w:type="dxa"/>
        </w:tblCellMar>
      </w:tblPr>
      <w:tblGrid>
        <w:gridCol w:w="1457"/>
        <w:gridCol w:w="849"/>
        <w:gridCol w:w="948"/>
        <w:gridCol w:w="1061"/>
        <w:gridCol w:w="728"/>
        <w:gridCol w:w="1251"/>
        <w:gridCol w:w="945"/>
        <w:gridCol w:w="1304"/>
      </w:tblGrid>
      <w:tr w14:paraId="089AC12A">
        <w:tblPrEx>
          <w:tblCellMar>
            <w:top w:w="0" w:type="dxa"/>
            <w:left w:w="108" w:type="dxa"/>
            <w:bottom w:w="0" w:type="dxa"/>
            <w:right w:w="108" w:type="dxa"/>
          </w:tblCellMar>
        </w:tblPrEx>
        <w:trPr>
          <w:trHeight w:val="490"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013DCA2">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姓名</w:t>
            </w:r>
          </w:p>
        </w:tc>
        <w:tc>
          <w:tcPr>
            <w:tcW w:w="497"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79F3EC0">
            <w:pPr>
              <w:spacing w:after="0" w:line="360" w:lineRule="auto"/>
              <w:rPr>
                <w:rFonts w:hint="eastAsia" w:ascii="仿宋" w:hAnsi="仿宋" w:eastAsia="仿宋" w:cs="仿宋"/>
                <w:color w:val="000000" w:themeColor="text1"/>
                <w14:textFill>
                  <w14:solidFill>
                    <w14:schemeClr w14:val="tx1"/>
                  </w14:solidFill>
                </w14:textFill>
              </w:rPr>
            </w:pPr>
          </w:p>
        </w:tc>
        <w:tc>
          <w:tcPr>
            <w:tcW w:w="555"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C6732D4">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年龄</w:t>
            </w:r>
          </w:p>
        </w:tc>
        <w:tc>
          <w:tcPr>
            <w:tcW w:w="62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D40F0A">
            <w:pPr>
              <w:spacing w:after="0" w:line="360" w:lineRule="auto"/>
              <w:rPr>
                <w:rFonts w:hint="eastAsia" w:ascii="仿宋" w:hAnsi="仿宋" w:eastAsia="仿宋" w:cs="仿宋"/>
                <w:color w:val="000000" w:themeColor="text1"/>
                <w14:textFill>
                  <w14:solidFill>
                    <w14:schemeClr w14:val="tx1"/>
                  </w14:solidFill>
                </w14:textFill>
              </w:rPr>
            </w:pPr>
          </w:p>
        </w:tc>
        <w:tc>
          <w:tcPr>
            <w:tcW w:w="1711" w:type="pct"/>
            <w:gridSpan w:val="3"/>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4C313D3">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执业资格证书（或上岗证书）名称</w:t>
            </w:r>
          </w:p>
        </w:tc>
        <w:tc>
          <w:tcPr>
            <w:tcW w:w="76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E49D3C3">
            <w:pPr>
              <w:spacing w:after="0" w:line="360" w:lineRule="auto"/>
              <w:rPr>
                <w:rFonts w:hint="eastAsia" w:ascii="仿宋" w:hAnsi="仿宋" w:eastAsia="仿宋" w:cs="仿宋"/>
                <w:color w:val="000000" w:themeColor="text1"/>
                <w14:textFill>
                  <w14:solidFill>
                    <w14:schemeClr w14:val="tx1"/>
                  </w14:solidFill>
                </w14:textFill>
              </w:rPr>
            </w:pPr>
          </w:p>
        </w:tc>
      </w:tr>
      <w:tr w14:paraId="447DB398">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6374580">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职称</w:t>
            </w:r>
          </w:p>
        </w:tc>
        <w:tc>
          <w:tcPr>
            <w:tcW w:w="497"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8BF6926">
            <w:pPr>
              <w:spacing w:after="0" w:line="360" w:lineRule="auto"/>
              <w:rPr>
                <w:rFonts w:hint="eastAsia" w:ascii="仿宋" w:hAnsi="仿宋" w:eastAsia="仿宋" w:cs="仿宋"/>
                <w:color w:val="000000" w:themeColor="text1"/>
                <w14:textFill>
                  <w14:solidFill>
                    <w14:schemeClr w14:val="tx1"/>
                  </w14:solidFill>
                </w14:textFill>
              </w:rPr>
            </w:pPr>
          </w:p>
        </w:tc>
        <w:tc>
          <w:tcPr>
            <w:tcW w:w="555"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FB18AF0">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学历</w:t>
            </w:r>
          </w:p>
        </w:tc>
        <w:tc>
          <w:tcPr>
            <w:tcW w:w="621"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2F3DD32">
            <w:pPr>
              <w:spacing w:after="0" w:line="360" w:lineRule="auto"/>
              <w:rPr>
                <w:rFonts w:hint="eastAsia" w:ascii="仿宋" w:hAnsi="仿宋" w:eastAsia="仿宋" w:cs="仿宋"/>
                <w:color w:val="000000" w:themeColor="text1"/>
                <w14:textFill>
                  <w14:solidFill>
                    <w14:schemeClr w14:val="tx1"/>
                  </w14:solidFill>
                </w14:textFill>
              </w:rPr>
            </w:pPr>
          </w:p>
        </w:tc>
        <w:tc>
          <w:tcPr>
            <w:tcW w:w="1711" w:type="pct"/>
            <w:gridSpan w:val="3"/>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955E88C">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拟在本项目任职</w:t>
            </w:r>
          </w:p>
        </w:tc>
        <w:tc>
          <w:tcPr>
            <w:tcW w:w="76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8286252">
            <w:pPr>
              <w:spacing w:after="0" w:line="360" w:lineRule="auto"/>
              <w:rPr>
                <w:rFonts w:hint="eastAsia" w:ascii="仿宋" w:hAnsi="仿宋" w:eastAsia="仿宋" w:cs="仿宋"/>
                <w:color w:val="000000" w:themeColor="text1"/>
                <w14:textFill>
                  <w14:solidFill>
                    <w14:schemeClr w14:val="tx1"/>
                  </w14:solidFill>
                </w14:textFill>
              </w:rPr>
            </w:pPr>
          </w:p>
        </w:tc>
      </w:tr>
      <w:tr w14:paraId="0B06E9D8">
        <w:tblPrEx>
          <w:tblCellMar>
            <w:top w:w="0" w:type="dxa"/>
            <w:left w:w="108" w:type="dxa"/>
            <w:bottom w:w="0" w:type="dxa"/>
            <w:right w:w="108" w:type="dxa"/>
          </w:tblCellMar>
        </w:tblPrEx>
        <w:trPr>
          <w:trHeight w:val="825"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134ECAA">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工作年限</w:t>
            </w:r>
          </w:p>
        </w:tc>
        <w:tc>
          <w:tcPr>
            <w:tcW w:w="1673" w:type="pct"/>
            <w:gridSpan w:val="3"/>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9CABFD9">
            <w:pPr>
              <w:spacing w:after="0" w:line="360" w:lineRule="auto"/>
              <w:rPr>
                <w:rFonts w:hint="eastAsia" w:ascii="仿宋" w:hAnsi="仿宋" w:eastAsia="仿宋" w:cs="仿宋"/>
                <w:color w:val="000000" w:themeColor="text1"/>
                <w14:textFill>
                  <w14:solidFill>
                    <w14:schemeClr w14:val="tx1"/>
                  </w14:solidFill>
                </w14:textFill>
              </w:rPr>
            </w:pPr>
          </w:p>
        </w:tc>
        <w:tc>
          <w:tcPr>
            <w:tcW w:w="1711" w:type="pct"/>
            <w:gridSpan w:val="3"/>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F5F436C">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从事设计工作年限</w:t>
            </w:r>
          </w:p>
        </w:tc>
        <w:tc>
          <w:tcPr>
            <w:tcW w:w="764"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3FF9EDE">
            <w:pPr>
              <w:spacing w:after="0" w:line="360" w:lineRule="auto"/>
              <w:rPr>
                <w:rFonts w:hint="eastAsia" w:ascii="仿宋" w:hAnsi="仿宋" w:eastAsia="仿宋" w:cs="仿宋"/>
                <w:color w:val="000000" w:themeColor="text1"/>
                <w14:textFill>
                  <w14:solidFill>
                    <w14:schemeClr w14:val="tx1"/>
                  </w14:solidFill>
                </w14:textFill>
              </w:rPr>
            </w:pPr>
          </w:p>
        </w:tc>
      </w:tr>
      <w:tr w14:paraId="57471ADC">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909DFEC">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毕业学校</w:t>
            </w:r>
          </w:p>
        </w:tc>
        <w:tc>
          <w:tcPr>
            <w:tcW w:w="4147" w:type="pct"/>
            <w:gridSpan w:val="7"/>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F6E3FE1">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 xml:space="preserve">于    年毕业于     学校     </w:t>
            </w:r>
            <w:r>
              <w:rPr>
                <w:rFonts w:hint="eastAsia" w:ascii="仿宋" w:hAnsi="仿宋" w:eastAsia="仿宋" w:cs="仿宋"/>
                <w:color w:val="000000" w:themeColor="text1"/>
                <w:spacing w:val="-2"/>
                <w14:textFill>
                  <w14:solidFill>
                    <w14:schemeClr w14:val="tx1"/>
                  </w14:solidFill>
                </w14:textFill>
              </w:rPr>
              <w:t>专业</w:t>
            </w:r>
          </w:p>
        </w:tc>
      </w:tr>
      <w:tr w14:paraId="7ECD9727">
        <w:tblPrEx>
          <w:tblCellMar>
            <w:top w:w="0" w:type="dxa"/>
            <w:left w:w="108" w:type="dxa"/>
            <w:bottom w:w="0" w:type="dxa"/>
            <w:right w:w="108" w:type="dxa"/>
          </w:tblCellMar>
        </w:tblPrEx>
        <w:trPr>
          <w:trHeight w:val="801" w:hRule="atLeast"/>
        </w:trPr>
        <w:tc>
          <w:tcPr>
            <w:tcW w:w="5000" w:type="pct"/>
            <w:gridSpan w:val="8"/>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B465C91">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主要工作经历</w:t>
            </w:r>
          </w:p>
        </w:tc>
      </w:tr>
      <w:tr w14:paraId="1DFC50D4">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5E4209E">
            <w:pPr>
              <w:spacing w:after="0" w:line="360" w:lineRule="auto"/>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14:textFill>
                  <w14:solidFill>
                    <w14:schemeClr w14:val="tx1"/>
                  </w14:solidFill>
                </w14:textFill>
              </w:rPr>
              <w:t>时间</w:t>
            </w: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D5B9EBB">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参加过的类似项目</w:t>
            </w: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A72B9AF">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担任职务</w:t>
            </w: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694C56F">
            <w:pPr>
              <w:spacing w:after="0"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14:textFill>
                  <w14:solidFill>
                    <w14:schemeClr w14:val="tx1"/>
                  </w14:solidFill>
                </w14:textFill>
              </w:rPr>
              <w:t>发包人及联系电话</w:t>
            </w:r>
          </w:p>
        </w:tc>
      </w:tr>
      <w:tr w14:paraId="20F4FA46">
        <w:tblPrEx>
          <w:tblCellMar>
            <w:top w:w="0" w:type="dxa"/>
            <w:left w:w="108" w:type="dxa"/>
            <w:bottom w:w="0" w:type="dxa"/>
            <w:right w:w="108" w:type="dxa"/>
          </w:tblCellMar>
        </w:tblPrEx>
        <w:trPr>
          <w:trHeight w:val="778"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4C8B90A">
            <w:pPr>
              <w:spacing w:after="0" w:line="360" w:lineRule="auto"/>
              <w:rPr>
                <w:rFonts w:hint="eastAsia" w:ascii="仿宋" w:hAnsi="仿宋" w:eastAsia="仿宋" w:cs="仿宋"/>
                <w:color w:val="000000" w:themeColor="text1"/>
                <w14:textFill>
                  <w14:solidFill>
                    <w14:schemeClr w14:val="tx1"/>
                  </w14:solidFill>
                </w14:textFill>
              </w:rPr>
            </w:pP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F67FB03">
            <w:pPr>
              <w:spacing w:after="0" w:line="360" w:lineRule="auto"/>
              <w:rPr>
                <w:rFonts w:hint="eastAsia" w:ascii="仿宋" w:hAnsi="仿宋" w:eastAsia="仿宋" w:cs="仿宋"/>
                <w:color w:val="000000" w:themeColor="text1"/>
                <w14:textFill>
                  <w14:solidFill>
                    <w14:schemeClr w14:val="tx1"/>
                  </w14:solidFill>
                </w14:textFill>
              </w:rPr>
            </w:pP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DA57F64">
            <w:pPr>
              <w:spacing w:after="0" w:line="360" w:lineRule="auto"/>
              <w:rPr>
                <w:rFonts w:hint="eastAsia" w:ascii="仿宋" w:hAnsi="仿宋" w:eastAsia="仿宋" w:cs="仿宋"/>
                <w:color w:val="000000" w:themeColor="text1"/>
                <w14:textFill>
                  <w14:solidFill>
                    <w14:schemeClr w14:val="tx1"/>
                  </w14:solidFill>
                </w14:textFill>
              </w:rPr>
            </w:pP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EBC064E">
            <w:pPr>
              <w:spacing w:after="0" w:line="360" w:lineRule="auto"/>
              <w:rPr>
                <w:rFonts w:hint="eastAsia" w:ascii="仿宋" w:hAnsi="仿宋" w:eastAsia="仿宋" w:cs="仿宋"/>
                <w:color w:val="000000" w:themeColor="text1"/>
                <w14:textFill>
                  <w14:solidFill>
                    <w14:schemeClr w14:val="tx1"/>
                  </w14:solidFill>
                </w14:textFill>
              </w:rPr>
            </w:pPr>
          </w:p>
        </w:tc>
      </w:tr>
      <w:tr w14:paraId="2612244D">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464EE311">
            <w:pPr>
              <w:spacing w:after="0" w:line="360" w:lineRule="auto"/>
              <w:rPr>
                <w:rFonts w:hint="eastAsia" w:ascii="仿宋" w:hAnsi="仿宋" w:eastAsia="仿宋" w:cs="仿宋"/>
                <w:color w:val="000000" w:themeColor="text1"/>
                <w14:textFill>
                  <w14:solidFill>
                    <w14:schemeClr w14:val="tx1"/>
                  </w14:solidFill>
                </w14:textFill>
              </w:rPr>
            </w:pP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9E60581">
            <w:pPr>
              <w:spacing w:after="0" w:line="360" w:lineRule="auto"/>
              <w:rPr>
                <w:rFonts w:hint="eastAsia" w:ascii="仿宋" w:hAnsi="仿宋" w:eastAsia="仿宋" w:cs="仿宋"/>
                <w:color w:val="000000" w:themeColor="text1"/>
                <w14:textFill>
                  <w14:solidFill>
                    <w14:schemeClr w14:val="tx1"/>
                  </w14:solidFill>
                </w14:textFill>
              </w:rPr>
            </w:pP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849A757">
            <w:pPr>
              <w:spacing w:after="0" w:line="360" w:lineRule="auto"/>
              <w:rPr>
                <w:rFonts w:hint="eastAsia" w:ascii="仿宋" w:hAnsi="仿宋" w:eastAsia="仿宋" w:cs="仿宋"/>
                <w:color w:val="000000" w:themeColor="text1"/>
                <w14:textFill>
                  <w14:solidFill>
                    <w14:schemeClr w14:val="tx1"/>
                  </w14:solidFill>
                </w14:textFill>
              </w:rPr>
            </w:pP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35486D0">
            <w:pPr>
              <w:spacing w:after="0" w:line="360" w:lineRule="auto"/>
              <w:rPr>
                <w:rFonts w:hint="eastAsia" w:ascii="仿宋" w:hAnsi="仿宋" w:eastAsia="仿宋" w:cs="仿宋"/>
                <w:color w:val="000000" w:themeColor="text1"/>
                <w14:textFill>
                  <w14:solidFill>
                    <w14:schemeClr w14:val="tx1"/>
                  </w14:solidFill>
                </w14:textFill>
              </w:rPr>
            </w:pPr>
          </w:p>
        </w:tc>
      </w:tr>
      <w:tr w14:paraId="1CE474B1">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A2500B4">
            <w:pPr>
              <w:spacing w:after="0" w:line="360" w:lineRule="auto"/>
              <w:rPr>
                <w:rFonts w:hint="eastAsia" w:ascii="仿宋" w:hAnsi="仿宋" w:eastAsia="仿宋" w:cs="仿宋"/>
                <w:color w:val="000000" w:themeColor="text1"/>
                <w14:textFill>
                  <w14:solidFill>
                    <w14:schemeClr w14:val="tx1"/>
                  </w14:solidFill>
                </w14:textFill>
              </w:rPr>
            </w:pP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361DD9E">
            <w:pPr>
              <w:spacing w:after="0" w:line="360" w:lineRule="auto"/>
              <w:rPr>
                <w:rFonts w:hint="eastAsia" w:ascii="仿宋" w:hAnsi="仿宋" w:eastAsia="仿宋" w:cs="仿宋"/>
                <w:color w:val="000000" w:themeColor="text1"/>
                <w14:textFill>
                  <w14:solidFill>
                    <w14:schemeClr w14:val="tx1"/>
                  </w14:solidFill>
                </w14:textFill>
              </w:rPr>
            </w:pP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E92A20D">
            <w:pPr>
              <w:spacing w:after="0" w:line="360" w:lineRule="auto"/>
              <w:rPr>
                <w:rFonts w:hint="eastAsia" w:ascii="仿宋" w:hAnsi="仿宋" w:eastAsia="仿宋" w:cs="仿宋"/>
                <w:color w:val="000000" w:themeColor="text1"/>
                <w14:textFill>
                  <w14:solidFill>
                    <w14:schemeClr w14:val="tx1"/>
                  </w14:solidFill>
                </w14:textFill>
              </w:rPr>
            </w:pP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5CA88EC5">
            <w:pPr>
              <w:spacing w:after="0" w:line="360" w:lineRule="auto"/>
              <w:rPr>
                <w:rFonts w:hint="eastAsia" w:ascii="仿宋" w:hAnsi="仿宋" w:eastAsia="仿宋" w:cs="仿宋"/>
                <w:color w:val="000000" w:themeColor="text1"/>
                <w14:textFill>
                  <w14:solidFill>
                    <w14:schemeClr w14:val="tx1"/>
                  </w14:solidFill>
                </w14:textFill>
              </w:rPr>
            </w:pPr>
          </w:p>
        </w:tc>
      </w:tr>
      <w:tr w14:paraId="77A97EB0">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29C76D65">
            <w:pPr>
              <w:spacing w:after="0" w:line="360" w:lineRule="auto"/>
              <w:rPr>
                <w:rFonts w:hint="eastAsia" w:ascii="仿宋" w:hAnsi="仿宋" w:eastAsia="仿宋" w:cs="仿宋"/>
                <w:color w:val="000000" w:themeColor="text1"/>
                <w14:textFill>
                  <w14:solidFill>
                    <w14:schemeClr w14:val="tx1"/>
                  </w14:solidFill>
                </w14:textFill>
              </w:rPr>
            </w:pP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D85C0BF">
            <w:pPr>
              <w:spacing w:after="0" w:line="360" w:lineRule="auto"/>
              <w:rPr>
                <w:rFonts w:hint="eastAsia" w:ascii="仿宋" w:hAnsi="仿宋" w:eastAsia="仿宋" w:cs="仿宋"/>
                <w:color w:val="000000" w:themeColor="text1"/>
                <w14:textFill>
                  <w14:solidFill>
                    <w14:schemeClr w14:val="tx1"/>
                  </w14:solidFill>
                </w14:textFill>
              </w:rPr>
            </w:pP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0501E78">
            <w:pPr>
              <w:spacing w:after="0" w:line="360" w:lineRule="auto"/>
              <w:rPr>
                <w:rFonts w:hint="eastAsia" w:ascii="仿宋" w:hAnsi="仿宋" w:eastAsia="仿宋" w:cs="仿宋"/>
                <w:color w:val="000000" w:themeColor="text1"/>
                <w14:textFill>
                  <w14:solidFill>
                    <w14:schemeClr w14:val="tx1"/>
                  </w14:solidFill>
                </w14:textFill>
              </w:rPr>
            </w:pP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6543D508">
            <w:pPr>
              <w:spacing w:after="0" w:line="360" w:lineRule="auto"/>
              <w:rPr>
                <w:rFonts w:hint="eastAsia" w:ascii="仿宋" w:hAnsi="仿宋" w:eastAsia="仿宋" w:cs="仿宋"/>
                <w:color w:val="000000" w:themeColor="text1"/>
                <w14:textFill>
                  <w14:solidFill>
                    <w14:schemeClr w14:val="tx1"/>
                  </w14:solidFill>
                </w14:textFill>
              </w:rPr>
            </w:pPr>
          </w:p>
        </w:tc>
      </w:tr>
      <w:tr w14:paraId="4D7EC218">
        <w:tblPrEx>
          <w:tblCellMar>
            <w:top w:w="0" w:type="dxa"/>
            <w:left w:w="108" w:type="dxa"/>
            <w:bottom w:w="0" w:type="dxa"/>
            <w:right w:w="108" w:type="dxa"/>
          </w:tblCellMar>
        </w:tblPrEx>
        <w:trPr>
          <w:trHeight w:val="801" w:hRule="atLeast"/>
        </w:trPr>
        <w:tc>
          <w:tcPr>
            <w:tcW w:w="853"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1A4C6095">
            <w:pPr>
              <w:spacing w:after="0" w:line="360" w:lineRule="auto"/>
              <w:rPr>
                <w:rFonts w:hint="eastAsia" w:ascii="仿宋" w:hAnsi="仿宋" w:eastAsia="仿宋" w:cs="仿宋"/>
                <w:color w:val="000000" w:themeColor="text1"/>
                <w14:textFill>
                  <w14:solidFill>
                    <w14:schemeClr w14:val="tx1"/>
                  </w14:solidFill>
                </w14:textFill>
              </w:rPr>
            </w:pPr>
          </w:p>
        </w:tc>
        <w:tc>
          <w:tcPr>
            <w:tcW w:w="2099" w:type="pct"/>
            <w:gridSpan w:val="4"/>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0EB150B3">
            <w:pPr>
              <w:spacing w:after="0" w:line="360" w:lineRule="auto"/>
              <w:rPr>
                <w:rFonts w:hint="eastAsia" w:ascii="仿宋" w:hAnsi="仿宋" w:eastAsia="仿宋" w:cs="仿宋"/>
                <w:color w:val="000000" w:themeColor="text1"/>
                <w14:textFill>
                  <w14:solidFill>
                    <w14:schemeClr w14:val="tx1"/>
                  </w14:solidFill>
                </w14:textFill>
              </w:rPr>
            </w:pPr>
          </w:p>
        </w:tc>
        <w:tc>
          <w:tcPr>
            <w:tcW w:w="732" w:type="pct"/>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7B5EBC7D">
            <w:pPr>
              <w:spacing w:after="0" w:line="360" w:lineRule="auto"/>
              <w:rPr>
                <w:rFonts w:hint="eastAsia" w:ascii="仿宋" w:hAnsi="仿宋" w:eastAsia="仿宋" w:cs="仿宋"/>
                <w:color w:val="000000" w:themeColor="text1"/>
                <w14:textFill>
                  <w14:solidFill>
                    <w14:schemeClr w14:val="tx1"/>
                  </w14:solidFill>
                </w14:textFill>
              </w:rPr>
            </w:pPr>
          </w:p>
        </w:tc>
        <w:tc>
          <w:tcPr>
            <w:tcW w:w="1316" w:type="pct"/>
            <w:gridSpan w:val="2"/>
            <w:tcBorders>
              <w:top w:val="single" w:color="000000" w:sz="6" w:space="0"/>
              <w:left w:val="single" w:color="000000" w:sz="6" w:space="0"/>
              <w:bottom w:val="single" w:color="000000" w:sz="6" w:space="0"/>
              <w:right w:val="single" w:color="000000" w:sz="6" w:space="0"/>
            </w:tcBorders>
            <w:shd w:val="clear" w:color="auto" w:fill="auto"/>
            <w:tcMar>
              <w:left w:w="0" w:type="dxa"/>
              <w:right w:w="0" w:type="dxa"/>
            </w:tcMar>
            <w:vAlign w:val="center"/>
          </w:tcPr>
          <w:p w14:paraId="35010097">
            <w:pPr>
              <w:spacing w:after="0" w:line="360" w:lineRule="auto"/>
              <w:rPr>
                <w:rFonts w:hint="eastAsia" w:ascii="仿宋" w:hAnsi="仿宋" w:eastAsia="仿宋" w:cs="仿宋"/>
                <w:color w:val="000000" w:themeColor="text1"/>
                <w14:textFill>
                  <w14:solidFill>
                    <w14:schemeClr w14:val="tx1"/>
                  </w14:solidFill>
                </w14:textFill>
              </w:rPr>
            </w:pPr>
          </w:p>
        </w:tc>
      </w:tr>
    </w:tbl>
    <w:p w14:paraId="1E8FDF40">
      <w:pPr>
        <w:pStyle w:val="41"/>
        <w:adjustRightInd/>
        <w:spacing w:line="360" w:lineRule="auto"/>
        <w:ind w:firstLine="567" w:firstLineChars="270"/>
        <w:rPr>
          <w:rFonts w:hint="eastAsia" w:ascii="仿宋" w:hAnsi="仿宋" w:eastAsia="仿宋" w:cs="仿宋"/>
          <w:color w:val="000000" w:themeColor="text1"/>
          <w:sz w:val="21"/>
          <w:szCs w:val="21"/>
          <w14:textFill>
            <w14:solidFill>
              <w14:schemeClr w14:val="tx1"/>
            </w14:solidFill>
          </w14:textFill>
        </w:rPr>
      </w:pPr>
    </w:p>
    <w:p w14:paraId="3197349A">
      <w:pPr>
        <w:pStyle w:val="41"/>
        <w:adjustRightInd/>
        <w:spacing w:line="360" w:lineRule="auto"/>
        <w:ind w:firstLine="567" w:firstLineChars="270"/>
        <w:rPr>
          <w:rFonts w:hint="eastAsia" w:ascii="仿宋" w:hAnsi="仿宋" w:eastAsia="仿宋" w:cs="仿宋"/>
          <w:color w:val="000000" w:themeColor="text1"/>
          <w:sz w:val="21"/>
          <w:szCs w:val="21"/>
          <w14:textFill>
            <w14:solidFill>
              <w14:schemeClr w14:val="tx1"/>
            </w14:solidFill>
          </w14:textFill>
        </w:rPr>
        <w:sectPr>
          <w:pgSz w:w="12240" w:h="15841"/>
          <w:pgMar w:top="1134" w:right="1800" w:bottom="1135" w:left="1800" w:header="454" w:footer="283" w:gutter="0"/>
          <w:pgNumType w:fmt="decimal"/>
          <w:cols w:space="720" w:num="1"/>
          <w:docGrid w:linePitch="286" w:charSpace="0"/>
        </w:sectPr>
      </w:pPr>
      <w:r>
        <w:rPr>
          <w:rFonts w:hint="eastAsia" w:ascii="仿宋" w:hAnsi="仿宋" w:eastAsia="仿宋" w:cs="仿宋"/>
          <w:color w:val="000000" w:themeColor="text1"/>
          <w:sz w:val="21"/>
          <w:szCs w:val="21"/>
          <w14:textFill>
            <w14:solidFill>
              <w14:schemeClr w14:val="tx1"/>
            </w14:solidFill>
          </w14:textFill>
        </w:rPr>
        <w:t>附：项目负责人的身份证、劳动合同、执业资格证书、业绩证明材料（如有）等相关证明材料的原件扫描件</w:t>
      </w:r>
    </w:p>
    <w:p w14:paraId="5E0E61FD">
      <w:pPr>
        <w:pStyle w:val="3"/>
        <w:keepNext w:val="0"/>
        <w:keepLines w:val="0"/>
        <w:spacing w:before="0" w:after="0" w:line="360" w:lineRule="auto"/>
        <w:jc w:val="center"/>
        <w:rPr>
          <w:rFonts w:hint="eastAsia" w:ascii="仿宋" w:hAnsi="仿宋" w:eastAsia="仿宋" w:cs="仿宋"/>
          <w:color w:val="000000" w:themeColor="text1"/>
          <w:szCs w:val="32"/>
          <w14:textFill>
            <w14:solidFill>
              <w14:schemeClr w14:val="tx1"/>
            </w14:solidFill>
          </w14:textFill>
        </w:rPr>
      </w:pPr>
      <w:bookmarkStart w:id="445" w:name="_Toc177142668"/>
      <w:bookmarkStart w:id="446" w:name="_Toc40361926"/>
      <w:r>
        <w:rPr>
          <w:rFonts w:hint="eastAsia" w:ascii="仿宋" w:hAnsi="仿宋" w:eastAsia="仿宋" w:cs="仿宋"/>
          <w:color w:val="000000" w:themeColor="text1"/>
          <w:sz w:val="28"/>
          <w:szCs w:val="21"/>
          <w14:textFill>
            <w14:solidFill>
              <w14:schemeClr w14:val="tx1"/>
            </w14:solidFill>
          </w14:textFill>
        </w:rPr>
        <w:t>六、</w:t>
      </w:r>
      <w:r>
        <w:rPr>
          <w:rFonts w:hint="eastAsia" w:ascii="仿宋" w:hAnsi="仿宋" w:eastAsia="仿宋" w:cs="仿宋"/>
          <w:color w:val="000000" w:themeColor="text1"/>
          <w:sz w:val="28"/>
          <w:szCs w:val="28"/>
          <w14:textFill>
            <w14:solidFill>
              <w14:schemeClr w14:val="tx1"/>
            </w14:solidFill>
          </w14:textFill>
        </w:rPr>
        <w:t>项目设计方案</w:t>
      </w:r>
      <w:bookmarkEnd w:id="445"/>
      <w:bookmarkEnd w:id="446"/>
    </w:p>
    <w:p w14:paraId="064B126A">
      <w:pPr>
        <w:pStyle w:val="74"/>
        <w:widowControl w:val="0"/>
        <w:spacing w:line="360" w:lineRule="auto"/>
        <w:ind w:firstLine="497" w:firstLineChars="237"/>
        <w:rPr>
          <w:rFonts w:hint="eastAsia" w:ascii="仿宋" w:hAnsi="仿宋" w:eastAsia="仿宋" w:cs="仿宋"/>
          <w:b w:val="0"/>
          <w:color w:val="000000" w:themeColor="text1"/>
          <w:kern w:val="2"/>
          <w:sz w:val="21"/>
          <w:szCs w:val="21"/>
          <w:lang w:bidi="ar"/>
          <w14:textFill>
            <w14:solidFill>
              <w14:schemeClr w14:val="tx1"/>
            </w14:solidFill>
          </w14:textFill>
        </w:rPr>
      </w:pPr>
      <w:r>
        <w:rPr>
          <w:rFonts w:hint="eastAsia" w:ascii="仿宋" w:hAnsi="仿宋" w:eastAsia="仿宋" w:cs="仿宋"/>
          <w:b w:val="0"/>
          <w:color w:val="000000" w:themeColor="text1"/>
          <w:kern w:val="2"/>
          <w:sz w:val="21"/>
          <w:szCs w:val="21"/>
          <w:lang w:bidi="ar"/>
          <w14:textFill>
            <w14:solidFill>
              <w14:schemeClr w14:val="tx1"/>
            </w14:solidFill>
          </w14:textFill>
        </w:rPr>
        <w:t>投标人根据本项目评标办法规定及自身情况自行编制。</w:t>
      </w:r>
    </w:p>
    <w:p w14:paraId="41BD0916">
      <w:pPr>
        <w:spacing w:after="0" w:line="360" w:lineRule="auto"/>
        <w:rPr>
          <w:rFonts w:hint="eastAsia" w:ascii="仿宋" w:hAnsi="仿宋" w:eastAsia="仿宋" w:cs="仿宋"/>
          <w:color w:val="000000" w:themeColor="text1"/>
          <w:kern w:val="0"/>
          <w:sz w:val="31"/>
          <w:szCs w:val="24"/>
          <w14:textFill>
            <w14:solidFill>
              <w14:schemeClr w14:val="tx1"/>
            </w14:solidFill>
          </w14:textFill>
        </w:rPr>
      </w:pPr>
      <w:r>
        <w:rPr>
          <w:rFonts w:hint="eastAsia" w:ascii="仿宋" w:hAnsi="仿宋" w:eastAsia="仿宋" w:cs="仿宋"/>
          <w:color w:val="000000" w:themeColor="text1"/>
          <w:sz w:val="31"/>
          <w14:textFill>
            <w14:solidFill>
              <w14:schemeClr w14:val="tx1"/>
            </w14:solidFill>
          </w14:textFill>
        </w:rPr>
        <w:br w:type="page"/>
      </w:r>
    </w:p>
    <w:p w14:paraId="0880505E">
      <w:pPr>
        <w:pStyle w:val="47"/>
        <w:keepNext w:val="0"/>
        <w:keepLines w:val="0"/>
        <w:spacing w:before="0" w:line="360" w:lineRule="auto"/>
        <w:jc w:val="center"/>
        <w:rPr>
          <w:rFonts w:hint="eastAsia" w:ascii="仿宋" w:hAnsi="仿宋" w:eastAsia="仿宋" w:cs="仿宋"/>
          <w:color w:val="000000" w:themeColor="text1"/>
          <w:szCs w:val="28"/>
          <w14:textFill>
            <w14:solidFill>
              <w14:schemeClr w14:val="tx1"/>
            </w14:solidFill>
          </w14:textFill>
        </w:rPr>
      </w:pPr>
      <w:bookmarkStart w:id="447" w:name="_Toc40361928"/>
      <w:bookmarkStart w:id="448" w:name="_Toc177142669"/>
      <w:r>
        <w:rPr>
          <w:rFonts w:hint="eastAsia" w:ascii="仿宋" w:hAnsi="仿宋" w:eastAsia="仿宋" w:cs="仿宋"/>
          <w:color w:val="000000" w:themeColor="text1"/>
          <w:szCs w:val="28"/>
          <w14:textFill>
            <w14:solidFill>
              <w14:schemeClr w14:val="tx1"/>
            </w14:solidFill>
          </w14:textFill>
        </w:rPr>
        <w:t>七、其他资料</w:t>
      </w:r>
      <w:bookmarkEnd w:id="447"/>
      <w:bookmarkEnd w:id="448"/>
    </w:p>
    <w:p w14:paraId="580BCC21">
      <w:pPr>
        <w:wordWrap w:val="0"/>
        <w:spacing w:line="360" w:lineRule="auto"/>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1、投标人认为有必要提供的其他资料</w:t>
      </w:r>
    </w:p>
    <w:p w14:paraId="60C0B426">
      <w:pPr>
        <w:wordWrap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br w:type="page"/>
      </w:r>
      <w:r>
        <w:rPr>
          <w:rFonts w:hint="eastAsia" w:ascii="仿宋" w:hAnsi="仿宋" w:eastAsia="仿宋" w:cs="仿宋"/>
          <w:b/>
          <w:color w:val="000000" w:themeColor="text1"/>
          <w:szCs w:val="21"/>
          <w14:textFill>
            <w14:solidFill>
              <w14:schemeClr w14:val="tx1"/>
            </w14:solidFill>
          </w14:textFill>
        </w:rPr>
        <w:t>2、投标承诺书</w:t>
      </w:r>
    </w:p>
    <w:p w14:paraId="5EFAE411">
      <w:pPr>
        <w:wordWrap w:val="0"/>
        <w:spacing w:line="360" w:lineRule="auto"/>
        <w:rPr>
          <w:rFonts w:hint="eastAsia" w:ascii="仿宋" w:hAnsi="仿宋" w:eastAsia="仿宋" w:cs="仿宋"/>
          <w:color w:val="000000" w:themeColor="text1"/>
          <w:szCs w:val="21"/>
          <w14:textFill>
            <w14:solidFill>
              <w14:schemeClr w14:val="tx1"/>
            </w14:solidFill>
          </w14:textFill>
        </w:rPr>
      </w:pPr>
    </w:p>
    <w:p w14:paraId="076CF355">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我单位现对</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（项目名称）投标做出如下郑重承诺：</w:t>
      </w:r>
    </w:p>
    <w:p w14:paraId="050C2FC0">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我单位如存在投标截止后撤销投标文件、中标后无正当理由不与招标人订立合同、在签订合同时向招标人提出附加条件，或在招标投标活动中存在其他违法违规的行为，我单位自愿承担因此造成的一切法律后果，自愿接受招标人和招标投标监督部门的信用惩戒措施。</w:t>
      </w:r>
    </w:p>
    <w:p w14:paraId="0797A372">
      <w:pPr>
        <w:pStyle w:val="9"/>
        <w:wordWrap w:val="0"/>
        <w:spacing w:after="0" w:line="360" w:lineRule="auto"/>
        <w:rPr>
          <w:rFonts w:hint="eastAsia" w:ascii="仿宋" w:hAnsi="仿宋" w:eastAsia="仿宋" w:cs="仿宋"/>
          <w:color w:val="000000" w:themeColor="text1"/>
          <w:szCs w:val="21"/>
          <w14:textFill>
            <w14:solidFill>
              <w14:schemeClr w14:val="tx1"/>
            </w14:solidFill>
          </w14:textFill>
        </w:rPr>
      </w:pPr>
    </w:p>
    <w:p w14:paraId="7F5857E5">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55D67D7C">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bookmarkStart w:id="449" w:name="_Hlk76977574"/>
      <w:r>
        <w:rPr>
          <w:rFonts w:hint="eastAsia" w:ascii="仿宋" w:hAnsi="仿宋" w:eastAsia="仿宋" w:cs="仿宋"/>
          <w:color w:val="000000" w:themeColor="text1"/>
          <w:szCs w:val="21"/>
          <w14:textFill>
            <w14:solidFill>
              <w14:schemeClr w14:val="tx1"/>
            </w14:solidFill>
          </w14:textFill>
        </w:rPr>
        <w:t xml:space="preserve">法定代表人（个人电子章）： </w:t>
      </w:r>
    </w:p>
    <w:p w14:paraId="0A2E5846">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13DFB8D9">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p w14:paraId="1C372477">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326BDC1A">
      <w:pPr>
        <w:wordWrap w:val="0"/>
        <w:autoSpaceDE w:val="0"/>
        <w:autoSpaceDN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6616DD5C">
      <w:pPr>
        <w:wordWrap w:val="0"/>
        <w:autoSpaceDE w:val="0"/>
        <w:autoSpaceDN w:val="0"/>
        <w:spacing w:line="360" w:lineRule="auto"/>
        <w:ind w:firstLine="420" w:firstLineChars="20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承诺单位：（企业电子章）</w:t>
      </w:r>
    </w:p>
    <w:p w14:paraId="2DDB9D72">
      <w:pPr>
        <w:wordWrap w:val="0"/>
        <w:autoSpaceDE w:val="0"/>
        <w:autoSpaceDN w:val="0"/>
        <w:spacing w:line="360" w:lineRule="auto"/>
        <w:ind w:firstLine="3175" w:firstLineChars="1512"/>
        <w:rPr>
          <w:rFonts w:hint="eastAsia" w:ascii="仿宋" w:hAnsi="仿宋" w:eastAsia="仿宋" w:cs="仿宋"/>
          <w:color w:val="000000" w:themeColor="text1"/>
          <w:szCs w:val="21"/>
          <w14:textFill>
            <w14:solidFill>
              <w14:schemeClr w14:val="tx1"/>
            </w14:solidFill>
          </w14:textFill>
        </w:rPr>
      </w:pPr>
    </w:p>
    <w:p w14:paraId="21C299FC">
      <w:pPr>
        <w:wordWrap w:val="0"/>
        <w:autoSpaceDE w:val="0"/>
        <w:autoSpaceDN w:val="0"/>
        <w:spacing w:line="360" w:lineRule="auto"/>
        <w:ind w:firstLine="4393" w:firstLineChars="2092"/>
        <w:rPr>
          <w:rFonts w:hint="eastAsia" w:ascii="仿宋" w:hAnsi="仿宋" w:eastAsia="仿宋" w:cs="仿宋"/>
          <w:color w:val="000000" w:themeColor="text1"/>
          <w:szCs w:val="21"/>
          <w14:textFill>
            <w14:solidFill>
              <w14:schemeClr w14:val="tx1"/>
            </w14:solidFill>
          </w14:textFill>
        </w:rPr>
      </w:pPr>
      <w:bookmarkStart w:id="450" w:name="_Hlk108106417"/>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bookmarkEnd w:id="449"/>
    <w:bookmarkEnd w:id="450"/>
    <w:p w14:paraId="16B5B213">
      <w:pPr>
        <w:wordWrap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br w:type="page"/>
      </w:r>
      <w:r>
        <w:rPr>
          <w:rFonts w:hint="eastAsia" w:ascii="仿宋" w:hAnsi="仿宋" w:eastAsia="仿宋" w:cs="仿宋"/>
          <w:b/>
          <w:color w:val="000000" w:themeColor="text1"/>
          <w:szCs w:val="21"/>
          <w14:textFill>
            <w14:solidFill>
              <w14:schemeClr w14:val="tx1"/>
            </w14:solidFill>
          </w14:textFill>
        </w:rPr>
        <w:t>3、全市房屋建筑和市政基础设施工程项目招标投标活动承诺书</w:t>
      </w:r>
    </w:p>
    <w:p w14:paraId="55045557">
      <w:pPr>
        <w:wordWrap w:val="0"/>
        <w:spacing w:line="360" w:lineRule="auto"/>
        <w:ind w:firstLine="411" w:firstLineChars="19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我单位承诺，在</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项目名称）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14:paraId="3BC7A634">
      <w:pPr>
        <w:wordWrap w:val="0"/>
        <w:spacing w:line="360" w:lineRule="auto"/>
        <w:rPr>
          <w:rFonts w:hint="eastAsia" w:ascii="仿宋" w:hAnsi="仿宋" w:eastAsia="仿宋" w:cs="仿宋"/>
          <w:color w:val="000000" w:themeColor="text1"/>
          <w:szCs w:val="21"/>
          <w14:textFill>
            <w14:solidFill>
              <w14:schemeClr w14:val="tx1"/>
            </w14:solidFill>
          </w14:textFill>
        </w:rPr>
      </w:pPr>
    </w:p>
    <w:p w14:paraId="373E60DB">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169BC578">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0FBD58F3">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法定代表人（个人电子章）： </w:t>
      </w:r>
    </w:p>
    <w:p w14:paraId="1A8C5036">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3DAADE50">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p w14:paraId="2DEFBAE5">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6D313428">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p>
    <w:p w14:paraId="45B6D8BB">
      <w:pPr>
        <w:wordWrap w:val="0"/>
        <w:spacing w:line="360" w:lineRule="auto"/>
        <w:ind w:firstLine="4620" w:firstLineChars="2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承诺单位：（企业电子章）</w:t>
      </w:r>
    </w:p>
    <w:p w14:paraId="76E4DF32">
      <w:pPr>
        <w:wordWrap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p>
    <w:p w14:paraId="1EBBA192">
      <w:pPr>
        <w:wordWrap w:val="0"/>
        <w:spacing w:line="360" w:lineRule="auto"/>
        <w:ind w:firstLine="4620" w:firstLineChars="2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1580D092">
      <w:pPr>
        <w:wordWrap w:val="0"/>
        <w:spacing w:line="360" w:lineRule="auto"/>
        <w:rPr>
          <w:rFonts w:hint="eastAsia" w:ascii="仿宋" w:hAnsi="仿宋" w:eastAsia="仿宋" w:cs="仿宋"/>
          <w:color w:val="000000" w:themeColor="text1"/>
          <w:spacing w:val="14"/>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br w:type="page"/>
      </w:r>
      <w:r>
        <w:rPr>
          <w:rFonts w:hint="eastAsia" w:ascii="仿宋" w:hAnsi="仿宋" w:eastAsia="仿宋" w:cs="仿宋"/>
          <w:b/>
          <w:color w:val="000000" w:themeColor="text1"/>
          <w:szCs w:val="21"/>
          <w14:textFill>
            <w14:solidFill>
              <w14:schemeClr w14:val="tx1"/>
            </w14:solidFill>
          </w14:textFill>
        </w:rPr>
        <w:t>4、中小微企业声明函（工程、服务）</w:t>
      </w:r>
    </w:p>
    <w:p w14:paraId="52CF8662">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p>
    <w:p w14:paraId="12EE4644">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本公司郑重声明，根据《政府采购促进中小企业发展管理办法》（财库﹝2020﹞46号）的规定，本公司参加</w:t>
      </w:r>
      <w:r>
        <w:rPr>
          <w:rFonts w:hint="eastAsia" w:ascii="仿宋" w:hAnsi="仿宋" w:eastAsia="仿宋" w:cs="仿宋"/>
          <w:color w:val="000000" w:themeColor="text1"/>
          <w:spacing w:val="14"/>
          <w:sz w:val="21"/>
          <w:szCs w:val="21"/>
          <w:u w:val="single"/>
          <w14:textFill>
            <w14:solidFill>
              <w14:schemeClr w14:val="tx1"/>
            </w14:solidFill>
          </w14:textFill>
        </w:rPr>
        <w:t>（单位名称）</w:t>
      </w:r>
      <w:r>
        <w:rPr>
          <w:rFonts w:hint="eastAsia" w:ascii="仿宋" w:hAnsi="仿宋" w:eastAsia="仿宋" w:cs="仿宋"/>
          <w:color w:val="000000" w:themeColor="text1"/>
          <w:spacing w:val="14"/>
          <w:sz w:val="21"/>
          <w:szCs w:val="21"/>
          <w14:textFill>
            <w14:solidFill>
              <w14:schemeClr w14:val="tx1"/>
            </w14:solidFill>
          </w14:textFill>
        </w:rPr>
        <w:t>的</w:t>
      </w:r>
      <w:r>
        <w:rPr>
          <w:rFonts w:hint="eastAsia" w:ascii="仿宋" w:hAnsi="仿宋" w:eastAsia="仿宋" w:cs="仿宋"/>
          <w:color w:val="000000" w:themeColor="text1"/>
          <w:spacing w:val="14"/>
          <w:sz w:val="21"/>
          <w:szCs w:val="21"/>
          <w:u w:val="single"/>
          <w14:textFill>
            <w14:solidFill>
              <w14:schemeClr w14:val="tx1"/>
            </w14:solidFill>
          </w14:textFill>
        </w:rPr>
        <w:t>（项目名称）</w:t>
      </w:r>
      <w:r>
        <w:rPr>
          <w:rFonts w:hint="eastAsia" w:ascii="仿宋" w:hAnsi="仿宋" w:eastAsia="仿宋" w:cs="仿宋"/>
          <w:color w:val="000000" w:themeColor="text1"/>
          <w:spacing w:val="14"/>
          <w:sz w:val="21"/>
          <w:szCs w:val="21"/>
          <w14:textFill>
            <w14:solidFill>
              <w14:schemeClr w14:val="tx1"/>
            </w14:solidFill>
          </w14:textFill>
        </w:rPr>
        <w:t>采购活动，工程的施工单位全部为符合政策要求的中小企业（或者：服务全部由符合政策要求的中小企业承接）。相关企业的具体情况如下：</w:t>
      </w:r>
    </w:p>
    <w:p w14:paraId="5A002935">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1.</w:t>
      </w:r>
      <w:r>
        <w:rPr>
          <w:rFonts w:hint="eastAsia" w:ascii="仿宋" w:hAnsi="仿宋" w:eastAsia="仿宋" w:cs="仿宋"/>
          <w:color w:val="000000" w:themeColor="text1"/>
          <w:spacing w:val="14"/>
          <w:sz w:val="21"/>
          <w:szCs w:val="21"/>
          <w:u w:val="single"/>
          <w14:textFill>
            <w14:solidFill>
              <w14:schemeClr w14:val="tx1"/>
            </w14:solidFill>
          </w14:textFill>
        </w:rPr>
        <w:t>（标的名称）</w:t>
      </w:r>
      <w:r>
        <w:rPr>
          <w:rFonts w:hint="eastAsia" w:ascii="仿宋" w:hAnsi="仿宋" w:eastAsia="仿宋" w:cs="仿宋"/>
          <w:color w:val="000000" w:themeColor="text1"/>
          <w:spacing w:val="14"/>
          <w:sz w:val="21"/>
          <w:szCs w:val="21"/>
          <w14:textFill>
            <w14:solidFill>
              <w14:schemeClr w14:val="tx1"/>
            </w14:solidFill>
          </w14:textFill>
        </w:rPr>
        <w:t>，属于</w:t>
      </w:r>
      <w:r>
        <w:rPr>
          <w:rFonts w:hint="eastAsia" w:ascii="仿宋" w:hAnsi="仿宋" w:eastAsia="仿宋" w:cs="仿宋"/>
          <w:color w:val="000000" w:themeColor="text1"/>
          <w:spacing w:val="14"/>
          <w:sz w:val="21"/>
          <w:szCs w:val="21"/>
          <w:u w:val="single"/>
          <w14:textFill>
            <w14:solidFill>
              <w14:schemeClr w14:val="tx1"/>
            </w14:solidFill>
          </w14:textFill>
        </w:rPr>
        <w:t>（采购文件中明确的所属行业）</w:t>
      </w:r>
      <w:r>
        <w:rPr>
          <w:rFonts w:hint="eastAsia" w:ascii="仿宋" w:hAnsi="仿宋" w:eastAsia="仿宋" w:cs="仿宋"/>
          <w:color w:val="000000" w:themeColor="text1"/>
          <w:spacing w:val="14"/>
          <w:sz w:val="21"/>
          <w:szCs w:val="21"/>
          <w14:textFill>
            <w14:solidFill>
              <w14:schemeClr w14:val="tx1"/>
            </w14:solidFill>
          </w14:textFill>
        </w:rPr>
        <w:t>；承建（承接）企业为</w:t>
      </w:r>
      <w:r>
        <w:rPr>
          <w:rFonts w:hint="eastAsia" w:ascii="仿宋" w:hAnsi="仿宋" w:eastAsia="仿宋" w:cs="仿宋"/>
          <w:color w:val="000000" w:themeColor="text1"/>
          <w:spacing w:val="14"/>
          <w:sz w:val="21"/>
          <w:szCs w:val="21"/>
          <w:u w:val="single"/>
          <w14:textFill>
            <w14:solidFill>
              <w14:schemeClr w14:val="tx1"/>
            </w14:solidFill>
          </w14:textFill>
        </w:rPr>
        <w:t>（企业名称）</w:t>
      </w:r>
      <w:r>
        <w:rPr>
          <w:rFonts w:hint="eastAsia" w:ascii="仿宋" w:hAnsi="仿宋" w:eastAsia="仿宋" w:cs="仿宋"/>
          <w:color w:val="000000" w:themeColor="text1"/>
          <w:spacing w:val="14"/>
          <w:sz w:val="21"/>
          <w:szCs w:val="21"/>
          <w14:textFill>
            <w14:solidFill>
              <w14:schemeClr w14:val="tx1"/>
            </w14:solidFill>
          </w14:textFill>
        </w:rPr>
        <w:t>，从业人员人，营业收入为万元，资产总额为万元，属于</w:t>
      </w:r>
      <w:r>
        <w:rPr>
          <w:rFonts w:hint="eastAsia" w:ascii="仿宋" w:hAnsi="仿宋" w:eastAsia="仿宋" w:cs="仿宋"/>
          <w:color w:val="000000" w:themeColor="text1"/>
          <w:spacing w:val="14"/>
          <w:sz w:val="21"/>
          <w:szCs w:val="21"/>
          <w:u w:val="single"/>
          <w14:textFill>
            <w14:solidFill>
              <w14:schemeClr w14:val="tx1"/>
            </w14:solidFill>
          </w14:textFill>
        </w:rPr>
        <w:t>（中型企业、小型企业、微型企业）</w:t>
      </w:r>
      <w:r>
        <w:rPr>
          <w:rFonts w:hint="eastAsia" w:ascii="仿宋" w:hAnsi="仿宋" w:eastAsia="仿宋" w:cs="仿宋"/>
          <w:color w:val="000000" w:themeColor="text1"/>
          <w:spacing w:val="14"/>
          <w:sz w:val="21"/>
          <w:szCs w:val="21"/>
          <w14:textFill>
            <w14:solidFill>
              <w14:schemeClr w14:val="tx1"/>
            </w14:solidFill>
          </w14:textFill>
        </w:rPr>
        <w:t>；</w:t>
      </w:r>
    </w:p>
    <w:p w14:paraId="52C00867">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2.</w:t>
      </w:r>
      <w:r>
        <w:rPr>
          <w:rFonts w:hint="eastAsia" w:ascii="仿宋" w:hAnsi="仿宋" w:eastAsia="仿宋" w:cs="仿宋"/>
          <w:color w:val="000000" w:themeColor="text1"/>
          <w:spacing w:val="14"/>
          <w:sz w:val="21"/>
          <w:szCs w:val="21"/>
          <w:u w:val="single"/>
          <w14:textFill>
            <w14:solidFill>
              <w14:schemeClr w14:val="tx1"/>
            </w14:solidFill>
          </w14:textFill>
        </w:rPr>
        <w:t>（标的名称）</w:t>
      </w:r>
      <w:r>
        <w:rPr>
          <w:rFonts w:hint="eastAsia" w:ascii="仿宋" w:hAnsi="仿宋" w:eastAsia="仿宋" w:cs="仿宋"/>
          <w:color w:val="000000" w:themeColor="text1"/>
          <w:spacing w:val="14"/>
          <w:sz w:val="21"/>
          <w:szCs w:val="21"/>
          <w14:textFill>
            <w14:solidFill>
              <w14:schemeClr w14:val="tx1"/>
            </w14:solidFill>
          </w14:textFill>
        </w:rPr>
        <w:t>，属于</w:t>
      </w:r>
      <w:r>
        <w:rPr>
          <w:rFonts w:hint="eastAsia" w:ascii="仿宋" w:hAnsi="仿宋" w:eastAsia="仿宋" w:cs="仿宋"/>
          <w:color w:val="000000" w:themeColor="text1"/>
          <w:spacing w:val="14"/>
          <w:sz w:val="21"/>
          <w:szCs w:val="21"/>
          <w:u w:val="single"/>
          <w14:textFill>
            <w14:solidFill>
              <w14:schemeClr w14:val="tx1"/>
            </w14:solidFill>
          </w14:textFill>
        </w:rPr>
        <w:t>（采购文件中明确的所属行业）</w:t>
      </w:r>
      <w:r>
        <w:rPr>
          <w:rFonts w:hint="eastAsia" w:ascii="仿宋" w:hAnsi="仿宋" w:eastAsia="仿宋" w:cs="仿宋"/>
          <w:color w:val="000000" w:themeColor="text1"/>
          <w:spacing w:val="14"/>
          <w:sz w:val="21"/>
          <w:szCs w:val="21"/>
          <w14:textFill>
            <w14:solidFill>
              <w14:schemeClr w14:val="tx1"/>
            </w14:solidFill>
          </w14:textFill>
        </w:rPr>
        <w:t>；承建（承接）企业为</w:t>
      </w:r>
      <w:r>
        <w:rPr>
          <w:rFonts w:hint="eastAsia" w:ascii="仿宋" w:hAnsi="仿宋" w:eastAsia="仿宋" w:cs="仿宋"/>
          <w:color w:val="000000" w:themeColor="text1"/>
          <w:spacing w:val="14"/>
          <w:sz w:val="21"/>
          <w:szCs w:val="21"/>
          <w:u w:val="single"/>
          <w14:textFill>
            <w14:solidFill>
              <w14:schemeClr w14:val="tx1"/>
            </w14:solidFill>
          </w14:textFill>
        </w:rPr>
        <w:t>（企业名称）</w:t>
      </w:r>
      <w:r>
        <w:rPr>
          <w:rFonts w:hint="eastAsia" w:ascii="仿宋" w:hAnsi="仿宋" w:eastAsia="仿宋" w:cs="仿宋"/>
          <w:color w:val="000000" w:themeColor="text1"/>
          <w:spacing w:val="14"/>
          <w:sz w:val="21"/>
          <w:szCs w:val="21"/>
          <w14:textFill>
            <w14:solidFill>
              <w14:schemeClr w14:val="tx1"/>
            </w14:solidFill>
          </w14:textFill>
        </w:rPr>
        <w:t>，从业人员人，营业收入为万元，资产总额为万元，属于</w:t>
      </w:r>
      <w:r>
        <w:rPr>
          <w:rFonts w:hint="eastAsia" w:ascii="仿宋" w:hAnsi="仿宋" w:eastAsia="仿宋" w:cs="仿宋"/>
          <w:color w:val="000000" w:themeColor="text1"/>
          <w:spacing w:val="14"/>
          <w:sz w:val="21"/>
          <w:szCs w:val="21"/>
          <w:u w:val="single"/>
          <w14:textFill>
            <w14:solidFill>
              <w14:schemeClr w14:val="tx1"/>
            </w14:solidFill>
          </w14:textFill>
        </w:rPr>
        <w:t>（中型企业、小型企业、微型企业）</w:t>
      </w:r>
      <w:r>
        <w:rPr>
          <w:rFonts w:hint="eastAsia" w:ascii="仿宋" w:hAnsi="仿宋" w:eastAsia="仿宋" w:cs="仿宋"/>
          <w:color w:val="000000" w:themeColor="text1"/>
          <w:spacing w:val="14"/>
          <w:sz w:val="21"/>
          <w:szCs w:val="21"/>
          <w14:textFill>
            <w14:solidFill>
              <w14:schemeClr w14:val="tx1"/>
            </w14:solidFill>
          </w14:textFill>
        </w:rPr>
        <w:t>；</w:t>
      </w:r>
    </w:p>
    <w:p w14:paraId="00FCB373">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w:t>
      </w:r>
    </w:p>
    <w:p w14:paraId="07A9F8C6">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以上企业，不属于大企业的分支机构，不存在控股股东为大企业的情形，也不存在与大企业的负责人为同一人的情形。本企业对上述声明内容的真实性负责。如有虚假，将依法承担相应责任。</w:t>
      </w:r>
    </w:p>
    <w:p w14:paraId="3853BF53">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企业名称（企业电子章）：</w:t>
      </w:r>
    </w:p>
    <w:p w14:paraId="4209820A">
      <w:pPr>
        <w:pStyle w:val="77"/>
        <w:spacing w:line="360" w:lineRule="auto"/>
        <w:ind w:firstLine="476" w:firstLineChars="200"/>
        <w:rPr>
          <w:rFonts w:hint="eastAsia" w:ascii="仿宋" w:hAnsi="仿宋" w:eastAsia="仿宋" w:cs="仿宋"/>
          <w:color w:val="000000" w:themeColor="text1"/>
          <w:spacing w:val="14"/>
          <w:sz w:val="21"/>
          <w:szCs w:val="21"/>
          <w14:textFill>
            <w14:solidFill>
              <w14:schemeClr w14:val="tx1"/>
            </w14:solidFill>
          </w14:textFill>
        </w:rPr>
      </w:pPr>
      <w:r>
        <w:rPr>
          <w:rFonts w:hint="eastAsia" w:ascii="仿宋" w:hAnsi="仿宋" w:eastAsia="仿宋" w:cs="仿宋"/>
          <w:color w:val="000000" w:themeColor="text1"/>
          <w:spacing w:val="14"/>
          <w:sz w:val="21"/>
          <w:szCs w:val="21"/>
          <w14:textFill>
            <w14:solidFill>
              <w14:schemeClr w14:val="tx1"/>
            </w14:solidFill>
          </w14:textFill>
        </w:rPr>
        <w:t>日期：</w:t>
      </w:r>
    </w:p>
    <w:p w14:paraId="77DAA460">
      <w:pPr>
        <w:widowControl/>
        <w:spacing w:line="360" w:lineRule="auto"/>
        <w:rPr>
          <w:rFonts w:hint="eastAsia" w:ascii="仿宋" w:hAnsi="仿宋" w:eastAsia="仿宋" w:cs="仿宋"/>
          <w:color w:val="000000" w:themeColor="text1"/>
          <w:kern w:val="0"/>
          <w:szCs w:val="21"/>
          <w:lang w:bidi="ar"/>
          <w14:textFill>
            <w14:solidFill>
              <w14:schemeClr w14:val="tx1"/>
            </w14:solidFill>
          </w14:textFill>
        </w:rPr>
      </w:pPr>
    </w:p>
    <w:p w14:paraId="67BD5AD6">
      <w:pPr>
        <w:widowControl/>
        <w:spacing w:line="360" w:lineRule="auto"/>
        <w:rPr>
          <w:rFonts w:hint="eastAsia" w:ascii="仿宋" w:hAnsi="仿宋" w:eastAsia="仿宋" w:cs="仿宋"/>
          <w:color w:val="000000" w:themeColor="text1"/>
          <w:spacing w:val="14"/>
          <w:kern w:val="0"/>
          <w:szCs w:val="21"/>
          <w14:textFill>
            <w14:solidFill>
              <w14:schemeClr w14:val="tx1"/>
            </w14:solidFill>
          </w14:textFill>
        </w:rPr>
      </w:pPr>
      <w:r>
        <w:rPr>
          <w:rFonts w:hint="eastAsia" w:ascii="仿宋" w:hAnsi="仿宋" w:eastAsia="仿宋" w:cs="仿宋"/>
          <w:color w:val="000000" w:themeColor="text1"/>
          <w:spacing w:val="14"/>
          <w:kern w:val="0"/>
          <w:szCs w:val="21"/>
          <w14:textFill>
            <w14:solidFill>
              <w14:schemeClr w14:val="tx1"/>
            </w14:solidFill>
          </w14:textFill>
        </w:rPr>
        <w:t xml:space="preserve">注：1、从业人员、营业收入、资产总额填报上一年度数据，无上一年度数据的新成立企业可不填报。 </w:t>
      </w:r>
    </w:p>
    <w:p w14:paraId="48DF45C3">
      <w:pPr>
        <w:widowControl/>
        <w:spacing w:line="360" w:lineRule="auto"/>
        <w:ind w:firstLine="476"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pacing w:val="14"/>
          <w:kern w:val="0"/>
          <w:szCs w:val="21"/>
          <w14:textFill>
            <w14:solidFill>
              <w14:schemeClr w14:val="tx1"/>
            </w14:solidFill>
          </w14:textFill>
        </w:rPr>
        <w:t>2、中小企业划分标准见工业和信息化部国家统计局国家发展和改革委员财政部《关于印发中小企业划型标准规定的通知》（工信部联企业〔2011〕300号)。</w:t>
      </w:r>
    </w:p>
    <w:p w14:paraId="55D4A768">
      <w:pPr>
        <w:wordWrap w:val="0"/>
        <w:spacing w:line="360" w:lineRule="auto"/>
        <w:ind w:firstLine="392" w:firstLineChars="187"/>
        <w:rPr>
          <w:rFonts w:hint="eastAsia" w:ascii="仿宋" w:hAnsi="仿宋" w:eastAsia="仿宋" w:cs="仿宋"/>
          <w:color w:val="000000" w:themeColor="text1"/>
          <w:szCs w:val="21"/>
          <w14:textFill>
            <w14:solidFill>
              <w14:schemeClr w14:val="tx1"/>
            </w14:solidFill>
          </w14:textFill>
        </w:rPr>
      </w:pPr>
    </w:p>
    <w:p w14:paraId="7238261A">
      <w:pPr>
        <w:pStyle w:val="9"/>
        <w:rPr>
          <w:rFonts w:hint="eastAsia" w:ascii="仿宋" w:hAnsi="仿宋" w:eastAsia="仿宋" w:cs="仿宋"/>
          <w:color w:val="000000" w:themeColor="text1"/>
          <w:szCs w:val="21"/>
          <w14:textFill>
            <w14:solidFill>
              <w14:schemeClr w14:val="tx1"/>
            </w14:solidFill>
          </w14:textFill>
        </w:rPr>
      </w:pPr>
    </w:p>
    <w:p w14:paraId="1DB5A302">
      <w:pPr>
        <w:rPr>
          <w:rFonts w:ascii="仿宋" w:hAnsi="仿宋" w:eastAsia="仿宋" w:cs="仿宋"/>
          <w:color w:val="000000" w:themeColor="text1"/>
          <w:szCs w:val="21"/>
          <w14:textFill>
            <w14:solidFill>
              <w14:schemeClr w14:val="tx1"/>
            </w14:solidFill>
          </w14:textFill>
        </w:rPr>
      </w:pPr>
    </w:p>
    <w:p w14:paraId="0A93A7BA">
      <w:pPr>
        <w:pStyle w:val="9"/>
        <w:rPr>
          <w:rFonts w:hint="eastAsia"/>
          <w:color w:val="000000" w:themeColor="text1"/>
          <w14:textFill>
            <w14:solidFill>
              <w14:schemeClr w14:val="tx1"/>
            </w14:solidFill>
          </w14:textFill>
        </w:rPr>
      </w:pPr>
    </w:p>
    <w:p w14:paraId="1EDB0A33">
      <w:pPr>
        <w:pStyle w:val="9"/>
        <w:rPr>
          <w:rFonts w:hint="eastAsia" w:ascii="仿宋" w:hAnsi="仿宋" w:eastAsia="仿宋" w:cs="仿宋"/>
          <w:color w:val="000000" w:themeColor="text1"/>
          <w:szCs w:val="21"/>
          <w14:textFill>
            <w14:solidFill>
              <w14:schemeClr w14:val="tx1"/>
            </w14:solidFill>
          </w14:textFill>
        </w:rPr>
      </w:pPr>
    </w:p>
    <w:p w14:paraId="7E3918AA">
      <w:pPr>
        <w:rPr>
          <w:rFonts w:hint="eastAsia" w:ascii="仿宋" w:hAnsi="仿宋" w:eastAsia="仿宋" w:cs="仿宋"/>
          <w:color w:val="000000" w:themeColor="text1"/>
          <w:szCs w:val="21"/>
          <w14:textFill>
            <w14:solidFill>
              <w14:schemeClr w14:val="tx1"/>
            </w14:solidFill>
          </w14:textFill>
        </w:rPr>
      </w:pPr>
    </w:p>
    <w:p w14:paraId="45902431">
      <w:pPr>
        <w:rPr>
          <w:rFonts w:hint="eastAsia" w:ascii="仿宋" w:hAnsi="仿宋" w:eastAsia="仿宋" w:cs="仿宋"/>
          <w:b/>
          <w:color w:val="000000" w:themeColor="text1"/>
          <w:kern w:val="2"/>
          <w:szCs w:val="21"/>
          <w14:textFill>
            <w14:solidFill>
              <w14:schemeClr w14:val="tx1"/>
            </w14:solidFill>
          </w14:textFill>
        </w:rPr>
      </w:pPr>
      <w:bookmarkStart w:id="451" w:name="_Toc29147"/>
      <w:bookmarkStart w:id="452" w:name="_Toc25509"/>
      <w:bookmarkStart w:id="453" w:name="_Toc1721627"/>
      <w:r>
        <w:rPr>
          <w:rFonts w:hint="eastAsia" w:ascii="仿宋" w:hAnsi="仿宋" w:eastAsia="仿宋" w:cs="仿宋"/>
          <w:b/>
          <w:color w:val="000000" w:themeColor="text1"/>
          <w:kern w:val="2"/>
          <w:szCs w:val="21"/>
          <w14:textFill>
            <w14:solidFill>
              <w14:schemeClr w14:val="tx1"/>
            </w14:solidFill>
          </w14:textFill>
        </w:rPr>
        <w:br w:type="page"/>
      </w:r>
    </w:p>
    <w:p w14:paraId="41491360">
      <w:pPr>
        <w:pStyle w:val="57"/>
        <w:widowControl w:val="0"/>
        <w:wordWrap w:val="0"/>
        <w:spacing w:line="360" w:lineRule="auto"/>
        <w:ind w:firstLine="0"/>
        <w:jc w:val="left"/>
        <w:rPr>
          <w:rFonts w:hint="eastAsia" w:ascii="仿宋" w:hAnsi="仿宋" w:eastAsia="仿宋" w:cs="仿宋"/>
          <w:b/>
          <w:color w:val="000000" w:themeColor="text1"/>
          <w:kern w:val="2"/>
          <w:szCs w:val="21"/>
          <w14:textFill>
            <w14:solidFill>
              <w14:schemeClr w14:val="tx1"/>
            </w14:solidFill>
          </w14:textFill>
        </w:rPr>
      </w:pPr>
      <w:r>
        <w:rPr>
          <w:rFonts w:hint="eastAsia" w:ascii="仿宋" w:hAnsi="仿宋" w:eastAsia="仿宋" w:cs="仿宋"/>
          <w:b/>
          <w:color w:val="000000" w:themeColor="text1"/>
          <w:kern w:val="2"/>
          <w:szCs w:val="21"/>
          <w14:textFill>
            <w14:solidFill>
              <w14:schemeClr w14:val="tx1"/>
            </w14:solidFill>
          </w14:textFill>
        </w:rPr>
        <w:t>5、残疾人福利性单位声明函</w:t>
      </w:r>
      <w:bookmarkEnd w:id="451"/>
      <w:bookmarkEnd w:id="452"/>
      <w:bookmarkEnd w:id="453"/>
    </w:p>
    <w:p w14:paraId="43285D78">
      <w:pPr>
        <w:wordWrap w:val="0"/>
        <w:spacing w:line="360" w:lineRule="auto"/>
        <w:rPr>
          <w:rFonts w:hint="eastAsia" w:ascii="仿宋" w:hAnsi="仿宋" w:eastAsia="仿宋" w:cs="仿宋"/>
          <w:color w:val="000000" w:themeColor="text1"/>
          <w:szCs w:val="21"/>
          <w14:textFill>
            <w14:solidFill>
              <w14:schemeClr w14:val="tx1"/>
            </w14:solidFill>
          </w14:textFill>
        </w:rPr>
      </w:pPr>
    </w:p>
    <w:p w14:paraId="1ED295F5">
      <w:pPr>
        <w:wordWrap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中国残疾人联合会关于促进残疾人就业政府采购政策的通知》（财库〔2017〕141号）的规定，本单位为符合条件的残疾人福利性单位，且本单位参加______单位的______项目采购活动，由本企业承担工程。</w:t>
      </w:r>
    </w:p>
    <w:p w14:paraId="02C366C7">
      <w:pPr>
        <w:wordWrap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本单位对上述声明的真实性负责。如有虚假，将依法承担相应责任。</w:t>
      </w:r>
    </w:p>
    <w:p w14:paraId="50E7AC14">
      <w:pPr>
        <w:wordWrap w:val="0"/>
        <w:spacing w:line="360" w:lineRule="auto"/>
        <w:rPr>
          <w:rFonts w:hint="eastAsia" w:ascii="仿宋" w:hAnsi="仿宋" w:eastAsia="仿宋" w:cs="仿宋"/>
          <w:color w:val="000000" w:themeColor="text1"/>
          <w:szCs w:val="21"/>
          <w14:textFill>
            <w14:solidFill>
              <w14:schemeClr w14:val="tx1"/>
            </w14:solidFill>
          </w14:textFill>
        </w:rPr>
      </w:pPr>
    </w:p>
    <w:p w14:paraId="55288504">
      <w:pPr>
        <w:wordWrap w:val="0"/>
        <w:spacing w:line="360" w:lineRule="auto"/>
        <w:rPr>
          <w:rFonts w:hint="eastAsia" w:ascii="仿宋" w:hAnsi="仿宋" w:eastAsia="仿宋" w:cs="仿宋"/>
          <w:color w:val="000000" w:themeColor="text1"/>
          <w:szCs w:val="21"/>
          <w14:textFill>
            <w14:solidFill>
              <w14:schemeClr w14:val="tx1"/>
            </w14:solidFill>
          </w14:textFill>
        </w:rPr>
      </w:pPr>
    </w:p>
    <w:p w14:paraId="2D2A1349">
      <w:pPr>
        <w:wordWrap w:val="0"/>
        <w:spacing w:line="360" w:lineRule="auto"/>
        <w:rPr>
          <w:rFonts w:hint="eastAsia" w:ascii="仿宋" w:hAnsi="仿宋" w:eastAsia="仿宋" w:cs="仿宋"/>
          <w:color w:val="000000" w:themeColor="text1"/>
          <w:szCs w:val="21"/>
          <w14:textFill>
            <w14:solidFill>
              <w14:schemeClr w14:val="tx1"/>
            </w14:solidFill>
          </w14:textFill>
        </w:rPr>
      </w:pPr>
    </w:p>
    <w:p w14:paraId="06D31FF2">
      <w:pPr>
        <w:wordWrap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投标人（企业电子章）：</w:t>
      </w:r>
    </w:p>
    <w:p w14:paraId="0FA19B94">
      <w:pPr>
        <w:pStyle w:val="57"/>
        <w:widowControl w:val="0"/>
        <w:wordWrap w:val="0"/>
        <w:spacing w:line="360" w:lineRule="auto"/>
        <w:ind w:firstLine="0"/>
        <w:jc w:val="left"/>
        <w:rPr>
          <w:rFonts w:hint="eastAsia" w:ascii="仿宋" w:hAnsi="仿宋" w:eastAsia="仿宋" w:cs="仿宋"/>
          <w:b/>
          <w:color w:val="000000" w:themeColor="text1"/>
          <w:kern w:val="2"/>
          <w:szCs w:val="21"/>
          <w14:textFill>
            <w14:solidFill>
              <w14:schemeClr w14:val="tx1"/>
            </w14:solidFill>
          </w14:textFill>
        </w:rPr>
      </w:pPr>
      <w:bookmarkStart w:id="454" w:name="_Toc10222"/>
      <w:bookmarkStart w:id="455" w:name="_Toc12784"/>
      <w:bookmarkStart w:id="456" w:name="_Toc1721628"/>
      <w:r>
        <w:rPr>
          <w:rFonts w:hint="eastAsia" w:ascii="仿宋" w:hAnsi="仿宋" w:eastAsia="仿宋" w:cs="仿宋"/>
          <w:b/>
          <w:color w:val="000000" w:themeColor="text1"/>
          <w:kern w:val="2"/>
          <w:szCs w:val="21"/>
          <w14:textFill>
            <w14:solidFill>
              <w14:schemeClr w14:val="tx1"/>
            </w14:solidFill>
          </w14:textFill>
        </w:rPr>
        <w:br w:type="page"/>
      </w:r>
      <w:r>
        <w:rPr>
          <w:rFonts w:hint="eastAsia" w:ascii="仿宋" w:hAnsi="仿宋" w:eastAsia="仿宋" w:cs="仿宋"/>
          <w:b/>
          <w:color w:val="000000" w:themeColor="text1"/>
          <w:kern w:val="2"/>
          <w:szCs w:val="21"/>
          <w14:textFill>
            <w14:solidFill>
              <w14:schemeClr w14:val="tx1"/>
            </w14:solidFill>
          </w14:textFill>
        </w:rPr>
        <w:t>6、监狱企业证明文件</w:t>
      </w:r>
      <w:bookmarkEnd w:id="454"/>
      <w:bookmarkEnd w:id="455"/>
      <w:bookmarkEnd w:id="456"/>
    </w:p>
    <w:p w14:paraId="3584C517">
      <w:pPr>
        <w:wordWrap w:val="0"/>
        <w:spacing w:line="360" w:lineRule="auto"/>
        <w:jc w:val="both"/>
        <w:rPr>
          <w:rFonts w:hint="eastAsia" w:ascii="仿宋" w:hAnsi="仿宋" w:eastAsia="仿宋" w:cs="仿宋"/>
          <w:color w:val="000000" w:themeColor="text1"/>
          <w:szCs w:val="21"/>
          <w14:textFill>
            <w14:solidFill>
              <w14:schemeClr w14:val="tx1"/>
            </w14:solidFill>
          </w14:textFill>
        </w:rPr>
      </w:pPr>
    </w:p>
    <w:p w14:paraId="1AD3BCBB">
      <w:pPr>
        <w:wordWrap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（监狱企业参加政府采购活动时，应当提供由省级以上监狱管理局、戒毒管理局(含新疆生产建设兵团)出具的属于监狱企业的证明文件。</w:t>
      </w:r>
    </w:p>
    <w:p w14:paraId="26687E63">
      <w:pPr>
        <w:wordWrap w:val="0"/>
        <w:spacing w:line="360" w:lineRule="auto"/>
        <w:rPr>
          <w:rFonts w:hint="eastAsia" w:ascii="仿宋" w:hAnsi="仿宋" w:eastAsia="仿宋" w:cs="仿宋"/>
          <w:color w:val="000000" w:themeColor="text1"/>
          <w:szCs w:val="21"/>
          <w14:textFill>
            <w14:solidFill>
              <w14:schemeClr w14:val="tx1"/>
            </w14:solidFill>
          </w14:textFill>
        </w:rPr>
      </w:pPr>
    </w:p>
    <w:p w14:paraId="314D2AA7">
      <w:pPr>
        <w:wordWrap w:val="0"/>
        <w:spacing w:line="360" w:lineRule="auto"/>
        <w:rPr>
          <w:rFonts w:hint="eastAsia" w:ascii="仿宋" w:hAnsi="仿宋" w:eastAsia="仿宋" w:cs="仿宋"/>
          <w:b/>
          <w:bCs/>
          <w:color w:val="000000" w:themeColor="text1"/>
          <w:szCs w:val="21"/>
          <w14:textFill>
            <w14:solidFill>
              <w14:schemeClr w14:val="tx1"/>
            </w14:solidFill>
          </w14:textFill>
        </w:rPr>
      </w:pPr>
    </w:p>
    <w:p w14:paraId="57081B2C">
      <w:pPr>
        <w:autoSpaceDE w:val="0"/>
        <w:autoSpaceDN w:val="0"/>
        <w:spacing w:after="0" w:line="360" w:lineRule="auto"/>
        <w:jc w:val="both"/>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注：在填报投标文件中附扫描件</w:t>
      </w:r>
    </w:p>
    <w:p w14:paraId="52BBC927">
      <w:pP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br w:type="page"/>
      </w:r>
    </w:p>
    <w:p w14:paraId="6BDCB20D">
      <w:pPr>
        <w:wordWrap w:val="0"/>
        <w:spacing w:line="360" w:lineRule="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7、企业项目业绩表</w:t>
      </w:r>
    </w:p>
    <w:tbl>
      <w:tblPr>
        <w:tblStyle w:val="27"/>
        <w:tblpPr w:leftFromText="180" w:rightFromText="180" w:vertAnchor="text" w:horzAnchor="margin" w:tblpY="59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2115"/>
        <w:gridCol w:w="1601"/>
        <w:gridCol w:w="1865"/>
      </w:tblGrid>
      <w:tr w14:paraId="5747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849" w:type="pct"/>
            <w:vAlign w:val="center"/>
          </w:tcPr>
          <w:p w14:paraId="4001633C">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单位名称</w:t>
            </w:r>
          </w:p>
        </w:tc>
        <w:tc>
          <w:tcPr>
            <w:tcW w:w="2098" w:type="pct"/>
            <w:gridSpan w:val="2"/>
            <w:vAlign w:val="center"/>
          </w:tcPr>
          <w:p w14:paraId="195D4F73">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资质等级</w:t>
            </w:r>
          </w:p>
        </w:tc>
        <w:tc>
          <w:tcPr>
            <w:tcW w:w="1053" w:type="pct"/>
            <w:vAlign w:val="center"/>
          </w:tcPr>
          <w:p w14:paraId="23B0B063">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证书编号</w:t>
            </w:r>
          </w:p>
        </w:tc>
      </w:tr>
      <w:tr w14:paraId="621F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49" w:type="pct"/>
            <w:vAlign w:val="center"/>
          </w:tcPr>
          <w:p w14:paraId="068DD305">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2098" w:type="pct"/>
            <w:gridSpan w:val="2"/>
            <w:vAlign w:val="center"/>
          </w:tcPr>
          <w:p w14:paraId="1B97271C">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053" w:type="pct"/>
            <w:vAlign w:val="center"/>
          </w:tcPr>
          <w:p w14:paraId="15724720">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r>
      <w:tr w14:paraId="4FAB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000" w:type="pct"/>
            <w:gridSpan w:val="4"/>
            <w:vAlign w:val="center"/>
          </w:tcPr>
          <w:p w14:paraId="435DFB0C">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企业业绩</w:t>
            </w:r>
          </w:p>
        </w:tc>
      </w:tr>
      <w:tr w14:paraId="5A19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49" w:type="pct"/>
            <w:vAlign w:val="center"/>
          </w:tcPr>
          <w:p w14:paraId="581E29CB">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业绩名称</w:t>
            </w:r>
          </w:p>
        </w:tc>
        <w:tc>
          <w:tcPr>
            <w:tcW w:w="1194" w:type="pct"/>
            <w:vAlign w:val="center"/>
          </w:tcPr>
          <w:p w14:paraId="2D81EEB6">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合同金额</w:t>
            </w:r>
          </w:p>
        </w:tc>
        <w:tc>
          <w:tcPr>
            <w:tcW w:w="904" w:type="pct"/>
            <w:vAlign w:val="center"/>
          </w:tcPr>
          <w:p w14:paraId="6B879A9B">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建设单位</w:t>
            </w:r>
          </w:p>
        </w:tc>
        <w:tc>
          <w:tcPr>
            <w:tcW w:w="1053" w:type="pct"/>
            <w:vAlign w:val="center"/>
          </w:tcPr>
          <w:p w14:paraId="481010F2">
            <w:pPr>
              <w:wordWrap w:val="0"/>
              <w:spacing w:line="360"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合同签订时间</w:t>
            </w:r>
          </w:p>
        </w:tc>
      </w:tr>
      <w:tr w14:paraId="0D9D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49" w:type="pct"/>
            <w:vAlign w:val="center"/>
          </w:tcPr>
          <w:p w14:paraId="0F0D48B1">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194" w:type="pct"/>
            <w:vAlign w:val="center"/>
          </w:tcPr>
          <w:p w14:paraId="69D3B585">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904" w:type="pct"/>
            <w:vAlign w:val="center"/>
          </w:tcPr>
          <w:p w14:paraId="5C26F9B3">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053" w:type="pct"/>
            <w:vAlign w:val="center"/>
          </w:tcPr>
          <w:p w14:paraId="4DB977A5">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r>
      <w:tr w14:paraId="79A3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849" w:type="pct"/>
            <w:vAlign w:val="center"/>
          </w:tcPr>
          <w:p w14:paraId="30CAB38E">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194" w:type="pct"/>
            <w:vAlign w:val="center"/>
          </w:tcPr>
          <w:p w14:paraId="7B99AA61">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904" w:type="pct"/>
            <w:vAlign w:val="center"/>
          </w:tcPr>
          <w:p w14:paraId="3BD9FC91">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053" w:type="pct"/>
            <w:vAlign w:val="center"/>
          </w:tcPr>
          <w:p w14:paraId="0BD77558">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r>
      <w:tr w14:paraId="3534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49" w:type="pct"/>
            <w:vAlign w:val="center"/>
          </w:tcPr>
          <w:p w14:paraId="2D113C84">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194" w:type="pct"/>
            <w:vAlign w:val="center"/>
          </w:tcPr>
          <w:p w14:paraId="2EACA7AC">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904" w:type="pct"/>
            <w:vAlign w:val="center"/>
          </w:tcPr>
          <w:p w14:paraId="75922226">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c>
          <w:tcPr>
            <w:tcW w:w="1053" w:type="pct"/>
            <w:vAlign w:val="center"/>
          </w:tcPr>
          <w:p w14:paraId="516CBF7E">
            <w:pPr>
              <w:wordWrap w:val="0"/>
              <w:spacing w:line="360" w:lineRule="auto"/>
              <w:rPr>
                <w:rFonts w:hint="eastAsia" w:ascii="仿宋" w:hAnsi="仿宋" w:eastAsia="仿宋" w:cs="仿宋"/>
                <w:color w:val="000000" w:themeColor="text1"/>
                <w:highlight w:val="none"/>
                <w14:textFill>
                  <w14:solidFill>
                    <w14:schemeClr w14:val="tx1"/>
                  </w14:solidFill>
                </w14:textFill>
              </w:rPr>
            </w:pPr>
          </w:p>
        </w:tc>
      </w:tr>
    </w:tbl>
    <w:p w14:paraId="59C0BB72">
      <w:pPr>
        <w:wordWrap w:val="0"/>
        <w:spacing w:line="360" w:lineRule="auto"/>
        <w:rPr>
          <w:rFonts w:hint="eastAsia" w:ascii="仿宋" w:hAnsi="仿宋" w:eastAsia="仿宋" w:cs="仿宋"/>
          <w:color w:val="000000" w:themeColor="text1"/>
          <w:highlight w:val="none"/>
          <w14:textFill>
            <w14:solidFill>
              <w14:schemeClr w14:val="tx1"/>
            </w14:solidFill>
          </w14:textFill>
        </w:rPr>
      </w:pPr>
    </w:p>
    <w:p w14:paraId="125A8E59">
      <w:pPr>
        <w:wordWrap w:val="0"/>
        <w:spacing w:line="360" w:lineRule="auto"/>
        <w:ind w:firstLine="424" w:firstLineChars="202"/>
        <w:rPr>
          <w:rFonts w:hint="eastAsia" w:ascii="仿宋" w:hAnsi="仿宋" w:eastAsia="仿宋" w:cs="仿宋"/>
          <w:color w:val="000000" w:themeColor="text1"/>
          <w:highlight w:val="none"/>
          <w14:textFill>
            <w14:solidFill>
              <w14:schemeClr w14:val="tx1"/>
            </w14:solidFill>
          </w14:textFill>
        </w:rPr>
      </w:pPr>
    </w:p>
    <w:p w14:paraId="13CE2205">
      <w:pPr>
        <w:pStyle w:val="9"/>
        <w:rPr>
          <w:rFonts w:hint="eastAsia" w:ascii="仿宋" w:hAnsi="仿宋" w:eastAsia="仿宋" w:cs="仿宋"/>
          <w:color w:val="000000" w:themeColor="text1"/>
          <w:highlight w:val="none"/>
          <w14:textFill>
            <w14:solidFill>
              <w14:schemeClr w14:val="tx1"/>
            </w14:solidFill>
          </w14:textFill>
        </w:rPr>
        <w:sectPr>
          <w:footerReference r:id="rId9" w:type="default"/>
          <w:pgSz w:w="12240" w:h="15841"/>
          <w:pgMar w:top="1134" w:right="1800" w:bottom="1135" w:left="1800" w:header="454" w:footer="170" w:gutter="0"/>
          <w:pgNumType w:fmt="decimal"/>
          <w:cols w:space="720" w:num="1"/>
          <w:docGrid w:linePitch="286" w:charSpace="0"/>
        </w:sectPr>
      </w:pPr>
      <w:r>
        <w:rPr>
          <w:rFonts w:hint="eastAsia" w:ascii="仿宋" w:hAnsi="仿宋" w:eastAsia="仿宋" w:cs="仿宋"/>
          <w:color w:val="000000" w:themeColor="text1"/>
          <w:highlight w:val="none"/>
          <w14:textFill>
            <w14:solidFill>
              <w14:schemeClr w14:val="tx1"/>
            </w14:solidFill>
          </w14:textFill>
        </w:rPr>
        <w:t>说明：企业资质等级是指，满足招标文件要求的企业资质等级；项目业绩为评分项业绩，本表填报的业绩应与投标正文填报的内容一致。投标人可根据实际需要自行增加（或删减）表格，本表不做为评审因素。</w:t>
      </w:r>
    </w:p>
    <w:p w14:paraId="3153B071">
      <w:pPr>
        <w:spacing w:line="560" w:lineRule="exact"/>
        <w:jc w:val="both"/>
        <w:rPr>
          <w:rFonts w:hint="eastAsia" w:ascii="宋体" w:hAnsi="宋体" w:eastAsia="宋体" w:cs="宋体"/>
          <w:lang w:eastAsia="zh-CN"/>
        </w:rPr>
      </w:pPr>
      <w:r>
        <w:rPr>
          <w:rFonts w:hint="eastAsia" w:ascii="宋体" w:hAnsi="宋体" w:eastAsia="宋体" w:cs="宋体"/>
          <w:b/>
          <w:bCs/>
          <w:kern w:val="2"/>
          <w:sz w:val="28"/>
          <w:szCs w:val="28"/>
          <w:lang w:val="en-US" w:eastAsia="zh-CN" w:bidi="ar-SA"/>
        </w:rPr>
        <w:t>附件1：其他资料</w:t>
      </w:r>
    </w:p>
    <w:p w14:paraId="7C0BC99C">
      <w:pPr>
        <w:spacing w:line="560" w:lineRule="exact"/>
        <w:jc w:val="center"/>
        <w:rPr>
          <w:rFonts w:hint="eastAsia" w:ascii="宋体" w:hAnsi="宋体" w:cs="宋体"/>
          <w:color w:val="000000"/>
          <w:sz w:val="44"/>
          <w:szCs w:val="44"/>
        </w:rPr>
      </w:pPr>
      <w:r>
        <w:rPr>
          <w:rFonts w:hint="eastAsia" w:ascii="宋体" w:hAnsi="宋体" w:cs="宋体"/>
          <w:color w:val="000000"/>
          <w:sz w:val="44"/>
          <w:szCs w:val="44"/>
        </w:rPr>
        <w:t>全省房屋建筑和市政基础设施工程项目</w:t>
      </w:r>
    </w:p>
    <w:p w14:paraId="5CBF1983">
      <w:pPr>
        <w:spacing w:line="560" w:lineRule="exact"/>
        <w:jc w:val="center"/>
        <w:rPr>
          <w:rFonts w:hint="eastAsia" w:ascii="宋体" w:hAnsi="宋体" w:cs="宋体"/>
          <w:color w:val="000000"/>
          <w:sz w:val="44"/>
          <w:szCs w:val="44"/>
        </w:rPr>
      </w:pPr>
      <w:r>
        <w:rPr>
          <w:rFonts w:hint="eastAsia" w:ascii="宋体" w:hAnsi="宋体" w:cs="宋体"/>
          <w:color w:val="000000"/>
          <w:sz w:val="44"/>
          <w:szCs w:val="44"/>
        </w:rPr>
        <w:t>招标投标活动承诺书</w:t>
      </w:r>
    </w:p>
    <w:p w14:paraId="13BA3BB1">
      <w:pPr>
        <w:spacing w:line="560" w:lineRule="exact"/>
        <w:jc w:val="center"/>
        <w:rPr>
          <w:rFonts w:hint="eastAsia" w:ascii="宋体" w:hAnsi="宋体" w:cs="宋体"/>
          <w:sz w:val="44"/>
          <w:szCs w:val="44"/>
        </w:rPr>
      </w:pPr>
    </w:p>
    <w:p w14:paraId="183E3C7D">
      <w:pPr>
        <w:spacing w:line="584" w:lineRule="exact"/>
        <w:ind w:firstLine="627" w:firstLineChars="196"/>
        <w:rPr>
          <w:rFonts w:hint="eastAsia" w:ascii="宋体" w:hAnsi="宋体" w:cs="宋体"/>
          <w:sz w:val="32"/>
          <w:szCs w:val="32"/>
        </w:rPr>
      </w:pPr>
      <w:r>
        <w:rPr>
          <w:rFonts w:hint="eastAsia" w:ascii="宋体" w:hAnsi="宋体" w:cs="宋体"/>
          <w:sz w:val="32"/>
          <w:szCs w:val="32"/>
        </w:rPr>
        <w:t>我单位承诺，在</w:t>
      </w:r>
      <w:r>
        <w:rPr>
          <w:rFonts w:hint="eastAsia" w:ascii="宋体" w:hAnsi="宋体" w:cs="宋体"/>
          <w:sz w:val="32"/>
          <w:szCs w:val="32"/>
          <w:u w:val="single"/>
        </w:rPr>
        <w:t xml:space="preserve">                                 </w:t>
      </w:r>
      <w:r>
        <w:rPr>
          <w:rFonts w:hint="eastAsia" w:ascii="宋体" w:hAnsi="宋体" w:cs="宋体"/>
          <w:sz w:val="32"/>
          <w:szCs w:val="32"/>
        </w:rPr>
        <w:t>项目招投标活动中，自觉遵守《中华人民共和国招标投标法》、《中华人民共和国招标投标法实施条例》、河南省实施《中华人民共和国招标投标法》办法等招标投标相关法律、法规和制度规定，如有违反，愿承担相关法律责任。</w:t>
      </w:r>
    </w:p>
    <w:p w14:paraId="2A80D016">
      <w:pPr>
        <w:spacing w:line="584" w:lineRule="exact"/>
        <w:rPr>
          <w:rFonts w:hint="eastAsia" w:ascii="宋体" w:hAnsi="宋体" w:cs="宋体"/>
          <w:sz w:val="32"/>
          <w:szCs w:val="32"/>
        </w:rPr>
      </w:pPr>
    </w:p>
    <w:p w14:paraId="6BAB59CA">
      <w:pPr>
        <w:spacing w:line="584" w:lineRule="exact"/>
        <w:ind w:firstLine="640" w:firstLineChars="200"/>
        <w:rPr>
          <w:rFonts w:hint="eastAsia" w:ascii="宋体" w:hAnsi="宋体" w:cs="宋体"/>
          <w:sz w:val="32"/>
          <w:szCs w:val="32"/>
        </w:rPr>
      </w:pPr>
      <w:r>
        <w:rPr>
          <w:rFonts w:hint="eastAsia" w:ascii="宋体" w:hAnsi="宋体" w:cs="宋体"/>
          <w:sz w:val="32"/>
          <w:szCs w:val="32"/>
        </w:rPr>
        <w:t>承诺人（法人或委托代理人）</w:t>
      </w:r>
    </w:p>
    <w:p w14:paraId="295C5BFE">
      <w:pPr>
        <w:spacing w:line="584" w:lineRule="exact"/>
        <w:ind w:firstLine="640" w:firstLineChars="200"/>
        <w:rPr>
          <w:rFonts w:hint="eastAsia" w:ascii="宋体" w:hAnsi="宋体" w:cs="宋体"/>
        </w:rPr>
      </w:pPr>
      <w:r>
        <w:rPr>
          <w:rFonts w:hint="eastAsia" w:ascii="宋体" w:hAnsi="宋体" w:cs="宋体"/>
          <w:sz w:val="32"/>
          <w:szCs w:val="32"/>
        </w:rPr>
        <w:t>（签字）：</w:t>
      </w:r>
      <w:r>
        <w:rPr>
          <w:rFonts w:hint="eastAsia" w:ascii="宋体" w:hAnsi="宋体" w:cs="宋体"/>
          <w:sz w:val="32"/>
          <w:szCs w:val="32"/>
          <w:u w:val="single"/>
        </w:rPr>
        <w:t xml:space="preserve">              </w:t>
      </w:r>
    </w:p>
    <w:p w14:paraId="6C592092">
      <w:pPr>
        <w:spacing w:line="584" w:lineRule="exact"/>
        <w:ind w:firstLine="640" w:firstLineChars="200"/>
        <w:rPr>
          <w:rFonts w:hint="eastAsia" w:ascii="宋体" w:hAnsi="宋体" w:cs="宋体"/>
          <w:sz w:val="32"/>
          <w:szCs w:val="32"/>
          <w:u w:val="single"/>
        </w:rPr>
      </w:pPr>
      <w:r>
        <w:rPr>
          <w:rFonts w:hint="eastAsia" w:ascii="宋体" w:hAnsi="宋体" w:cs="宋体"/>
          <w:sz w:val="32"/>
          <w:szCs w:val="32"/>
        </w:rPr>
        <w:t>联系电话：</w:t>
      </w:r>
      <w:r>
        <w:rPr>
          <w:rFonts w:hint="eastAsia" w:ascii="宋体" w:hAnsi="宋体" w:cs="宋体"/>
          <w:sz w:val="32"/>
          <w:szCs w:val="32"/>
          <w:u w:val="single"/>
        </w:rPr>
        <w:t xml:space="preserve">               </w:t>
      </w:r>
    </w:p>
    <w:p w14:paraId="4BFDD17A">
      <w:pPr>
        <w:spacing w:line="560" w:lineRule="exact"/>
        <w:rPr>
          <w:rFonts w:hint="eastAsia" w:ascii="宋体" w:hAnsi="宋体" w:cs="宋体"/>
          <w:sz w:val="32"/>
          <w:szCs w:val="32"/>
        </w:rPr>
      </w:pPr>
      <w:r>
        <w:rPr>
          <w:rFonts w:hint="eastAsia" w:ascii="宋体" w:hAnsi="宋体" w:cs="宋体"/>
          <w:sz w:val="32"/>
          <w:szCs w:val="32"/>
        </w:rPr>
        <w:t xml:space="preserve">                         </w:t>
      </w:r>
    </w:p>
    <w:p w14:paraId="4AFC6C74">
      <w:pPr>
        <w:spacing w:line="560" w:lineRule="exact"/>
        <w:rPr>
          <w:rFonts w:hint="eastAsia" w:ascii="宋体" w:hAnsi="宋体" w:cs="宋体"/>
          <w:sz w:val="32"/>
          <w:szCs w:val="32"/>
        </w:rPr>
      </w:pPr>
    </w:p>
    <w:p w14:paraId="7827F83A">
      <w:pPr>
        <w:spacing w:line="584" w:lineRule="exact"/>
        <w:jc w:val="right"/>
        <w:rPr>
          <w:rFonts w:hint="eastAsia" w:ascii="宋体" w:hAnsi="宋体" w:cs="宋体"/>
          <w:sz w:val="32"/>
          <w:szCs w:val="32"/>
        </w:rPr>
      </w:pPr>
      <w:r>
        <w:rPr>
          <w:rFonts w:hint="eastAsia" w:ascii="宋体" w:hAnsi="宋体" w:cs="宋体"/>
          <w:sz w:val="32"/>
          <w:szCs w:val="32"/>
        </w:rPr>
        <w:t>承诺人：              （单位盖章）</w:t>
      </w:r>
    </w:p>
    <w:p w14:paraId="49BCEDD8">
      <w:pPr>
        <w:spacing w:line="560" w:lineRule="exact"/>
        <w:jc w:val="right"/>
        <w:rPr>
          <w:rFonts w:hint="eastAsia" w:ascii="宋体" w:hAnsi="宋体" w:cs="宋体"/>
          <w:sz w:val="32"/>
          <w:szCs w:val="32"/>
        </w:rPr>
      </w:pPr>
      <w:r>
        <w:rPr>
          <w:rFonts w:hint="eastAsia" w:ascii="宋体" w:hAnsi="宋体" w:cs="宋体"/>
          <w:sz w:val="32"/>
          <w:szCs w:val="32"/>
        </w:rPr>
        <w:t xml:space="preserve">                           </w:t>
      </w:r>
    </w:p>
    <w:p w14:paraId="2C4003A6">
      <w:pPr>
        <w:jc w:val="right"/>
        <w:rPr>
          <w:rFonts w:hint="eastAsia" w:ascii="宋体" w:hAnsi="宋体" w:cs="宋体"/>
          <w:sz w:val="32"/>
          <w:szCs w:val="32"/>
        </w:rPr>
      </w:pPr>
      <w:r>
        <w:rPr>
          <w:rFonts w:hint="eastAsia" w:ascii="宋体" w:hAnsi="宋体" w:cs="宋体"/>
          <w:sz w:val="32"/>
          <w:szCs w:val="32"/>
        </w:rPr>
        <w:t>年   月   日</w:t>
      </w:r>
    </w:p>
    <w:p w14:paraId="0A0FE23D">
      <w:pPr>
        <w:spacing w:line="560" w:lineRule="exact"/>
        <w:jc w:val="center"/>
        <w:rPr>
          <w:rFonts w:hint="eastAsia" w:ascii="宋体" w:hAnsi="宋体" w:cs="宋体"/>
          <w:color w:val="000000"/>
          <w:sz w:val="44"/>
          <w:szCs w:val="44"/>
        </w:rPr>
      </w:pPr>
      <w:r>
        <w:rPr>
          <w:rFonts w:hint="eastAsia" w:ascii="宋体" w:hAnsi="宋体" w:cs="宋体"/>
          <w:sz w:val="32"/>
          <w:szCs w:val="32"/>
        </w:rPr>
        <w:br w:type="page"/>
      </w:r>
      <w:r>
        <w:rPr>
          <w:rFonts w:hint="eastAsia" w:ascii="宋体" w:hAnsi="宋体" w:cs="宋体"/>
          <w:color w:val="000000"/>
          <w:sz w:val="44"/>
          <w:szCs w:val="44"/>
        </w:rPr>
        <w:t>全市房屋建筑和市政基础设施工程项目</w:t>
      </w:r>
    </w:p>
    <w:p w14:paraId="47576BE0">
      <w:pPr>
        <w:spacing w:line="560" w:lineRule="exact"/>
        <w:jc w:val="center"/>
        <w:rPr>
          <w:rFonts w:hint="eastAsia" w:ascii="宋体" w:hAnsi="宋体" w:cs="宋体"/>
          <w:color w:val="000000"/>
          <w:sz w:val="44"/>
          <w:szCs w:val="44"/>
        </w:rPr>
      </w:pPr>
      <w:r>
        <w:rPr>
          <w:rFonts w:hint="eastAsia" w:ascii="宋体" w:hAnsi="宋体" w:cs="宋体"/>
          <w:color w:val="000000"/>
          <w:sz w:val="44"/>
          <w:szCs w:val="44"/>
        </w:rPr>
        <w:t>招标投标活动承诺书</w:t>
      </w:r>
    </w:p>
    <w:p w14:paraId="7C48B1E2">
      <w:pPr>
        <w:spacing w:line="560" w:lineRule="exact"/>
        <w:jc w:val="center"/>
        <w:rPr>
          <w:rFonts w:hint="eastAsia" w:ascii="宋体" w:hAnsi="宋体" w:cs="宋体"/>
          <w:sz w:val="44"/>
          <w:szCs w:val="44"/>
        </w:rPr>
      </w:pPr>
    </w:p>
    <w:p w14:paraId="3D846048">
      <w:pPr>
        <w:spacing w:line="584" w:lineRule="exact"/>
        <w:ind w:firstLine="627" w:firstLineChars="196"/>
        <w:rPr>
          <w:rFonts w:hint="eastAsia" w:ascii="宋体" w:hAnsi="宋体" w:cs="宋体"/>
          <w:sz w:val="32"/>
          <w:szCs w:val="32"/>
        </w:rPr>
      </w:pPr>
      <w:r>
        <w:rPr>
          <w:rFonts w:hint="eastAsia" w:ascii="宋体" w:hAnsi="宋体" w:cs="宋体"/>
          <w:sz w:val="32"/>
          <w:szCs w:val="32"/>
        </w:rPr>
        <w:t>我单位承诺，在</w:t>
      </w:r>
      <w:r>
        <w:rPr>
          <w:rFonts w:hint="eastAsia" w:ascii="宋体" w:hAnsi="宋体" w:cs="宋体"/>
          <w:sz w:val="32"/>
          <w:szCs w:val="32"/>
          <w:u w:val="single"/>
        </w:rPr>
        <w:t xml:space="preserve">                                 </w:t>
      </w:r>
      <w:r>
        <w:rPr>
          <w:rFonts w:hint="eastAsia" w:ascii="宋体" w:hAnsi="宋体" w:cs="宋体"/>
          <w:sz w:val="32"/>
          <w:szCs w:val="32"/>
        </w:rPr>
        <w:t>项目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14:paraId="2060970D">
      <w:pPr>
        <w:spacing w:line="584" w:lineRule="exact"/>
        <w:rPr>
          <w:rFonts w:hint="eastAsia" w:ascii="宋体" w:hAnsi="宋体" w:cs="宋体"/>
          <w:sz w:val="32"/>
          <w:szCs w:val="32"/>
        </w:rPr>
      </w:pPr>
    </w:p>
    <w:p w14:paraId="7BF3392A">
      <w:pPr>
        <w:spacing w:line="584" w:lineRule="exact"/>
        <w:ind w:firstLine="640" w:firstLineChars="200"/>
        <w:rPr>
          <w:rFonts w:hint="eastAsia" w:ascii="宋体" w:hAnsi="宋体" w:cs="宋体"/>
          <w:sz w:val="32"/>
          <w:szCs w:val="32"/>
        </w:rPr>
      </w:pPr>
      <w:r>
        <w:rPr>
          <w:rFonts w:hint="eastAsia" w:ascii="宋体" w:hAnsi="宋体" w:cs="宋体"/>
          <w:sz w:val="32"/>
          <w:szCs w:val="32"/>
        </w:rPr>
        <w:t>承诺人（法人或委托代理人）</w:t>
      </w:r>
    </w:p>
    <w:p w14:paraId="7552C025">
      <w:pPr>
        <w:spacing w:line="584" w:lineRule="exact"/>
        <w:ind w:firstLine="640" w:firstLineChars="200"/>
        <w:rPr>
          <w:rFonts w:hint="eastAsia" w:ascii="宋体" w:hAnsi="宋体" w:cs="宋体"/>
        </w:rPr>
      </w:pPr>
      <w:r>
        <w:rPr>
          <w:rFonts w:hint="eastAsia" w:ascii="宋体" w:hAnsi="宋体" w:cs="宋体"/>
          <w:sz w:val="32"/>
          <w:szCs w:val="32"/>
        </w:rPr>
        <w:t>（签字）：</w:t>
      </w:r>
      <w:r>
        <w:rPr>
          <w:rFonts w:hint="eastAsia" w:ascii="宋体" w:hAnsi="宋体" w:cs="宋体"/>
          <w:sz w:val="32"/>
          <w:szCs w:val="32"/>
          <w:u w:val="single"/>
        </w:rPr>
        <w:t xml:space="preserve">              </w:t>
      </w:r>
    </w:p>
    <w:p w14:paraId="59F2EF36">
      <w:pPr>
        <w:spacing w:line="584" w:lineRule="exact"/>
        <w:ind w:firstLine="640" w:firstLineChars="200"/>
        <w:rPr>
          <w:rFonts w:hint="eastAsia" w:ascii="宋体" w:hAnsi="宋体" w:cs="宋体"/>
          <w:sz w:val="32"/>
          <w:szCs w:val="32"/>
          <w:u w:val="single"/>
        </w:rPr>
      </w:pPr>
      <w:r>
        <w:rPr>
          <w:rFonts w:hint="eastAsia" w:ascii="宋体" w:hAnsi="宋体" w:cs="宋体"/>
          <w:sz w:val="32"/>
          <w:szCs w:val="32"/>
        </w:rPr>
        <w:t>联系电话：</w:t>
      </w:r>
      <w:r>
        <w:rPr>
          <w:rFonts w:hint="eastAsia" w:ascii="宋体" w:hAnsi="宋体" w:cs="宋体"/>
          <w:sz w:val="32"/>
          <w:szCs w:val="32"/>
          <w:u w:val="single"/>
        </w:rPr>
        <w:t xml:space="preserve">               </w:t>
      </w:r>
    </w:p>
    <w:p w14:paraId="21117C2D">
      <w:pPr>
        <w:spacing w:line="560" w:lineRule="exact"/>
        <w:rPr>
          <w:rFonts w:hint="eastAsia" w:ascii="宋体" w:hAnsi="宋体" w:cs="宋体"/>
          <w:sz w:val="32"/>
          <w:szCs w:val="32"/>
        </w:rPr>
      </w:pPr>
      <w:r>
        <w:rPr>
          <w:rFonts w:hint="eastAsia" w:ascii="宋体" w:hAnsi="宋体" w:cs="宋体"/>
          <w:sz w:val="32"/>
          <w:szCs w:val="32"/>
        </w:rPr>
        <w:t xml:space="preserve">                         </w:t>
      </w:r>
    </w:p>
    <w:p w14:paraId="29EA8165">
      <w:pPr>
        <w:spacing w:line="560" w:lineRule="exact"/>
        <w:rPr>
          <w:rFonts w:hint="eastAsia" w:ascii="宋体" w:hAnsi="宋体" w:cs="宋体"/>
          <w:sz w:val="32"/>
          <w:szCs w:val="32"/>
        </w:rPr>
      </w:pPr>
    </w:p>
    <w:p w14:paraId="52094F7D">
      <w:pPr>
        <w:spacing w:line="584" w:lineRule="exact"/>
        <w:ind w:firstLine="640" w:firstLineChars="200"/>
        <w:jc w:val="right"/>
        <w:rPr>
          <w:rFonts w:hint="eastAsia" w:ascii="宋体" w:hAnsi="宋体" w:cs="宋体"/>
          <w:sz w:val="32"/>
          <w:szCs w:val="32"/>
        </w:rPr>
      </w:pPr>
      <w:r>
        <w:rPr>
          <w:rFonts w:hint="eastAsia" w:ascii="宋体" w:hAnsi="宋体" w:cs="宋体"/>
          <w:sz w:val="32"/>
          <w:szCs w:val="32"/>
        </w:rPr>
        <w:t>承诺人：      （单位盖章）</w:t>
      </w:r>
    </w:p>
    <w:p w14:paraId="469980E5">
      <w:pPr>
        <w:spacing w:line="560" w:lineRule="exact"/>
        <w:jc w:val="right"/>
        <w:rPr>
          <w:rFonts w:hint="eastAsia" w:ascii="宋体" w:hAnsi="宋体" w:cs="宋体"/>
          <w:sz w:val="32"/>
          <w:szCs w:val="32"/>
        </w:rPr>
      </w:pPr>
      <w:r>
        <w:rPr>
          <w:rFonts w:hint="eastAsia" w:ascii="宋体" w:hAnsi="宋体" w:cs="宋体"/>
          <w:sz w:val="32"/>
          <w:szCs w:val="32"/>
        </w:rPr>
        <w:t xml:space="preserve">                           </w:t>
      </w:r>
    </w:p>
    <w:p w14:paraId="17F03825">
      <w:pPr>
        <w:spacing w:line="584" w:lineRule="exact"/>
        <w:ind w:firstLine="1600" w:firstLineChars="500"/>
        <w:jc w:val="right"/>
        <w:rPr>
          <w:rFonts w:hint="eastAsia" w:ascii="宋体" w:hAnsi="宋体" w:cs="宋体"/>
          <w:sz w:val="32"/>
          <w:szCs w:val="32"/>
        </w:rPr>
      </w:pPr>
      <w:r>
        <w:rPr>
          <w:rFonts w:hint="eastAsia" w:ascii="宋体" w:hAnsi="宋体" w:cs="宋体"/>
          <w:sz w:val="32"/>
          <w:szCs w:val="32"/>
        </w:rPr>
        <w:t>年   月   日</w:t>
      </w:r>
    </w:p>
    <w:p w14:paraId="1D07CDE5">
      <w:pPr>
        <w:pStyle w:val="87"/>
        <w:keepNext/>
        <w:keepLines/>
        <w:spacing w:after="560" w:line="240" w:lineRule="auto"/>
        <w:rPr>
          <w:rFonts w:hint="eastAsia"/>
        </w:rPr>
      </w:pPr>
      <w:r>
        <w:rPr>
          <w:rFonts w:hint="eastAsia"/>
          <w:sz w:val="32"/>
          <w:szCs w:val="32"/>
        </w:rPr>
        <w:br w:type="page"/>
      </w:r>
      <w:bookmarkStart w:id="457" w:name="bookmark32"/>
      <w:bookmarkStart w:id="458" w:name="bookmark30"/>
      <w:bookmarkStart w:id="459" w:name="bookmark31"/>
      <w:r>
        <w:rPr>
          <w:rFonts w:hint="eastAsia"/>
          <w:color w:val="000000"/>
        </w:rPr>
        <w:t>投标承诺书</w:t>
      </w:r>
      <w:bookmarkEnd w:id="457"/>
      <w:bookmarkEnd w:id="458"/>
      <w:bookmarkEnd w:id="459"/>
    </w:p>
    <w:p w14:paraId="73432A24">
      <w:pPr>
        <w:pStyle w:val="88"/>
        <w:spacing w:line="240" w:lineRule="auto"/>
        <w:ind w:firstLine="640"/>
        <w:rPr>
          <w:rFonts w:hint="eastAsia"/>
        </w:rPr>
      </w:pPr>
      <w:r>
        <w:rPr>
          <w:rFonts w:hint="eastAsia"/>
          <w:color w:val="000000"/>
        </w:rPr>
        <w:t>我单位现对</w:t>
      </w:r>
      <w:r>
        <w:rPr>
          <w:rFonts w:hint="eastAsia"/>
          <w:color w:val="000000"/>
          <w:u w:val="single"/>
          <w:lang w:val="en-US" w:eastAsia="zh-CN"/>
        </w:rPr>
        <w:t xml:space="preserve">                                        </w:t>
      </w:r>
      <w:r>
        <w:rPr>
          <w:rFonts w:hint="eastAsia"/>
          <w:color w:val="000000"/>
          <w:lang w:eastAsia="zh-CN"/>
        </w:rPr>
        <w:t>项目</w:t>
      </w:r>
      <w:r>
        <w:rPr>
          <w:rFonts w:hint="eastAsia"/>
          <w:color w:val="000000"/>
        </w:rPr>
        <w:t>投标做出如下郑重承诺：</w:t>
      </w:r>
    </w:p>
    <w:p w14:paraId="02E03040">
      <w:pPr>
        <w:pStyle w:val="88"/>
        <w:spacing w:after="880" w:line="643" w:lineRule="exact"/>
        <w:ind w:firstLine="640"/>
        <w:rPr>
          <w:rFonts w:hint="eastAsia"/>
        </w:rPr>
      </w:pPr>
      <w:r>
        <w:rPr>
          <w:rFonts w:hint="eastAsia"/>
          <w:color w:val="000000"/>
        </w:rPr>
        <w:t>我单位如存在投标截止后撤销投标文件、中标后无正当理 由不与招标人订立合同、在签订合同时向招标人提出附加条件、 不按照招标文件要求提交履约保证金，或在招标投标活动中存 在其他违法违规的行为，我单位自愿承担因此造成的一切法律 后果，自愿接受招标人和招标投标监督部门的信用惩戒措施。</w:t>
      </w:r>
    </w:p>
    <w:p w14:paraId="122687B1">
      <w:pPr>
        <w:pStyle w:val="88"/>
        <w:spacing w:after="280" w:line="643" w:lineRule="exact"/>
        <w:ind w:firstLine="640"/>
        <w:rPr>
          <w:rFonts w:hint="eastAsia"/>
        </w:rPr>
      </w:pPr>
      <w:r>
        <w:rPr>
          <w:rFonts w:hint="eastAsia"/>
          <w:color w:val="000000"/>
        </w:rPr>
        <w:t>法定代表人（签字）：</w:t>
      </w:r>
    </w:p>
    <w:p w14:paraId="7EEA62C4">
      <w:pPr>
        <w:pStyle w:val="88"/>
        <w:spacing w:after="280" w:line="0" w:lineRule="atLeast"/>
        <w:ind w:firstLine="640"/>
        <w:rPr>
          <w:rFonts w:hint="eastAsia"/>
        </w:rPr>
      </w:pPr>
      <w:r>
        <w:rPr>
          <w:rFonts w:hint="eastAsia"/>
          <w:color w:val="000000"/>
        </w:rPr>
        <w:t>授权委托人（签字）：</w:t>
      </w:r>
    </w:p>
    <w:p w14:paraId="7A4AE052">
      <w:pPr>
        <w:pStyle w:val="88"/>
        <w:keepLines/>
        <w:spacing w:line="720" w:lineRule="auto"/>
        <w:ind w:firstLine="641"/>
        <w:rPr>
          <w:rFonts w:hint="eastAsia"/>
          <w:color w:val="000000"/>
        </w:rPr>
      </w:pPr>
      <w:r>
        <w:rPr>
          <w:rFonts w:hint="eastAsia"/>
          <w:color w:val="000000"/>
        </w:rPr>
        <w:t>联系电话：</w:t>
      </w:r>
    </w:p>
    <w:p w14:paraId="5ECC7C42">
      <w:pPr>
        <w:pStyle w:val="88"/>
        <w:keepLines/>
        <w:spacing w:line="720" w:lineRule="auto"/>
        <w:ind w:firstLine="5001" w:firstLineChars="1667"/>
        <w:rPr>
          <w:rFonts w:hint="eastAsia"/>
          <w:color w:val="000000"/>
        </w:rPr>
      </w:pPr>
      <w:r>
        <w:rPr>
          <w:rFonts w:hint="eastAsia"/>
          <w:color w:val="000000"/>
        </w:rPr>
        <w:t>投标人：</w:t>
      </w:r>
      <w:r>
        <w:rPr>
          <w:rFonts w:hint="eastAsia"/>
          <w:color w:val="000000"/>
          <w:lang w:val="en-US" w:eastAsia="zh-CN"/>
        </w:rPr>
        <w:t xml:space="preserve">      </w:t>
      </w:r>
      <w:r>
        <w:rPr>
          <w:rFonts w:hint="eastAsia"/>
          <w:color w:val="000000"/>
        </w:rPr>
        <w:t>（盖章）</w:t>
      </w:r>
    </w:p>
    <w:p w14:paraId="772B96A4">
      <w:pPr>
        <w:pStyle w:val="9"/>
        <w:pageBreakBefore w:val="0"/>
        <w:widowControl w:val="0"/>
        <w:kinsoku/>
        <w:wordWrap/>
        <w:overflowPunct/>
        <w:topLinePunct w:val="0"/>
        <w:autoSpaceDE/>
        <w:autoSpaceDN/>
        <w:bidi w:val="0"/>
        <w:adjustRightInd/>
        <w:snapToGrid/>
        <w:spacing w:after="0" w:line="360" w:lineRule="auto"/>
        <w:ind w:left="0" w:right="0" w:firstLine="420" w:firstLineChars="200"/>
        <w:jc w:val="center"/>
        <w:textAlignment w:val="auto"/>
        <w:outlineLvl w:val="1"/>
        <w:rPr>
          <w:rFonts w:hint="eastAsia"/>
          <w:sz w:val="32"/>
          <w:szCs w:val="32"/>
        </w:rPr>
      </w:pPr>
      <w:r>
        <w:rPr>
          <w:rFonts w:hint="eastAsia"/>
          <w:color w:val="000000"/>
          <w:lang w:val="en-US" w:eastAsia="zh-CN"/>
        </w:rPr>
        <w:t xml:space="preserve">                                   年  月  日</w:t>
      </w:r>
      <w:r>
        <w:rPr>
          <w:rFonts w:hint="eastAsia"/>
          <w:sz w:val="32"/>
          <w:szCs w:val="32"/>
        </w:rPr>
        <w:t xml:space="preserve">     </w:t>
      </w:r>
    </w:p>
    <w:p w14:paraId="11BABF47">
      <w:pPr>
        <w:rPr>
          <w:rFonts w:hint="eastAsia"/>
          <w:sz w:val="32"/>
          <w:szCs w:val="32"/>
        </w:rPr>
      </w:pPr>
      <w:r>
        <w:rPr>
          <w:rFonts w:hint="eastAsia"/>
          <w:sz w:val="32"/>
          <w:szCs w:val="32"/>
        </w:rPr>
        <w:br w:type="page"/>
      </w:r>
    </w:p>
    <w:p w14:paraId="524F6CDA">
      <w:pPr>
        <w:spacing w:line="560" w:lineRule="exact"/>
        <w:jc w:val="left"/>
        <w:rPr>
          <w:rFonts w:hint="eastAsia" w:ascii="宋体" w:hAnsi="宋体" w:cs="宋体" w:eastAsiaTheme="minorEastAsia"/>
          <w:b/>
          <w:bCs/>
          <w:sz w:val="32"/>
          <w:szCs w:val="32"/>
          <w:lang w:val="en-US" w:eastAsia="zh-CN"/>
        </w:rPr>
      </w:pPr>
      <w:r>
        <w:rPr>
          <w:rFonts w:hint="eastAsia" w:ascii="宋体" w:hAnsi="宋体" w:cs="宋体"/>
          <w:b/>
          <w:bCs/>
          <w:sz w:val="32"/>
          <w:szCs w:val="32"/>
        </w:rPr>
        <w:t>附件</w:t>
      </w:r>
      <w:r>
        <w:rPr>
          <w:rFonts w:hint="eastAsia" w:ascii="宋体" w:hAnsi="宋体" w:cs="宋体"/>
          <w:b/>
          <w:bCs/>
          <w:sz w:val="32"/>
          <w:szCs w:val="32"/>
          <w:lang w:val="en-US" w:eastAsia="zh-CN"/>
        </w:rPr>
        <w:t>2</w:t>
      </w:r>
      <w:r>
        <w:rPr>
          <w:rFonts w:hint="eastAsia" w:ascii="宋体" w:hAnsi="宋体" w:cs="宋体"/>
          <w:b/>
          <w:bCs/>
          <w:sz w:val="32"/>
          <w:szCs w:val="32"/>
        </w:rPr>
        <w:t>：其他资料</w:t>
      </w:r>
      <w:r>
        <w:rPr>
          <w:rFonts w:hint="eastAsia" w:ascii="宋体" w:hAnsi="宋体" w:cs="宋体"/>
          <w:b/>
          <w:bCs/>
          <w:sz w:val="32"/>
          <w:szCs w:val="32"/>
          <w:lang w:val="en-US" w:eastAsia="zh-CN"/>
        </w:rPr>
        <w:t>(此部分不附在投标文件中）</w:t>
      </w:r>
    </w:p>
    <w:p w14:paraId="4D8181AB">
      <w:pPr>
        <w:spacing w:line="560" w:lineRule="exact"/>
        <w:jc w:val="center"/>
        <w:rPr>
          <w:rFonts w:hint="eastAsia" w:ascii="宋体" w:hAnsi="宋体" w:cs="宋体"/>
          <w:sz w:val="36"/>
          <w:szCs w:val="36"/>
        </w:rPr>
      </w:pPr>
      <w:r>
        <w:rPr>
          <w:rFonts w:hint="eastAsia" w:ascii="宋体" w:hAnsi="宋体" w:cs="宋体"/>
          <w:sz w:val="36"/>
          <w:szCs w:val="36"/>
        </w:rPr>
        <w:t>致房屋建筑和市政基础设施工程建设项目</w:t>
      </w:r>
    </w:p>
    <w:p w14:paraId="57819606">
      <w:pPr>
        <w:spacing w:line="560" w:lineRule="exact"/>
        <w:jc w:val="center"/>
        <w:rPr>
          <w:rFonts w:hint="eastAsia" w:ascii="宋体" w:hAnsi="宋体" w:cs="宋体"/>
          <w:sz w:val="36"/>
          <w:szCs w:val="36"/>
        </w:rPr>
      </w:pPr>
      <w:r>
        <w:rPr>
          <w:rFonts w:hint="eastAsia" w:ascii="宋体" w:hAnsi="宋体" w:cs="宋体"/>
          <w:sz w:val="36"/>
          <w:szCs w:val="36"/>
        </w:rPr>
        <w:t>招标投标各方主体的一封公开信</w:t>
      </w:r>
    </w:p>
    <w:p w14:paraId="59B3D4D1">
      <w:pPr>
        <w:keepNext w:val="0"/>
        <w:keepLines w:val="0"/>
        <w:pageBreakBefore w:val="0"/>
        <w:widowControl w:val="0"/>
        <w:kinsoku/>
        <w:wordWrap/>
        <w:overflowPunct/>
        <w:topLinePunct w:val="0"/>
        <w:autoSpaceDE/>
        <w:autoSpaceDN/>
        <w:bidi w:val="0"/>
        <w:adjustRightInd/>
        <w:snapToGrid/>
        <w:spacing w:beforeAutospacing="0" w:line="520" w:lineRule="exact"/>
        <w:textAlignment w:val="auto"/>
        <w:rPr>
          <w:rFonts w:hint="eastAsia" w:ascii="宋体" w:hAnsi="宋体" w:cs="宋体"/>
          <w:sz w:val="32"/>
          <w:szCs w:val="32"/>
        </w:rPr>
      </w:pPr>
      <w:r>
        <w:rPr>
          <w:rFonts w:hint="eastAsia" w:ascii="宋体" w:hAnsi="宋体" w:cs="宋体"/>
          <w:sz w:val="32"/>
          <w:szCs w:val="32"/>
        </w:rPr>
        <w:t>参与全市房屋建筑和市政基础设施工程建设项目招标投标的各方主体：</w:t>
      </w:r>
    </w:p>
    <w:p w14:paraId="219708E0">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为深入贯彻落实中央、省委、市委关于扫黑除恶专项斗争的决策部署，根据《住房和城乡建设部办公厅关于开展工程建设行业专项整治的通知》（建办市函〔2020〕298号）精神，我市聚焦房屋建筑和市政基础设施工程建设领域招标投标活动中存在的恶意竞标、强揽工程、借用资质、干扰招标投标正常秩序等违法违规行为，正在开展专项整治活动，重点治理以下行为：</w:t>
      </w:r>
    </w:p>
    <w:p w14:paraId="4912D04C">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（一）招标人在招标文件中设置不合理条件，限制或者排斥潜在投标人，或招标人以任何方式规避招标。</w:t>
      </w:r>
    </w:p>
    <w:p w14:paraId="64C5DDFF">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（二）投标人相互串通投标或者与招标人、招标代理机构串通投标，或者投标人以向招标人、招标代理机构或者评标委员会成员行贿的手段谋取中标。</w:t>
      </w:r>
    </w:p>
    <w:p w14:paraId="3B20A26F">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（三）投标人以他人名义投标，挂靠、借用资质投标或者以其他方式弄虚作假，骗取中标。</w:t>
      </w:r>
    </w:p>
    <w:p w14:paraId="741D4FBA">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（四）招标人或投标人胁迫其他潜在投标人放弃投标，或胁迫中标人放弃中标。</w:t>
      </w:r>
    </w:p>
    <w:p w14:paraId="229B09F8">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（五）投标人恶意举报投诉中标人或其他潜在投标人，干扰招标投标正常秩序。</w:t>
      </w:r>
    </w:p>
    <w:p w14:paraId="32410B56">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（六）中标人将中标项目转让给他人，或者将中标项目肢解后分别转让给他人，以及将中标项目违法分包给他人。</w:t>
      </w:r>
    </w:p>
    <w:p w14:paraId="4E8AFFA7">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（七）党政机关、事业单位、行业协（学）会等单位领导干部或工作人员利用职权或者职务上的影响干预招标投标活动。</w:t>
      </w:r>
    </w:p>
    <w:p w14:paraId="1524F668">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u w:val="single"/>
        </w:rPr>
      </w:pPr>
      <w:r>
        <w:rPr>
          <w:rFonts w:hint="eastAsia" w:ascii="宋体" w:hAnsi="宋体" w:cs="宋体"/>
          <w:color w:val="000000"/>
          <w:kern w:val="0"/>
          <w:sz w:val="32"/>
          <w:szCs w:val="32"/>
        </w:rPr>
        <w:t>如果您单位和个人在参与投标活动中发现以上行为或《河南省房屋建筑和市政基础设施工程项目招标投标监管禁止行为清单》《河南省房屋建筑和市政基础设施工程项目招标投标活动禁止行为清单》《洛阳市房屋建筑和市政基础设施工程项目招标投标活动负面行为清单》中所列行为，请依法向当地住房城乡建设主管部门举报，举报方式：</w:t>
      </w:r>
      <w:r>
        <w:rPr>
          <w:rFonts w:hint="eastAsia" w:ascii="宋体" w:hAnsi="宋体" w:cs="宋体"/>
          <w:color w:val="000000"/>
          <w:kern w:val="0"/>
          <w:sz w:val="32"/>
          <w:szCs w:val="32"/>
          <w:u w:val="single"/>
        </w:rPr>
        <w:t xml:space="preserve"> 0379-69378911</w:t>
      </w:r>
    </w:p>
    <w:p w14:paraId="6E0039F1">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如果您单位和个人在参与投标活动中发现涉黑涉恶线索，可登录河南省住房城乡建设厅官方网站首页“投诉举报”专栏“住房城乡建设领域涉黑涉恶违法线索在线举报”窗口反映。</w:t>
      </w:r>
    </w:p>
    <w:p w14:paraId="4FFFB036">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举报时请尽量提供详细的事实材料，我们将认真落实行业监管责任，坚决依法依规处理。涉及实名举报的，我们将严格为举报人保密。</w:t>
      </w:r>
    </w:p>
    <w:p w14:paraId="31A42DE0">
      <w:pPr>
        <w:keepNext w:val="0"/>
        <w:keepLines w:val="0"/>
        <w:pageBreakBefore w:val="0"/>
        <w:widowControl w:val="0"/>
        <w:kinsoku/>
        <w:wordWrap/>
        <w:overflowPunct/>
        <w:topLinePunct w:val="0"/>
        <w:autoSpaceDE/>
        <w:autoSpaceDN/>
        <w:bidi w:val="0"/>
        <w:adjustRightInd/>
        <w:snapToGrid/>
        <w:spacing w:beforeAutospacing="0" w:line="520" w:lineRule="exact"/>
        <w:ind w:firstLine="640" w:firstLineChars="200"/>
        <w:textAlignment w:val="auto"/>
        <w:rPr>
          <w:rFonts w:hint="eastAsia" w:ascii="宋体" w:hAnsi="宋体" w:cs="宋体"/>
          <w:color w:val="000000"/>
          <w:kern w:val="0"/>
          <w:sz w:val="32"/>
          <w:szCs w:val="32"/>
        </w:rPr>
      </w:pPr>
      <w:r>
        <w:rPr>
          <w:rFonts w:hint="eastAsia" w:ascii="宋体" w:hAnsi="宋体" w:cs="宋体"/>
          <w:color w:val="000000"/>
          <w:kern w:val="0"/>
          <w:sz w:val="32"/>
          <w:szCs w:val="32"/>
        </w:rPr>
        <w:t>让我们大家共同行动起来，为营造公平公正的招标投标市场环境而努力！</w:t>
      </w:r>
    </w:p>
    <w:p w14:paraId="3A4B010F">
      <w:pPr>
        <w:pStyle w:val="24"/>
        <w:keepNext w:val="0"/>
        <w:keepLines w:val="0"/>
        <w:pageBreakBefore w:val="0"/>
        <w:widowControl w:val="0"/>
        <w:kinsoku/>
        <w:wordWrap/>
        <w:overflowPunct/>
        <w:topLinePunct w:val="0"/>
        <w:autoSpaceDE/>
        <w:autoSpaceDN/>
        <w:bidi w:val="0"/>
        <w:adjustRightInd/>
        <w:snapToGrid/>
        <w:spacing w:beforeAutospacing="0" w:line="520" w:lineRule="exact"/>
        <w:textAlignment w:val="auto"/>
        <w:rPr>
          <w:rFonts w:hint="eastAsia" w:ascii="宋体" w:hAnsi="宋体" w:cs="宋体"/>
          <w:sz w:val="32"/>
          <w:szCs w:val="32"/>
        </w:rPr>
      </w:pPr>
      <w:r>
        <w:rPr>
          <w:rFonts w:hint="eastAsia" w:ascii="宋体" w:hAnsi="宋体" w:cs="宋体"/>
          <w:sz w:val="32"/>
          <w:szCs w:val="32"/>
        </w:rPr>
        <w:t xml:space="preserve">                                 </w:t>
      </w:r>
    </w:p>
    <w:p w14:paraId="644817E2">
      <w:pPr>
        <w:keepNext w:val="0"/>
        <w:keepLines w:val="0"/>
        <w:pageBreakBefore w:val="0"/>
        <w:widowControl w:val="0"/>
        <w:kinsoku/>
        <w:wordWrap/>
        <w:overflowPunct/>
        <w:topLinePunct w:val="0"/>
        <w:autoSpaceDE/>
        <w:autoSpaceDN/>
        <w:bidi w:val="0"/>
        <w:adjustRightInd/>
        <w:snapToGrid/>
        <w:spacing w:beforeAutospacing="0" w:line="520" w:lineRule="exact"/>
        <w:textAlignment w:val="auto"/>
        <w:rPr>
          <w:rFonts w:hint="eastAsia" w:ascii="宋体" w:hAnsi="宋体" w:cs="宋体"/>
          <w:sz w:val="22"/>
          <w:szCs w:val="21"/>
        </w:rPr>
      </w:pPr>
      <w:r>
        <w:rPr>
          <w:rFonts w:hint="eastAsia" w:ascii="宋体" w:hAnsi="宋体" w:cs="宋体"/>
          <w:sz w:val="22"/>
          <w:szCs w:val="21"/>
        </w:rPr>
        <w:t>备注：招标人和招标代理机构在招标文件中附《</w:t>
      </w:r>
      <w:r>
        <w:rPr>
          <w:rFonts w:hint="eastAsia" w:ascii="宋体" w:hAnsi="宋体" w:cs="宋体"/>
          <w:color w:val="000000"/>
          <w:kern w:val="0"/>
          <w:sz w:val="22"/>
          <w:szCs w:val="21"/>
        </w:rPr>
        <w:t>致房屋建筑和市政基础设施工程建设项目招标投标各方主体的一封公开信</w:t>
      </w:r>
      <w:r>
        <w:rPr>
          <w:rFonts w:hint="eastAsia" w:ascii="宋体" w:hAnsi="宋体" w:cs="宋体"/>
          <w:sz w:val="22"/>
          <w:szCs w:val="21"/>
        </w:rPr>
        <w:t>》。建设行政主管部门要畅通本级投诉举报渠道，公布举报电话，接受招投标活动各方市场主体监督。</w:t>
      </w:r>
    </w:p>
    <w:p w14:paraId="1963E94E">
      <w:pPr>
        <w:rPr>
          <w:color w:val="333333"/>
          <w:spacing w:val="4"/>
          <w:sz w:val="32"/>
          <w:szCs w:val="36"/>
        </w:rPr>
      </w:pPr>
      <w:r>
        <w:rPr>
          <w:color w:val="333333"/>
          <w:spacing w:val="4"/>
          <w:sz w:val="32"/>
          <w:szCs w:val="36"/>
        </w:rPr>
        <w:br w:type="page"/>
      </w:r>
    </w:p>
    <w:p w14:paraId="3D0C7577">
      <w:pPr>
        <w:pStyle w:val="9"/>
        <w:pageBreakBefore w:val="0"/>
        <w:widowControl w:val="0"/>
        <w:kinsoku/>
        <w:wordWrap/>
        <w:overflowPunct/>
        <w:topLinePunct w:val="0"/>
        <w:autoSpaceDE/>
        <w:autoSpaceDN/>
        <w:bidi w:val="0"/>
        <w:adjustRightInd/>
        <w:snapToGrid/>
        <w:spacing w:after="0" w:line="360" w:lineRule="auto"/>
        <w:ind w:left="0" w:right="0" w:firstLine="656" w:firstLineChars="200"/>
        <w:jc w:val="center"/>
        <w:textAlignment w:val="auto"/>
        <w:outlineLvl w:val="1"/>
        <w:rPr>
          <w:sz w:val="32"/>
          <w:szCs w:val="36"/>
        </w:rPr>
      </w:pPr>
      <w:r>
        <w:rPr>
          <w:color w:val="333333"/>
          <w:spacing w:val="4"/>
          <w:sz w:val="32"/>
          <w:szCs w:val="36"/>
        </w:rPr>
        <w:t>部分招标投标法律法规知识宣传</w:t>
      </w:r>
    </w:p>
    <w:p w14:paraId="1FD5B800">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outlineLvl w:val="0"/>
        <w:rPr>
          <w:sz w:val="24"/>
          <w:szCs w:val="24"/>
        </w:rPr>
      </w:pPr>
      <w:r>
        <w:rPr>
          <w:sz w:val="24"/>
          <w:szCs w:val="24"/>
        </w:rPr>
        <w:t>一、《中华人民共和国招标投标法实施条例》节选</w:t>
      </w:r>
    </w:p>
    <w:p w14:paraId="2542DBBC">
      <w:pPr>
        <w:pStyle w:val="9"/>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sz w:val="24"/>
          <w:szCs w:val="24"/>
        </w:rPr>
      </w:pPr>
      <w:r>
        <w:rPr>
          <w:spacing w:val="2"/>
          <w:sz w:val="24"/>
          <w:szCs w:val="24"/>
        </w:rPr>
        <w:t>第六十七条规定，投标人相互串通投标或者与招标人串</w:t>
      </w:r>
      <w:r>
        <w:rPr>
          <w:spacing w:val="1"/>
          <w:sz w:val="24"/>
          <w:szCs w:val="24"/>
        </w:rPr>
        <w:t>通投标的，投标人向招标</w:t>
      </w:r>
      <w:r>
        <w:rPr>
          <w:sz w:val="24"/>
          <w:szCs w:val="24"/>
        </w:rPr>
        <w:t xml:space="preserve"> 人或者评标委员会成员行贿谋取中标的，中标无效；构成犯罪的，依法追究刑事责</w:t>
      </w:r>
    </w:p>
    <w:p w14:paraId="191CAA8E">
      <w:pPr>
        <w:pStyle w:val="9"/>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sz w:val="24"/>
          <w:szCs w:val="24"/>
        </w:rPr>
      </w:pPr>
      <w:r>
        <w:rPr>
          <w:spacing w:val="-19"/>
          <w:sz w:val="24"/>
          <w:szCs w:val="24"/>
        </w:rPr>
        <w:t>任。</w:t>
      </w:r>
    </w:p>
    <w:p w14:paraId="0814BCFB">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投标人</w:t>
      </w:r>
      <w:r>
        <w:rPr>
          <w:spacing w:val="-28"/>
          <w:sz w:val="24"/>
          <w:szCs w:val="24"/>
        </w:rPr>
        <w:t>：（</w:t>
      </w:r>
      <w:r>
        <w:rPr>
          <w:spacing w:val="-1"/>
          <w:sz w:val="24"/>
          <w:szCs w:val="24"/>
        </w:rPr>
        <w:t>一）以行贿谋取中标</w:t>
      </w:r>
      <w:r>
        <w:rPr>
          <w:spacing w:val="-28"/>
          <w:sz w:val="24"/>
          <w:szCs w:val="24"/>
        </w:rPr>
        <w:t>；（</w:t>
      </w:r>
      <w:r>
        <w:rPr>
          <w:spacing w:val="-1"/>
          <w:sz w:val="24"/>
          <w:szCs w:val="24"/>
        </w:rPr>
        <w:t>二） 3年内2次以上串通投标</w:t>
      </w:r>
      <w:r>
        <w:rPr>
          <w:spacing w:val="-28"/>
          <w:sz w:val="24"/>
          <w:szCs w:val="24"/>
        </w:rPr>
        <w:t>；（</w:t>
      </w:r>
      <w:r>
        <w:rPr>
          <w:spacing w:val="-1"/>
          <w:sz w:val="24"/>
          <w:szCs w:val="24"/>
        </w:rPr>
        <w:t>三）串通 投</w:t>
      </w:r>
      <w:r>
        <w:rPr>
          <w:spacing w:val="2"/>
          <w:sz w:val="24"/>
          <w:szCs w:val="24"/>
        </w:rPr>
        <w:t xml:space="preserve"> </w:t>
      </w:r>
      <w:r>
        <w:rPr>
          <w:spacing w:val="11"/>
          <w:sz w:val="24"/>
          <w:szCs w:val="24"/>
        </w:rPr>
        <w:t>标行为损害招标人、其他投标人或者国家、集体、公民的合法利益，造</w:t>
      </w:r>
      <w:r>
        <w:rPr>
          <w:spacing w:val="10"/>
          <w:sz w:val="24"/>
          <w:szCs w:val="24"/>
        </w:rPr>
        <w:t>成直接经济</w:t>
      </w:r>
      <w:r>
        <w:rPr>
          <w:sz w:val="24"/>
          <w:szCs w:val="24"/>
        </w:rPr>
        <w:t xml:space="preserve"> </w:t>
      </w:r>
      <w:r>
        <w:rPr>
          <w:spacing w:val="-1"/>
          <w:sz w:val="24"/>
          <w:szCs w:val="24"/>
        </w:rPr>
        <w:t>损失30万元以上</w:t>
      </w:r>
      <w:r>
        <w:rPr>
          <w:spacing w:val="-59"/>
          <w:w w:val="92"/>
          <w:sz w:val="24"/>
          <w:szCs w:val="24"/>
        </w:rPr>
        <w:t>；（</w:t>
      </w:r>
      <w:r>
        <w:rPr>
          <w:spacing w:val="-1"/>
          <w:sz w:val="24"/>
          <w:szCs w:val="24"/>
        </w:rPr>
        <w:t>四）其他串通投标情节严重的</w:t>
      </w:r>
      <w:r>
        <w:rPr>
          <w:spacing w:val="-2"/>
          <w:sz w:val="24"/>
          <w:szCs w:val="24"/>
        </w:rPr>
        <w:t>行为。凡有以上行为之一的，属于 情</w:t>
      </w:r>
      <w:r>
        <w:rPr>
          <w:spacing w:val="2"/>
          <w:sz w:val="24"/>
          <w:szCs w:val="24"/>
        </w:rPr>
        <w:t xml:space="preserve"> </w:t>
      </w:r>
      <w:r>
        <w:rPr>
          <w:spacing w:val="-3"/>
          <w:sz w:val="24"/>
          <w:szCs w:val="24"/>
        </w:rPr>
        <w:t>节严重行为，由有关行政监督部门取消其</w:t>
      </w:r>
      <w:r>
        <w:rPr>
          <w:spacing w:val="-36"/>
          <w:sz w:val="24"/>
          <w:szCs w:val="24"/>
        </w:rPr>
        <w:t xml:space="preserve"> </w:t>
      </w:r>
      <w:r>
        <w:rPr>
          <w:spacing w:val="-3"/>
          <w:sz w:val="24"/>
          <w:szCs w:val="24"/>
        </w:rPr>
        <w:t>1</w:t>
      </w:r>
      <w:r>
        <w:rPr>
          <w:spacing w:val="-50"/>
          <w:sz w:val="24"/>
          <w:szCs w:val="24"/>
        </w:rPr>
        <w:t xml:space="preserve"> </w:t>
      </w:r>
      <w:r>
        <w:rPr>
          <w:spacing w:val="-3"/>
          <w:sz w:val="24"/>
          <w:szCs w:val="24"/>
        </w:rPr>
        <w:t>年至</w:t>
      </w:r>
      <w:r>
        <w:rPr>
          <w:spacing w:val="-47"/>
          <w:sz w:val="24"/>
          <w:szCs w:val="24"/>
        </w:rPr>
        <w:t xml:space="preserve"> </w:t>
      </w:r>
      <w:r>
        <w:rPr>
          <w:spacing w:val="-3"/>
          <w:sz w:val="24"/>
          <w:szCs w:val="24"/>
        </w:rPr>
        <w:t>2</w:t>
      </w:r>
      <w:r>
        <w:rPr>
          <w:spacing w:val="-65"/>
          <w:sz w:val="24"/>
          <w:szCs w:val="24"/>
        </w:rPr>
        <w:t xml:space="preserve"> </w:t>
      </w:r>
      <w:r>
        <w:rPr>
          <w:spacing w:val="-3"/>
          <w:sz w:val="24"/>
          <w:szCs w:val="24"/>
        </w:rPr>
        <w:t>年内</w:t>
      </w:r>
      <w:r>
        <w:rPr>
          <w:spacing w:val="-4"/>
          <w:sz w:val="24"/>
          <w:szCs w:val="24"/>
        </w:rPr>
        <w:t>参加依法必须进行招标的项  目</w:t>
      </w:r>
      <w:r>
        <w:rPr>
          <w:sz w:val="24"/>
          <w:szCs w:val="24"/>
        </w:rPr>
        <w:t xml:space="preserve"> </w:t>
      </w:r>
      <w:r>
        <w:rPr>
          <w:spacing w:val="1"/>
          <w:sz w:val="24"/>
          <w:szCs w:val="24"/>
        </w:rPr>
        <w:t>的投标资格。投标人自以上行为规定的处罚执行期限届满之日起3年</w:t>
      </w:r>
      <w:r>
        <w:rPr>
          <w:sz w:val="24"/>
          <w:szCs w:val="24"/>
        </w:rPr>
        <w:t>内又有以上所  列 违法行为之一的，或者串通投标、以行贿谋取中标情节特别严重的，由工商行政管</w:t>
      </w:r>
    </w:p>
    <w:p w14:paraId="228965F8">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理机关吊销营业执照。</w:t>
      </w:r>
    </w:p>
    <w:p w14:paraId="40088EB5">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第六十八条规定，投标人以他人名义投标或者以其他方式弄虚作假骗取中标的， 中标无效；构成犯罪的，依法追究刑事责任；尚不构成犯罪的，依照招标投标法第五 十四条的规定处罚。依法必须进行招标的项目的投标人未中标的，对单位的罚款金额</w:t>
      </w:r>
      <w:r>
        <w:rPr>
          <w:spacing w:val="6"/>
          <w:sz w:val="24"/>
          <w:szCs w:val="24"/>
        </w:rPr>
        <w:t xml:space="preserve"> </w:t>
      </w:r>
      <w:r>
        <w:rPr>
          <w:spacing w:val="-3"/>
          <w:sz w:val="24"/>
          <w:szCs w:val="24"/>
        </w:rPr>
        <w:t>按照招标项目合同金额依照招标投标法规定的比例计算。</w:t>
      </w:r>
    </w:p>
    <w:p w14:paraId="17106AC9">
      <w:pPr>
        <w:pStyle w:val="9"/>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sz w:val="24"/>
          <w:szCs w:val="24"/>
        </w:rPr>
      </w:pPr>
      <w:r>
        <w:rPr>
          <w:spacing w:val="-6"/>
          <w:sz w:val="24"/>
          <w:szCs w:val="24"/>
        </w:rPr>
        <w:t>投标人</w:t>
      </w:r>
      <w:r>
        <w:rPr>
          <w:spacing w:val="-56"/>
          <w:sz w:val="24"/>
          <w:szCs w:val="24"/>
        </w:rPr>
        <w:t>：（</w:t>
      </w:r>
      <w:r>
        <w:rPr>
          <w:spacing w:val="-6"/>
          <w:sz w:val="24"/>
          <w:szCs w:val="24"/>
        </w:rPr>
        <w:t>一）伪造、变造资格、资质证书或者其他许可证件骗取中标</w:t>
      </w:r>
      <w:r>
        <w:rPr>
          <w:spacing w:val="-56"/>
          <w:sz w:val="24"/>
          <w:szCs w:val="24"/>
        </w:rPr>
        <w:t>；（</w:t>
      </w:r>
      <w:r>
        <w:rPr>
          <w:spacing w:val="-6"/>
          <w:sz w:val="24"/>
          <w:szCs w:val="24"/>
        </w:rPr>
        <w:t>二）</w:t>
      </w:r>
      <w:r>
        <w:rPr>
          <w:spacing w:val="-40"/>
          <w:sz w:val="24"/>
          <w:szCs w:val="24"/>
        </w:rPr>
        <w:t xml:space="preserve"> </w:t>
      </w:r>
      <w:r>
        <w:rPr>
          <w:spacing w:val="-6"/>
          <w:sz w:val="24"/>
          <w:szCs w:val="24"/>
        </w:rPr>
        <w:t>3 年</w:t>
      </w:r>
      <w:r>
        <w:rPr>
          <w:sz w:val="24"/>
          <w:szCs w:val="24"/>
        </w:rPr>
        <w:t xml:space="preserve"> </w:t>
      </w:r>
      <w:r>
        <w:rPr>
          <w:spacing w:val="2"/>
          <w:sz w:val="24"/>
          <w:szCs w:val="24"/>
        </w:rPr>
        <w:t>内2次以上使用他人名义投标</w:t>
      </w:r>
      <w:r>
        <w:rPr>
          <w:spacing w:val="-17"/>
          <w:sz w:val="24"/>
          <w:szCs w:val="24"/>
        </w:rPr>
        <w:t>；（</w:t>
      </w:r>
      <w:r>
        <w:rPr>
          <w:spacing w:val="2"/>
          <w:sz w:val="24"/>
          <w:szCs w:val="24"/>
        </w:rPr>
        <w:t>三）弄虚作假骗取中标给招标人造成直接经济损</w:t>
      </w:r>
    </w:p>
    <w:p w14:paraId="0846A177">
      <w:pPr>
        <w:pStyle w:val="9"/>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sz w:val="24"/>
          <w:szCs w:val="24"/>
        </w:rPr>
      </w:pPr>
      <w:r>
        <w:rPr>
          <w:spacing w:val="2"/>
          <w:sz w:val="24"/>
          <w:szCs w:val="24"/>
        </w:rPr>
        <w:t>失30万元以上</w:t>
      </w:r>
      <w:r>
        <w:rPr>
          <w:spacing w:val="-1"/>
          <w:sz w:val="24"/>
          <w:szCs w:val="24"/>
        </w:rPr>
        <w:t>；（</w:t>
      </w:r>
      <w:r>
        <w:rPr>
          <w:spacing w:val="2"/>
          <w:sz w:val="24"/>
          <w:szCs w:val="24"/>
        </w:rPr>
        <w:t>四）其他弄虚作假骗取中标情节严重</w:t>
      </w:r>
      <w:r>
        <w:rPr>
          <w:spacing w:val="1"/>
          <w:sz w:val="24"/>
          <w:szCs w:val="24"/>
        </w:rPr>
        <w:t>的行为。凡有以上行为之一</w:t>
      </w:r>
      <w:r>
        <w:rPr>
          <w:sz w:val="24"/>
          <w:szCs w:val="24"/>
        </w:rPr>
        <w:t xml:space="preserve">  的，属于招标投标法第五十四条规定的情节严重行为，由有关行政监督部门取消其 1 </w:t>
      </w:r>
      <w:r>
        <w:rPr>
          <w:spacing w:val="-1"/>
          <w:sz w:val="24"/>
          <w:szCs w:val="24"/>
        </w:rPr>
        <w:t>年至 3</w:t>
      </w:r>
      <w:r>
        <w:rPr>
          <w:spacing w:val="-34"/>
          <w:sz w:val="24"/>
          <w:szCs w:val="24"/>
        </w:rPr>
        <w:t xml:space="preserve"> </w:t>
      </w:r>
      <w:r>
        <w:rPr>
          <w:spacing w:val="-1"/>
          <w:sz w:val="24"/>
          <w:szCs w:val="24"/>
        </w:rPr>
        <w:t>年内参加依法必须进行招标的项目的投标</w:t>
      </w:r>
      <w:r>
        <w:rPr>
          <w:spacing w:val="-2"/>
          <w:sz w:val="24"/>
          <w:szCs w:val="24"/>
        </w:rPr>
        <w:t>资格。投标人自以上行为规定的处罚</w:t>
      </w:r>
      <w:r>
        <w:rPr>
          <w:sz w:val="24"/>
          <w:szCs w:val="24"/>
        </w:rPr>
        <w:t xml:space="preserve"> </w:t>
      </w:r>
      <w:r>
        <w:rPr>
          <w:spacing w:val="2"/>
          <w:sz w:val="24"/>
          <w:szCs w:val="24"/>
        </w:rPr>
        <w:t>执行期限届满之日起3年内又有该款所列违法行为之一的，</w:t>
      </w:r>
      <w:r>
        <w:rPr>
          <w:spacing w:val="1"/>
          <w:sz w:val="24"/>
          <w:szCs w:val="24"/>
        </w:rPr>
        <w:t>或者弄虚作假骗取中标情</w:t>
      </w:r>
      <w:r>
        <w:rPr>
          <w:sz w:val="24"/>
          <w:szCs w:val="24"/>
        </w:rPr>
        <w:t xml:space="preserve"> </w:t>
      </w:r>
      <w:r>
        <w:rPr>
          <w:spacing w:val="-2"/>
          <w:sz w:val="24"/>
          <w:szCs w:val="24"/>
        </w:rPr>
        <w:t>节特别严重的，由工商行政管理机关吊销营业执照。</w:t>
      </w:r>
    </w:p>
    <w:p w14:paraId="7AD0ED28">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第六十九条规定：出让或者出租资格、资质证书供他人投标的，依照法律、行政</w:t>
      </w:r>
      <w:r>
        <w:rPr>
          <w:spacing w:val="6"/>
          <w:sz w:val="24"/>
          <w:szCs w:val="24"/>
        </w:rPr>
        <w:t xml:space="preserve"> </w:t>
      </w:r>
      <w:r>
        <w:rPr>
          <w:spacing w:val="-1"/>
          <w:sz w:val="24"/>
          <w:szCs w:val="24"/>
        </w:rPr>
        <w:t>法规的规定给予行政处罚；构成犯罪的，依法追究刑事责</w:t>
      </w:r>
      <w:r>
        <w:rPr>
          <w:spacing w:val="-2"/>
          <w:sz w:val="24"/>
          <w:szCs w:val="24"/>
        </w:rPr>
        <w:t>任。</w:t>
      </w:r>
    </w:p>
    <w:p w14:paraId="494B39FC">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outlineLvl w:val="0"/>
        <w:rPr>
          <w:sz w:val="24"/>
          <w:szCs w:val="24"/>
        </w:rPr>
      </w:pPr>
      <w:r>
        <w:rPr>
          <w:sz w:val="24"/>
          <w:szCs w:val="24"/>
        </w:rPr>
        <w:t>二、《中华人民共和国刑法》有关招投标处罚规定</w:t>
      </w:r>
    </w:p>
    <w:p w14:paraId="770C259A">
      <w:pPr>
        <w:pStyle w:val="9"/>
        <w:pageBreakBefore w:val="0"/>
        <w:widowControl w:val="0"/>
        <w:kinsoku/>
        <w:wordWrap/>
        <w:overflowPunct/>
        <w:topLinePunct w:val="0"/>
        <w:autoSpaceDE/>
        <w:autoSpaceDN/>
        <w:bidi w:val="0"/>
        <w:adjustRightInd/>
        <w:snapToGrid/>
        <w:spacing w:after="0" w:line="360" w:lineRule="auto"/>
        <w:ind w:left="0" w:right="0" w:firstLine="452" w:firstLineChars="200"/>
        <w:textAlignment w:val="auto"/>
        <w:rPr>
          <w:sz w:val="24"/>
          <w:szCs w:val="24"/>
        </w:rPr>
      </w:pPr>
      <w:r>
        <w:rPr>
          <w:spacing w:val="-7"/>
          <w:sz w:val="24"/>
          <w:szCs w:val="24"/>
        </w:rPr>
        <w:t>第二百二十三条规定，</w:t>
      </w:r>
      <w:r>
        <w:rPr>
          <w:spacing w:val="59"/>
          <w:sz w:val="24"/>
          <w:szCs w:val="24"/>
        </w:rPr>
        <w:t xml:space="preserve"> </w:t>
      </w:r>
      <w:r>
        <w:rPr>
          <w:spacing w:val="-7"/>
          <w:sz w:val="24"/>
          <w:szCs w:val="24"/>
        </w:rPr>
        <w:t>〔串通投标罪〕投标人</w:t>
      </w:r>
      <w:r>
        <w:rPr>
          <w:spacing w:val="-8"/>
          <w:sz w:val="24"/>
          <w:szCs w:val="24"/>
        </w:rPr>
        <w:t>相互串通投标报价，损害招标人或</w:t>
      </w:r>
      <w:r>
        <w:rPr>
          <w:sz w:val="24"/>
          <w:szCs w:val="24"/>
        </w:rPr>
        <w:t xml:space="preserve"> 者其他投标人利益，情节严重的，处三年以下有期徒刑或者拘役，并处或者单处罚</w:t>
      </w:r>
    </w:p>
    <w:p w14:paraId="515C2CD6">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金。投标人与招标人串通投标，损害国家、集体、公民的合法利益的，依照前款的规</w:t>
      </w:r>
      <w:r>
        <w:rPr>
          <w:spacing w:val="1"/>
          <w:sz w:val="24"/>
          <w:szCs w:val="24"/>
        </w:rPr>
        <w:t xml:space="preserve"> </w:t>
      </w:r>
      <w:r>
        <w:rPr>
          <w:spacing w:val="-27"/>
          <w:sz w:val="24"/>
          <w:szCs w:val="24"/>
        </w:rPr>
        <w:t>定处罚。</w:t>
      </w:r>
    </w:p>
    <w:p w14:paraId="014E915D">
      <w:pPr>
        <w:pStyle w:val="9"/>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outlineLvl w:val="0"/>
        <w:rPr>
          <w:sz w:val="24"/>
          <w:szCs w:val="24"/>
        </w:rPr>
      </w:pPr>
      <w:r>
        <w:rPr>
          <w:spacing w:val="3"/>
          <w:sz w:val="24"/>
          <w:szCs w:val="24"/>
        </w:rPr>
        <w:t>三、《最高人民检察院公安部关于经济犯罪案件追诉标准的规定》涉及招投标</w:t>
      </w:r>
      <w:r>
        <w:rPr>
          <w:spacing w:val="2"/>
          <w:sz w:val="24"/>
          <w:szCs w:val="24"/>
        </w:rPr>
        <w:t>处理事</w:t>
      </w:r>
    </w:p>
    <w:p w14:paraId="1CC26082">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项</w:t>
      </w:r>
    </w:p>
    <w:p w14:paraId="35AE0039">
      <w:pPr>
        <w:pStyle w:val="9"/>
        <w:pageBreakBefore w:val="0"/>
        <w:widowControl w:val="0"/>
        <w:kinsoku/>
        <w:wordWrap/>
        <w:overflowPunct/>
        <w:topLinePunct w:val="0"/>
        <w:autoSpaceDE/>
        <w:autoSpaceDN/>
        <w:bidi w:val="0"/>
        <w:adjustRightInd/>
        <w:snapToGrid/>
        <w:spacing w:after="0" w:line="360" w:lineRule="auto"/>
        <w:ind w:left="0" w:right="0" w:firstLine="484" w:firstLineChars="200"/>
        <w:textAlignment w:val="auto"/>
        <w:rPr>
          <w:sz w:val="24"/>
          <w:szCs w:val="24"/>
        </w:rPr>
      </w:pPr>
      <w:r>
        <w:rPr>
          <w:spacing w:val="1"/>
          <w:sz w:val="24"/>
          <w:szCs w:val="24"/>
        </w:rPr>
        <w:t>第六十八条规定，投标人相互串通投标报价，或者投标人与招标人串通投标，涉</w:t>
      </w:r>
      <w:r>
        <w:rPr>
          <w:spacing w:val="14"/>
          <w:sz w:val="24"/>
          <w:szCs w:val="24"/>
        </w:rPr>
        <w:t xml:space="preserve"> </w:t>
      </w:r>
      <w:r>
        <w:rPr>
          <w:spacing w:val="-4"/>
          <w:sz w:val="24"/>
          <w:szCs w:val="24"/>
        </w:rPr>
        <w:t>嫌下列情形之一的，应予追诉：</w:t>
      </w:r>
    </w:p>
    <w:p w14:paraId="3379706F">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1、损害招标人、投标人或者国家、集体、公民的合法利益，造成的直接经</w:t>
      </w:r>
      <w:r>
        <w:rPr>
          <w:spacing w:val="-2"/>
          <w:sz w:val="24"/>
          <w:szCs w:val="24"/>
        </w:rPr>
        <w:t>济损失</w:t>
      </w:r>
      <w:r>
        <w:rPr>
          <w:sz w:val="24"/>
          <w:szCs w:val="24"/>
        </w:rPr>
        <w:t xml:space="preserve"> </w:t>
      </w:r>
      <w:r>
        <w:rPr>
          <w:spacing w:val="-7"/>
          <w:sz w:val="24"/>
          <w:szCs w:val="24"/>
        </w:rPr>
        <w:t>数额在五十万元以上的；</w:t>
      </w:r>
    </w:p>
    <w:p w14:paraId="6C8BE9A3">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2、对其他投标人、招标人等投标招标活动的参加人采取威胁、欺骗等非法</w:t>
      </w:r>
      <w:r>
        <w:rPr>
          <w:spacing w:val="-1"/>
          <w:sz w:val="24"/>
          <w:szCs w:val="24"/>
        </w:rPr>
        <w:t>手段</w:t>
      </w:r>
      <w:r>
        <w:rPr>
          <w:sz w:val="24"/>
          <w:szCs w:val="24"/>
        </w:rPr>
        <w:t xml:space="preserve"> </w:t>
      </w:r>
      <w:r>
        <w:rPr>
          <w:spacing w:val="-29"/>
          <w:sz w:val="24"/>
          <w:szCs w:val="24"/>
        </w:rPr>
        <w:t>的；</w:t>
      </w:r>
    </w:p>
    <w:p w14:paraId="41DAE402">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3、虽未达到上述数额标准，但因串通投标，受过行政处罚二次以上，又</w:t>
      </w:r>
      <w:r>
        <w:rPr>
          <w:spacing w:val="-1"/>
          <w:sz w:val="24"/>
          <w:szCs w:val="24"/>
        </w:rPr>
        <w:t>串通投标</w:t>
      </w:r>
      <w:r>
        <w:rPr>
          <w:sz w:val="24"/>
          <w:szCs w:val="24"/>
        </w:rPr>
        <w:t xml:space="preserve"> </w:t>
      </w:r>
      <w:r>
        <w:rPr>
          <w:spacing w:val="-24"/>
          <w:sz w:val="24"/>
          <w:szCs w:val="24"/>
        </w:rPr>
        <w:t>的。</w:t>
      </w:r>
    </w:p>
    <w:p w14:paraId="0CB42747">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outlineLvl w:val="0"/>
        <w:rPr>
          <w:sz w:val="24"/>
          <w:szCs w:val="24"/>
        </w:rPr>
      </w:pPr>
      <w:r>
        <w:rPr>
          <w:sz w:val="24"/>
          <w:szCs w:val="24"/>
        </w:rPr>
        <w:t>四、《中华人民共和国审计法实施条例》涉及招投标事项</w:t>
      </w:r>
    </w:p>
    <w:p w14:paraId="133345F3">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第二十条规定，</w:t>
      </w:r>
      <w:r>
        <w:rPr>
          <w:spacing w:val="-53"/>
          <w:sz w:val="24"/>
          <w:szCs w:val="24"/>
        </w:rPr>
        <w:t xml:space="preserve"> </w:t>
      </w:r>
      <w:r>
        <w:rPr>
          <w:spacing w:val="-1"/>
          <w:sz w:val="24"/>
          <w:szCs w:val="24"/>
        </w:rPr>
        <w:t>政府投资和以政府投资为主的建设项目，审计机关依法进行审计</w:t>
      </w:r>
    </w:p>
    <w:p w14:paraId="3F2234C6">
      <w:pPr>
        <w:pStyle w:val="9"/>
        <w:pageBreakBefore w:val="0"/>
        <w:widowControl w:val="0"/>
        <w:kinsoku/>
        <w:wordWrap/>
        <w:overflowPunct/>
        <w:topLinePunct w:val="0"/>
        <w:autoSpaceDE/>
        <w:autoSpaceDN/>
        <w:bidi w:val="0"/>
        <w:adjustRightInd/>
        <w:snapToGrid/>
        <w:spacing w:after="0" w:line="360" w:lineRule="auto"/>
        <w:ind w:left="0" w:right="0" w:firstLine="384" w:firstLineChars="200"/>
        <w:textAlignment w:val="auto"/>
        <w:rPr>
          <w:sz w:val="24"/>
          <w:szCs w:val="24"/>
        </w:rPr>
      </w:pPr>
      <w:r>
        <w:rPr>
          <w:spacing w:val="-24"/>
          <w:sz w:val="24"/>
          <w:szCs w:val="24"/>
        </w:rPr>
        <w:t>监督。</w:t>
      </w:r>
    </w:p>
    <w:p w14:paraId="52128A10">
      <w:pPr>
        <w:pStyle w:val="9"/>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sz w:val="24"/>
          <w:szCs w:val="24"/>
        </w:rPr>
      </w:pPr>
      <w:r>
        <w:rPr>
          <w:sz w:val="24"/>
          <w:szCs w:val="24"/>
        </w:rPr>
        <w:t>第四十条规定，</w:t>
      </w:r>
      <w:r>
        <w:rPr>
          <w:spacing w:val="-37"/>
          <w:sz w:val="24"/>
          <w:szCs w:val="24"/>
        </w:rPr>
        <w:t xml:space="preserve"> </w:t>
      </w:r>
      <w:r>
        <w:rPr>
          <w:sz w:val="24"/>
          <w:szCs w:val="24"/>
        </w:rPr>
        <w:t>对依法应当追究有关人员责任的，向有关主管机关</w:t>
      </w:r>
      <w:r>
        <w:rPr>
          <w:spacing w:val="-1"/>
          <w:sz w:val="24"/>
          <w:szCs w:val="24"/>
        </w:rPr>
        <w:t>、单位提出给</w:t>
      </w:r>
      <w:r>
        <w:rPr>
          <w:sz w:val="24"/>
          <w:szCs w:val="24"/>
        </w:rPr>
        <w:t xml:space="preserve"> 予处分的建议；对依法应当由有关主管机关处理、处罚的，移送有关主管机关；涉嫌</w:t>
      </w:r>
      <w:r>
        <w:rPr>
          <w:spacing w:val="-5"/>
          <w:sz w:val="24"/>
          <w:szCs w:val="24"/>
        </w:rPr>
        <w:t>犯罪的，移送司法机关。</w:t>
      </w:r>
    </w:p>
    <w:p w14:paraId="6C5E02B1">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outlineLvl w:val="0"/>
        <w:rPr>
          <w:sz w:val="24"/>
          <w:szCs w:val="24"/>
        </w:rPr>
      </w:pPr>
      <w:r>
        <w:rPr>
          <w:spacing w:val="-1"/>
          <w:sz w:val="24"/>
          <w:szCs w:val="24"/>
        </w:rPr>
        <w:t>五、全国“扫黑除恶</w:t>
      </w:r>
      <w:r>
        <w:rPr>
          <w:spacing w:val="-89"/>
          <w:sz w:val="24"/>
          <w:szCs w:val="24"/>
        </w:rPr>
        <w:t xml:space="preserve"> </w:t>
      </w:r>
      <w:r>
        <w:rPr>
          <w:spacing w:val="-1"/>
          <w:sz w:val="24"/>
          <w:szCs w:val="24"/>
        </w:rPr>
        <w:t>”专项斗争涉及招投标</w:t>
      </w:r>
      <w:r>
        <w:rPr>
          <w:spacing w:val="-2"/>
          <w:sz w:val="24"/>
          <w:szCs w:val="24"/>
        </w:rPr>
        <w:t>工作</w:t>
      </w:r>
    </w:p>
    <w:p w14:paraId="28C263B2">
      <w:pPr>
        <w:pStyle w:val="9"/>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sz w:val="24"/>
          <w:szCs w:val="24"/>
        </w:rPr>
      </w:pPr>
      <w:r>
        <w:rPr>
          <w:sz w:val="24"/>
          <w:szCs w:val="24"/>
        </w:rPr>
        <w:t>根据中共中央、国务院《关于开展扫黑除恶专项斗争的通知》精神，扫黑除恶专</w:t>
      </w:r>
      <w:r>
        <w:rPr>
          <w:spacing w:val="6"/>
          <w:sz w:val="24"/>
          <w:szCs w:val="24"/>
        </w:rPr>
        <w:t xml:space="preserve"> </w:t>
      </w:r>
      <w:r>
        <w:rPr>
          <w:sz w:val="24"/>
          <w:szCs w:val="24"/>
        </w:rPr>
        <w:t>项斗争打击的重点包括在建筑工程行业强揽工程、恶意竞标的黑恶势力。对有组织地</w:t>
      </w:r>
      <w:r>
        <w:rPr>
          <w:spacing w:val="6"/>
          <w:sz w:val="24"/>
          <w:szCs w:val="24"/>
        </w:rPr>
        <w:t xml:space="preserve"> </w:t>
      </w:r>
      <w:r>
        <w:rPr>
          <w:sz w:val="24"/>
          <w:szCs w:val="24"/>
        </w:rPr>
        <w:t>恶意围标串标、强揽工程项目、强行推荐设计、施工、监理队伍、强行肢解分包工程</w:t>
      </w:r>
      <w:r>
        <w:rPr>
          <w:spacing w:val="3"/>
          <w:sz w:val="24"/>
          <w:szCs w:val="24"/>
        </w:rPr>
        <w:t xml:space="preserve"> </w:t>
      </w:r>
      <w:r>
        <w:rPr>
          <w:sz w:val="24"/>
          <w:szCs w:val="24"/>
        </w:rPr>
        <w:t>的，招投标等行政监督部门需将问题线索提交市</w:t>
      </w:r>
      <w:r>
        <w:rPr>
          <w:spacing w:val="-1"/>
          <w:sz w:val="24"/>
          <w:szCs w:val="24"/>
        </w:rPr>
        <w:t>扫黑除恶专项斗争办公室进行查处。</w:t>
      </w:r>
    </w:p>
    <w:p w14:paraId="6ED91C79">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6747453B">
      <w:pPr>
        <w:rPr>
          <w:spacing w:val="28"/>
          <w:sz w:val="24"/>
          <w:szCs w:val="24"/>
        </w:rPr>
      </w:pPr>
      <w:r>
        <w:rPr>
          <w:spacing w:val="28"/>
          <w:sz w:val="24"/>
          <w:szCs w:val="24"/>
        </w:rPr>
        <w:br w:type="page"/>
      </w:r>
    </w:p>
    <w:p w14:paraId="368ED2D0">
      <w:pPr>
        <w:pStyle w:val="9"/>
        <w:pageBreakBefore w:val="0"/>
        <w:widowControl w:val="0"/>
        <w:kinsoku/>
        <w:wordWrap/>
        <w:overflowPunct/>
        <w:topLinePunct w:val="0"/>
        <w:autoSpaceDE/>
        <w:autoSpaceDN/>
        <w:bidi w:val="0"/>
        <w:adjustRightInd/>
        <w:snapToGrid/>
        <w:spacing w:after="0" w:line="360" w:lineRule="auto"/>
        <w:ind w:left="0" w:right="0" w:firstLine="592" w:firstLineChars="200"/>
        <w:jc w:val="center"/>
        <w:textAlignment w:val="auto"/>
        <w:rPr>
          <w:sz w:val="24"/>
          <w:szCs w:val="24"/>
        </w:rPr>
      </w:pPr>
      <w:r>
        <w:rPr>
          <w:spacing w:val="28"/>
          <w:sz w:val="24"/>
          <w:szCs w:val="24"/>
        </w:rPr>
        <w:t>河南省政府采购合同融资政策告知函</w:t>
      </w:r>
    </w:p>
    <w:p w14:paraId="403BC7F6">
      <w:pPr>
        <w:pStyle w:val="9"/>
        <w:pageBreakBefore w:val="0"/>
        <w:widowControl w:val="0"/>
        <w:kinsoku/>
        <w:wordWrap/>
        <w:overflowPunct/>
        <w:topLinePunct w:val="0"/>
        <w:autoSpaceDE/>
        <w:autoSpaceDN/>
        <w:bidi w:val="0"/>
        <w:adjustRightInd/>
        <w:snapToGrid/>
        <w:spacing w:after="0" w:line="360" w:lineRule="auto"/>
        <w:ind w:left="0" w:right="0" w:firstLine="358" w:firstLineChars="200"/>
        <w:textAlignment w:val="auto"/>
        <w:rPr>
          <w:sz w:val="24"/>
          <w:szCs w:val="24"/>
        </w:rPr>
      </w:pPr>
      <w:r>
        <w:rPr>
          <w:spacing w:val="-29"/>
          <w:w w:val="99"/>
          <w:sz w:val="24"/>
          <w:szCs w:val="24"/>
        </w:rPr>
        <w:t>各供应商：</w:t>
      </w:r>
    </w:p>
    <w:p w14:paraId="33456C24">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欢迎贵公司参与河南省政府采购活动！</w:t>
      </w:r>
    </w:p>
    <w:p w14:paraId="3EF281BA">
      <w:pPr>
        <w:pStyle w:val="9"/>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sz w:val="24"/>
          <w:szCs w:val="24"/>
        </w:rPr>
      </w:pPr>
      <w:r>
        <w:rPr>
          <w:spacing w:val="13"/>
          <w:sz w:val="24"/>
          <w:szCs w:val="24"/>
        </w:rPr>
        <w:t>政府采购合同融资是河南省财政厅支持中小微企业发展，针对参</w:t>
      </w:r>
      <w:r>
        <w:rPr>
          <w:spacing w:val="12"/>
          <w:sz w:val="24"/>
          <w:szCs w:val="24"/>
        </w:rPr>
        <w:t>与政府采购活</w:t>
      </w:r>
      <w:r>
        <w:rPr>
          <w:sz w:val="24"/>
          <w:szCs w:val="24"/>
        </w:rPr>
        <w:t xml:space="preserve"> </w:t>
      </w:r>
      <w:r>
        <w:rPr>
          <w:spacing w:val="12"/>
          <w:sz w:val="24"/>
          <w:szCs w:val="24"/>
        </w:rPr>
        <w:t>动</w:t>
      </w:r>
      <w:r>
        <w:rPr>
          <w:spacing w:val="44"/>
          <w:sz w:val="24"/>
          <w:szCs w:val="24"/>
        </w:rPr>
        <w:t xml:space="preserve"> </w:t>
      </w:r>
      <w:r>
        <w:rPr>
          <w:spacing w:val="12"/>
          <w:sz w:val="24"/>
          <w:szCs w:val="24"/>
        </w:rPr>
        <w:t>的供应商融资难、融资贵问题推出的一项融资政策</w:t>
      </w:r>
      <w:r>
        <w:rPr>
          <w:spacing w:val="-56"/>
          <w:sz w:val="24"/>
          <w:szCs w:val="24"/>
        </w:rPr>
        <w:t xml:space="preserve"> </w:t>
      </w:r>
      <w:r>
        <w:rPr>
          <w:spacing w:val="12"/>
          <w:sz w:val="24"/>
          <w:szCs w:val="24"/>
        </w:rPr>
        <w:t>。贵公司若成为</w:t>
      </w:r>
      <w:r>
        <w:rPr>
          <w:spacing w:val="11"/>
          <w:sz w:val="24"/>
          <w:szCs w:val="24"/>
        </w:rPr>
        <w:t>本次政府采</w:t>
      </w:r>
      <w:r>
        <w:rPr>
          <w:sz w:val="24"/>
          <w:szCs w:val="24"/>
        </w:rPr>
        <w:t xml:space="preserve"> </w:t>
      </w:r>
      <w:r>
        <w:rPr>
          <w:spacing w:val="3"/>
          <w:sz w:val="24"/>
          <w:szCs w:val="24"/>
        </w:rPr>
        <w:t>购项目</w:t>
      </w:r>
      <w:r>
        <w:rPr>
          <w:spacing w:val="60"/>
          <w:sz w:val="24"/>
          <w:szCs w:val="24"/>
        </w:rPr>
        <w:t xml:space="preserve"> </w:t>
      </w:r>
      <w:r>
        <w:rPr>
          <w:spacing w:val="3"/>
          <w:sz w:val="24"/>
          <w:szCs w:val="24"/>
        </w:rPr>
        <w:t>的中标成交供应商，可持政府采购合同向金融机构申请贷款， 无需抵押、担</w:t>
      </w:r>
      <w:r>
        <w:rPr>
          <w:sz w:val="24"/>
          <w:szCs w:val="24"/>
        </w:rPr>
        <w:t xml:space="preserve"> </w:t>
      </w:r>
      <w:r>
        <w:rPr>
          <w:spacing w:val="-1"/>
          <w:sz w:val="24"/>
          <w:szCs w:val="24"/>
        </w:rPr>
        <w:t>保， 融资 机构将根据《河南省政府采购合同融资工作实</w:t>
      </w:r>
      <w:r>
        <w:rPr>
          <w:spacing w:val="-2"/>
          <w:sz w:val="24"/>
          <w:szCs w:val="24"/>
        </w:rPr>
        <w:t>施方案》（豫财购〔2017〕10</w:t>
      </w:r>
      <w:r>
        <w:rPr>
          <w:sz w:val="24"/>
          <w:szCs w:val="24"/>
        </w:rPr>
        <w:t xml:space="preserve"> </w:t>
      </w:r>
      <w:r>
        <w:rPr>
          <w:spacing w:val="-4"/>
          <w:sz w:val="24"/>
          <w:szCs w:val="24"/>
        </w:rPr>
        <w:t>号</w:t>
      </w:r>
      <w:r>
        <w:rPr>
          <w:spacing w:val="5"/>
          <w:sz w:val="24"/>
          <w:szCs w:val="24"/>
        </w:rPr>
        <w:t>），</w:t>
      </w:r>
      <w:r>
        <w:rPr>
          <w:spacing w:val="-4"/>
          <w:sz w:val="24"/>
          <w:szCs w:val="24"/>
        </w:rPr>
        <w:t>按</w:t>
      </w:r>
    </w:p>
    <w:p w14:paraId="6282930A">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照双方自愿的原则提供便捷、优惠的贷款服务。</w:t>
      </w:r>
    </w:p>
    <w:p w14:paraId="71FFB3AC">
      <w:pPr>
        <w:pStyle w:val="9"/>
        <w:pageBreakBefore w:val="0"/>
        <w:widowControl w:val="0"/>
        <w:kinsoku/>
        <w:wordWrap/>
        <w:overflowPunct/>
        <w:topLinePunct w:val="0"/>
        <w:autoSpaceDE/>
        <w:autoSpaceDN/>
        <w:bidi w:val="0"/>
        <w:adjustRightInd/>
        <w:snapToGrid/>
        <w:spacing w:after="0" w:line="360" w:lineRule="auto"/>
        <w:ind w:left="0" w:right="0" w:firstLine="480" w:firstLineChars="200"/>
        <w:jc w:val="right"/>
        <w:textAlignment w:val="auto"/>
        <w:rPr>
          <w:sz w:val="24"/>
          <w:szCs w:val="24"/>
        </w:rPr>
      </w:pPr>
      <w:r>
        <w:rPr>
          <w:sz w:val="24"/>
          <w:szCs w:val="24"/>
        </w:rPr>
        <w:t>贷款渠道和提供贷款的金融机构，</w:t>
      </w:r>
      <w:r>
        <w:rPr>
          <w:spacing w:val="77"/>
          <w:sz w:val="24"/>
          <w:szCs w:val="24"/>
        </w:rPr>
        <w:t xml:space="preserve"> </w:t>
      </w:r>
      <w:r>
        <w:rPr>
          <w:sz w:val="24"/>
          <w:szCs w:val="24"/>
        </w:rPr>
        <w:t>可在河南省政府采购网“河南省政府采购合同</w:t>
      </w:r>
    </w:p>
    <w:p w14:paraId="783729F5">
      <w:pPr>
        <w:pStyle w:val="9"/>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sz w:val="24"/>
          <w:szCs w:val="24"/>
        </w:rPr>
      </w:pPr>
      <w:r>
        <w:rPr>
          <w:spacing w:val="-8"/>
          <w:sz w:val="24"/>
          <w:szCs w:val="24"/>
        </w:rPr>
        <w:t>融资入口</w:t>
      </w:r>
      <w:r>
        <w:rPr>
          <w:spacing w:val="-84"/>
          <w:sz w:val="24"/>
          <w:szCs w:val="24"/>
        </w:rPr>
        <w:t xml:space="preserve"> </w:t>
      </w:r>
      <w:r>
        <w:rPr>
          <w:spacing w:val="-8"/>
          <w:sz w:val="24"/>
          <w:szCs w:val="24"/>
        </w:rPr>
        <w:t>”查询联系。</w:t>
      </w:r>
    </w:p>
    <w:p w14:paraId="47E98627">
      <w:pPr>
        <w:pStyle w:val="9"/>
        <w:pageBreakBefore w:val="0"/>
        <w:widowControl w:val="0"/>
        <w:kinsoku/>
        <w:wordWrap/>
        <w:overflowPunct/>
        <w:topLinePunct w:val="0"/>
        <w:autoSpaceDE/>
        <w:autoSpaceDN/>
        <w:bidi w:val="0"/>
        <w:adjustRightInd/>
        <w:snapToGrid/>
        <w:spacing w:after="0" w:line="360" w:lineRule="auto"/>
        <w:ind w:right="0"/>
        <w:jc w:val="center"/>
        <w:textAlignment w:val="auto"/>
        <w:rPr>
          <w:spacing w:val="27"/>
          <w:sz w:val="24"/>
          <w:szCs w:val="24"/>
        </w:rPr>
      </w:pPr>
    </w:p>
    <w:p w14:paraId="4D2C24C6">
      <w:pPr>
        <w:pStyle w:val="9"/>
        <w:pageBreakBefore w:val="0"/>
        <w:widowControl w:val="0"/>
        <w:kinsoku/>
        <w:wordWrap/>
        <w:overflowPunct/>
        <w:topLinePunct w:val="0"/>
        <w:autoSpaceDE/>
        <w:autoSpaceDN/>
        <w:bidi w:val="0"/>
        <w:adjustRightInd/>
        <w:snapToGrid/>
        <w:spacing w:after="0" w:line="360" w:lineRule="auto"/>
        <w:ind w:right="0"/>
        <w:jc w:val="center"/>
        <w:textAlignment w:val="auto"/>
        <w:rPr>
          <w:spacing w:val="27"/>
          <w:sz w:val="24"/>
          <w:szCs w:val="24"/>
        </w:rPr>
      </w:pPr>
    </w:p>
    <w:p w14:paraId="53849CB3">
      <w:pPr>
        <w:pStyle w:val="9"/>
        <w:pageBreakBefore w:val="0"/>
        <w:widowControl w:val="0"/>
        <w:kinsoku/>
        <w:wordWrap/>
        <w:overflowPunct/>
        <w:topLinePunct w:val="0"/>
        <w:autoSpaceDE/>
        <w:autoSpaceDN/>
        <w:bidi w:val="0"/>
        <w:adjustRightInd/>
        <w:snapToGrid/>
        <w:spacing w:after="0" w:line="360" w:lineRule="auto"/>
        <w:ind w:right="0"/>
        <w:jc w:val="center"/>
        <w:textAlignment w:val="auto"/>
        <w:rPr>
          <w:spacing w:val="27"/>
          <w:sz w:val="24"/>
          <w:szCs w:val="24"/>
        </w:rPr>
      </w:pPr>
    </w:p>
    <w:p w14:paraId="3F1408E2">
      <w:pPr>
        <w:pStyle w:val="9"/>
        <w:pageBreakBefore w:val="0"/>
        <w:widowControl w:val="0"/>
        <w:kinsoku/>
        <w:wordWrap/>
        <w:overflowPunct/>
        <w:topLinePunct w:val="0"/>
        <w:autoSpaceDE/>
        <w:autoSpaceDN/>
        <w:bidi w:val="0"/>
        <w:adjustRightInd/>
        <w:snapToGrid/>
        <w:spacing w:after="0" w:line="360" w:lineRule="auto"/>
        <w:ind w:right="0"/>
        <w:jc w:val="center"/>
        <w:textAlignment w:val="auto"/>
        <w:rPr>
          <w:sz w:val="24"/>
          <w:szCs w:val="24"/>
        </w:rPr>
      </w:pPr>
      <w:r>
        <w:rPr>
          <w:spacing w:val="27"/>
          <w:sz w:val="24"/>
          <w:szCs w:val="24"/>
        </w:rPr>
        <w:t>伊川县政府采购合同融资政策告知函</w:t>
      </w:r>
    </w:p>
    <w:p w14:paraId="1D3613DC">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0780CC8C">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515613FA">
      <w:pPr>
        <w:pStyle w:val="9"/>
        <w:pageBreakBefore w:val="0"/>
        <w:widowControl w:val="0"/>
        <w:kinsoku/>
        <w:wordWrap/>
        <w:overflowPunct/>
        <w:topLinePunct w:val="0"/>
        <w:autoSpaceDE/>
        <w:autoSpaceDN/>
        <w:bidi w:val="0"/>
        <w:adjustRightInd/>
        <w:snapToGrid/>
        <w:spacing w:after="0" w:line="360" w:lineRule="auto"/>
        <w:ind w:left="0" w:right="0" w:firstLine="358" w:firstLineChars="200"/>
        <w:textAlignment w:val="auto"/>
        <w:rPr>
          <w:sz w:val="24"/>
          <w:szCs w:val="24"/>
        </w:rPr>
      </w:pPr>
      <w:r>
        <w:rPr>
          <w:spacing w:val="-29"/>
          <w:w w:val="99"/>
          <w:sz w:val="24"/>
          <w:szCs w:val="24"/>
        </w:rPr>
        <w:t>各供应商：</w:t>
      </w:r>
    </w:p>
    <w:p w14:paraId="77D2791D">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欢迎贵公司参与伊川县政府采购活动！</w:t>
      </w:r>
    </w:p>
    <w:p w14:paraId="01EDE964">
      <w:pPr>
        <w:pStyle w:val="9"/>
        <w:pageBreakBefore w:val="0"/>
        <w:widowControl w:val="0"/>
        <w:kinsoku/>
        <w:wordWrap/>
        <w:overflowPunct/>
        <w:topLinePunct w:val="0"/>
        <w:autoSpaceDE/>
        <w:autoSpaceDN/>
        <w:bidi w:val="0"/>
        <w:adjustRightInd/>
        <w:snapToGrid/>
        <w:spacing w:after="0" w:line="360" w:lineRule="auto"/>
        <w:ind w:left="0" w:right="0" w:firstLine="528" w:firstLineChars="200"/>
        <w:textAlignment w:val="auto"/>
        <w:rPr>
          <w:sz w:val="24"/>
          <w:szCs w:val="24"/>
        </w:rPr>
      </w:pPr>
      <w:r>
        <w:rPr>
          <w:spacing w:val="12"/>
          <w:sz w:val="24"/>
          <w:szCs w:val="24"/>
        </w:rPr>
        <w:t>政府采购合同融资是河南省财政厅支持中小微企业发展，针对参与政府采购活</w:t>
      </w:r>
      <w:r>
        <w:rPr>
          <w:spacing w:val="15"/>
          <w:sz w:val="24"/>
          <w:szCs w:val="24"/>
        </w:rPr>
        <w:t xml:space="preserve"> </w:t>
      </w:r>
      <w:r>
        <w:rPr>
          <w:spacing w:val="14"/>
          <w:sz w:val="24"/>
          <w:szCs w:val="24"/>
        </w:rPr>
        <w:t>动</w:t>
      </w:r>
      <w:r>
        <w:rPr>
          <w:spacing w:val="59"/>
          <w:sz w:val="24"/>
          <w:szCs w:val="24"/>
        </w:rPr>
        <w:t xml:space="preserve"> </w:t>
      </w:r>
      <w:r>
        <w:rPr>
          <w:spacing w:val="14"/>
          <w:sz w:val="24"/>
          <w:szCs w:val="24"/>
        </w:rPr>
        <w:t>的供应商融资难、融资贵问题推出的一项</w:t>
      </w:r>
      <w:r>
        <w:rPr>
          <w:spacing w:val="13"/>
          <w:sz w:val="24"/>
          <w:szCs w:val="24"/>
        </w:rPr>
        <w:t>融资政策。贵公司若成为本次政府采</w:t>
      </w:r>
      <w:r>
        <w:rPr>
          <w:sz w:val="24"/>
          <w:szCs w:val="24"/>
        </w:rPr>
        <w:t xml:space="preserve"> </w:t>
      </w:r>
      <w:r>
        <w:rPr>
          <w:spacing w:val="3"/>
          <w:sz w:val="24"/>
          <w:szCs w:val="24"/>
        </w:rPr>
        <w:t>购项目</w:t>
      </w:r>
      <w:r>
        <w:rPr>
          <w:spacing w:val="60"/>
          <w:sz w:val="24"/>
          <w:szCs w:val="24"/>
        </w:rPr>
        <w:t xml:space="preserve"> </w:t>
      </w:r>
      <w:r>
        <w:rPr>
          <w:spacing w:val="3"/>
          <w:sz w:val="24"/>
          <w:szCs w:val="24"/>
        </w:rPr>
        <w:t>的中标成交供应商，可持政府采购合同向金融机构申请贷款， 无需抵押、担</w:t>
      </w:r>
      <w:r>
        <w:rPr>
          <w:sz w:val="24"/>
          <w:szCs w:val="24"/>
        </w:rPr>
        <w:t xml:space="preserve"> </w:t>
      </w:r>
      <w:r>
        <w:rPr>
          <w:spacing w:val="-1"/>
          <w:sz w:val="24"/>
          <w:szCs w:val="24"/>
        </w:rPr>
        <w:t>保， 融资 机构将根据《河南省政府采购合同融资工作实</w:t>
      </w:r>
      <w:r>
        <w:rPr>
          <w:spacing w:val="-2"/>
          <w:sz w:val="24"/>
          <w:szCs w:val="24"/>
        </w:rPr>
        <w:t>施方案》（豫财购〔2017〕10</w:t>
      </w:r>
      <w:r>
        <w:rPr>
          <w:sz w:val="24"/>
          <w:szCs w:val="24"/>
        </w:rPr>
        <w:t xml:space="preserve"> </w:t>
      </w:r>
      <w:r>
        <w:rPr>
          <w:spacing w:val="-4"/>
          <w:sz w:val="24"/>
          <w:szCs w:val="24"/>
        </w:rPr>
        <w:t>号</w:t>
      </w:r>
      <w:r>
        <w:rPr>
          <w:spacing w:val="5"/>
          <w:sz w:val="24"/>
          <w:szCs w:val="24"/>
        </w:rPr>
        <w:t>），</w:t>
      </w:r>
      <w:r>
        <w:rPr>
          <w:spacing w:val="-4"/>
          <w:sz w:val="24"/>
          <w:szCs w:val="24"/>
        </w:rPr>
        <w:t>按</w:t>
      </w:r>
    </w:p>
    <w:p w14:paraId="6D6E58A2">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照双方自愿的原则提供便捷、优惠的贷款服务。</w:t>
      </w:r>
    </w:p>
    <w:p w14:paraId="07DE5DCF">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提供贷款的金融机构联系方式及融资产品介绍详见附件。</w:t>
      </w:r>
    </w:p>
    <w:p w14:paraId="0DBF3BF9">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5AD87B88">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2EC9C08B">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312E8EE8">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p w14:paraId="3E84CE3C">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ascii="Arial"/>
          <w:sz w:val="21"/>
        </w:rPr>
      </w:pPr>
      <w:r>
        <w:rPr>
          <w:spacing w:val="-3"/>
          <w:sz w:val="24"/>
          <w:szCs w:val="24"/>
        </w:rPr>
        <w:t>附：《伊川县政府采购合同融资产品推介目录》</w:t>
      </w:r>
    </w:p>
    <w:p w14:paraId="2717C8F9">
      <w:pPr>
        <w:rPr>
          <w:spacing w:val="23"/>
          <w:sz w:val="24"/>
          <w:szCs w:val="24"/>
        </w:rPr>
      </w:pPr>
      <w:r>
        <w:rPr>
          <w:spacing w:val="23"/>
          <w:sz w:val="24"/>
          <w:szCs w:val="24"/>
        </w:rPr>
        <w:br w:type="page"/>
      </w:r>
    </w:p>
    <w:p w14:paraId="24E6EF81">
      <w:pPr>
        <w:pStyle w:val="9"/>
        <w:pageBreakBefore w:val="0"/>
        <w:widowControl w:val="0"/>
        <w:kinsoku/>
        <w:wordWrap/>
        <w:overflowPunct/>
        <w:topLinePunct w:val="0"/>
        <w:autoSpaceDE/>
        <w:autoSpaceDN/>
        <w:bidi w:val="0"/>
        <w:adjustRightInd/>
        <w:snapToGrid/>
        <w:spacing w:after="0" w:line="360" w:lineRule="auto"/>
        <w:ind w:left="0" w:right="0" w:firstLine="2288" w:firstLineChars="800"/>
        <w:textAlignment w:val="auto"/>
        <w:rPr>
          <w:sz w:val="24"/>
          <w:szCs w:val="24"/>
        </w:rPr>
      </w:pPr>
      <w:r>
        <w:rPr>
          <w:spacing w:val="23"/>
          <w:sz w:val="24"/>
          <w:szCs w:val="24"/>
        </w:rPr>
        <w:t>中原银行政府采购贷款产品介绍</w:t>
      </w:r>
    </w:p>
    <w:p w14:paraId="67717008">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一、融资产品介绍</w:t>
      </w:r>
    </w:p>
    <w:p w14:paraId="507E43D2">
      <w:pPr>
        <w:pStyle w:val="9"/>
        <w:pageBreakBefore w:val="0"/>
        <w:widowControl w:val="0"/>
        <w:kinsoku/>
        <w:wordWrap/>
        <w:overflowPunct/>
        <w:topLinePunct w:val="0"/>
        <w:autoSpaceDE/>
        <w:autoSpaceDN/>
        <w:bidi w:val="0"/>
        <w:adjustRightInd/>
        <w:snapToGrid/>
        <w:spacing w:after="0" w:line="360" w:lineRule="auto"/>
        <w:ind w:left="0" w:right="0" w:firstLine="360" w:firstLineChars="200"/>
        <w:textAlignment w:val="auto"/>
        <w:rPr>
          <w:sz w:val="24"/>
          <w:szCs w:val="24"/>
        </w:rPr>
      </w:pPr>
      <w:r>
        <w:rPr>
          <w:spacing w:val="-30"/>
          <w:sz w:val="24"/>
          <w:szCs w:val="24"/>
        </w:rPr>
        <w:t>1、产品简介：</w:t>
      </w:r>
    </w:p>
    <w:p w14:paraId="19402094">
      <w:pPr>
        <w:pStyle w:val="9"/>
        <w:pageBreakBefore w:val="0"/>
        <w:widowControl w:val="0"/>
        <w:kinsoku/>
        <w:wordWrap/>
        <w:overflowPunct/>
        <w:topLinePunct w:val="0"/>
        <w:autoSpaceDE/>
        <w:autoSpaceDN/>
        <w:bidi w:val="0"/>
        <w:adjustRightInd/>
        <w:snapToGrid/>
        <w:spacing w:after="0" w:line="360" w:lineRule="auto"/>
        <w:ind w:left="0" w:right="0" w:firstLine="508" w:firstLineChars="200"/>
        <w:jc w:val="right"/>
        <w:textAlignment w:val="auto"/>
        <w:rPr>
          <w:sz w:val="24"/>
          <w:szCs w:val="24"/>
        </w:rPr>
      </w:pPr>
      <w:r>
        <w:rPr>
          <w:spacing w:val="7"/>
          <w:sz w:val="24"/>
          <w:szCs w:val="24"/>
        </w:rPr>
        <w:t>政府采购贷款业务是根据政府采购中标通知书（已在财政局备案</w:t>
      </w:r>
      <w:r>
        <w:rPr>
          <w:sz w:val="24"/>
          <w:szCs w:val="24"/>
        </w:rPr>
        <w:t>），</w:t>
      </w:r>
      <w:r>
        <w:rPr>
          <w:spacing w:val="-47"/>
          <w:sz w:val="24"/>
          <w:szCs w:val="24"/>
        </w:rPr>
        <w:t xml:space="preserve"> </w:t>
      </w:r>
      <w:r>
        <w:rPr>
          <w:spacing w:val="7"/>
          <w:sz w:val="24"/>
          <w:szCs w:val="24"/>
        </w:rPr>
        <w:t>为中</w:t>
      </w:r>
      <w:r>
        <w:rPr>
          <w:spacing w:val="6"/>
          <w:sz w:val="24"/>
          <w:szCs w:val="24"/>
        </w:rPr>
        <w:t>标的中</w:t>
      </w:r>
    </w:p>
    <w:p w14:paraId="7D81E7E6">
      <w:pPr>
        <w:pStyle w:val="9"/>
        <w:pageBreakBefore w:val="0"/>
        <w:widowControl w:val="0"/>
        <w:kinsoku/>
        <w:wordWrap/>
        <w:overflowPunct/>
        <w:topLinePunct w:val="0"/>
        <w:autoSpaceDE/>
        <w:autoSpaceDN/>
        <w:bidi w:val="0"/>
        <w:adjustRightInd/>
        <w:snapToGrid/>
        <w:spacing w:after="0" w:line="360" w:lineRule="auto"/>
        <w:ind w:left="0" w:right="0" w:firstLine="520" w:firstLineChars="200"/>
        <w:textAlignment w:val="auto"/>
        <w:rPr>
          <w:sz w:val="24"/>
          <w:szCs w:val="24"/>
        </w:rPr>
      </w:pPr>
      <w:r>
        <w:rPr>
          <w:spacing w:val="10"/>
          <w:sz w:val="24"/>
          <w:szCs w:val="24"/>
        </w:rPr>
        <w:t>小企业提供融资服务。贷款额度原则上不超过政府采购合同金额的 70%，最高不超</w:t>
      </w:r>
      <w:r>
        <w:rPr>
          <w:spacing w:val="8"/>
          <w:sz w:val="24"/>
          <w:szCs w:val="24"/>
        </w:rPr>
        <w:t xml:space="preserve"> </w:t>
      </w:r>
      <w:r>
        <w:rPr>
          <w:sz w:val="24"/>
          <w:szCs w:val="24"/>
        </w:rPr>
        <w:t>过</w:t>
      </w:r>
    </w:p>
    <w:p w14:paraId="1495843C">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1000万元（含）。</w:t>
      </w:r>
    </w:p>
    <w:p w14:paraId="0C64945E">
      <w:pPr>
        <w:pStyle w:val="9"/>
        <w:pageBreakBefore w:val="0"/>
        <w:widowControl w:val="0"/>
        <w:kinsoku/>
        <w:wordWrap/>
        <w:overflowPunct/>
        <w:topLinePunct w:val="0"/>
        <w:autoSpaceDE/>
        <w:autoSpaceDN/>
        <w:bidi w:val="0"/>
        <w:adjustRightInd/>
        <w:snapToGrid/>
        <w:spacing w:after="0" w:line="360" w:lineRule="auto"/>
        <w:ind w:left="0" w:right="0" w:firstLine="452" w:firstLineChars="200"/>
        <w:textAlignment w:val="auto"/>
        <w:rPr>
          <w:sz w:val="24"/>
          <w:szCs w:val="24"/>
        </w:rPr>
      </w:pPr>
      <w:r>
        <w:rPr>
          <w:spacing w:val="-7"/>
          <w:sz w:val="24"/>
          <w:szCs w:val="24"/>
        </w:rPr>
        <w:t>2、授信企业基本要求：</w:t>
      </w:r>
    </w:p>
    <w:p w14:paraId="225560DA">
      <w:pPr>
        <w:pStyle w:val="9"/>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sz w:val="24"/>
          <w:szCs w:val="24"/>
        </w:rPr>
      </w:pPr>
      <w:r>
        <w:rPr>
          <w:spacing w:val="-8"/>
          <w:sz w:val="24"/>
          <w:szCs w:val="24"/>
        </w:rPr>
        <w:t>（1）企业正常经营两年以上；</w:t>
      </w:r>
    </w:p>
    <w:p w14:paraId="566D5A7E">
      <w:pPr>
        <w:pStyle w:val="9"/>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sz w:val="24"/>
          <w:szCs w:val="24"/>
        </w:rPr>
      </w:pPr>
      <w:r>
        <w:rPr>
          <w:spacing w:val="-5"/>
          <w:sz w:val="24"/>
          <w:szCs w:val="24"/>
        </w:rPr>
        <w:t>（2）需在中原银行开立结算账户；</w:t>
      </w:r>
    </w:p>
    <w:p w14:paraId="60E78DE9">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（3）企业及负责人信用记录良好。</w:t>
      </w:r>
    </w:p>
    <w:p w14:paraId="7A107A94">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3、申请渠道：微信关注中原银行小微金融，线上申请即可。</w:t>
      </w:r>
      <w:r>
        <w:rPr>
          <w:spacing w:val="-1"/>
          <w:sz w:val="24"/>
          <w:szCs w:val="24"/>
        </w:rPr>
        <w:t>也可电话联系工作人</w:t>
      </w:r>
      <w:r>
        <w:rPr>
          <w:sz w:val="24"/>
          <w:szCs w:val="24"/>
        </w:rPr>
        <w:t xml:space="preserve"> </w:t>
      </w:r>
      <w:r>
        <w:rPr>
          <w:spacing w:val="-21"/>
          <w:sz w:val="24"/>
          <w:szCs w:val="24"/>
        </w:rPr>
        <w:t>员。</w:t>
      </w:r>
    </w:p>
    <w:p w14:paraId="157529B9">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二、联系方式</w:t>
      </w:r>
    </w:p>
    <w:p w14:paraId="4B9A5428">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pPr>
    </w:p>
    <w:tbl>
      <w:tblPr>
        <w:tblStyle w:val="86"/>
        <w:tblW w:w="8651" w:type="dxa"/>
        <w:tblInd w:w="17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32"/>
        <w:gridCol w:w="2069"/>
        <w:gridCol w:w="1994"/>
        <w:gridCol w:w="2856"/>
      </w:tblGrid>
      <w:tr w14:paraId="0FDE9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732" w:type="dxa"/>
            <w:vAlign w:val="top"/>
          </w:tcPr>
          <w:p w14:paraId="49BE64BD">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联系人</w:t>
            </w:r>
          </w:p>
        </w:tc>
        <w:tc>
          <w:tcPr>
            <w:tcW w:w="2069" w:type="dxa"/>
            <w:vAlign w:val="top"/>
          </w:tcPr>
          <w:p w14:paraId="4135BF34">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职务</w:t>
            </w:r>
          </w:p>
        </w:tc>
        <w:tc>
          <w:tcPr>
            <w:tcW w:w="1994" w:type="dxa"/>
            <w:vAlign w:val="top"/>
          </w:tcPr>
          <w:p w14:paraId="3B833233">
            <w:pPr>
              <w:pStyle w:val="84"/>
              <w:pageBreakBefore w:val="0"/>
              <w:widowControl w:val="0"/>
              <w:kinsoku/>
              <w:wordWrap/>
              <w:overflowPunct/>
              <w:topLinePunct w:val="0"/>
              <w:autoSpaceDE/>
              <w:autoSpaceDN/>
              <w:bidi w:val="0"/>
              <w:adjustRightInd/>
              <w:snapToGrid/>
              <w:spacing w:after="0" w:line="360" w:lineRule="auto"/>
              <w:ind w:left="0" w:right="0" w:firstLine="412" w:firstLineChars="200"/>
              <w:textAlignment w:val="auto"/>
              <w:rPr>
                <w:sz w:val="24"/>
                <w:szCs w:val="24"/>
              </w:rPr>
            </w:pPr>
            <w:r>
              <w:rPr>
                <w:spacing w:val="-17"/>
                <w:sz w:val="24"/>
                <w:szCs w:val="24"/>
              </w:rPr>
              <w:t>电话</w:t>
            </w:r>
          </w:p>
        </w:tc>
        <w:tc>
          <w:tcPr>
            <w:tcW w:w="2856" w:type="dxa"/>
            <w:vAlign w:val="top"/>
          </w:tcPr>
          <w:p w14:paraId="41813031">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地址</w:t>
            </w:r>
          </w:p>
        </w:tc>
      </w:tr>
      <w:tr w14:paraId="5B79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atLeast"/>
        </w:trPr>
        <w:tc>
          <w:tcPr>
            <w:tcW w:w="1732" w:type="dxa"/>
            <w:vAlign w:val="top"/>
          </w:tcPr>
          <w:p w14:paraId="7D506E64">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宋紫阳</w:t>
            </w:r>
          </w:p>
        </w:tc>
        <w:tc>
          <w:tcPr>
            <w:tcW w:w="2069" w:type="dxa"/>
            <w:vAlign w:val="top"/>
          </w:tcPr>
          <w:p w14:paraId="3B52731F">
            <w:pPr>
              <w:pStyle w:val="84"/>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公司业务行长</w:t>
            </w:r>
          </w:p>
        </w:tc>
        <w:tc>
          <w:tcPr>
            <w:tcW w:w="1994" w:type="dxa"/>
            <w:vAlign w:val="top"/>
          </w:tcPr>
          <w:p w14:paraId="42531C8F">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18638830557</w:t>
            </w:r>
          </w:p>
        </w:tc>
        <w:tc>
          <w:tcPr>
            <w:tcW w:w="2856" w:type="dxa"/>
            <w:vAlign w:val="top"/>
          </w:tcPr>
          <w:p w14:paraId="75B6D860">
            <w:pPr>
              <w:pStyle w:val="84"/>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中原银行伊川支行</w:t>
            </w:r>
          </w:p>
        </w:tc>
      </w:tr>
      <w:tr w14:paraId="6D379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1732" w:type="dxa"/>
            <w:vAlign w:val="top"/>
          </w:tcPr>
          <w:p w14:paraId="0B47AEAA">
            <w:pPr>
              <w:pStyle w:val="84"/>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张劲飞</w:t>
            </w:r>
          </w:p>
        </w:tc>
        <w:tc>
          <w:tcPr>
            <w:tcW w:w="2069" w:type="dxa"/>
            <w:vAlign w:val="top"/>
          </w:tcPr>
          <w:p w14:paraId="7D174C00">
            <w:pPr>
              <w:pStyle w:val="84"/>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公司客户经理</w:t>
            </w:r>
          </w:p>
        </w:tc>
        <w:tc>
          <w:tcPr>
            <w:tcW w:w="1994" w:type="dxa"/>
            <w:vAlign w:val="top"/>
          </w:tcPr>
          <w:p w14:paraId="46474C90">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19939886066</w:t>
            </w:r>
          </w:p>
        </w:tc>
        <w:tc>
          <w:tcPr>
            <w:tcW w:w="2856" w:type="dxa"/>
            <w:vAlign w:val="top"/>
          </w:tcPr>
          <w:p w14:paraId="5CB86350">
            <w:pPr>
              <w:pStyle w:val="84"/>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中原银行伊川支行</w:t>
            </w:r>
          </w:p>
        </w:tc>
      </w:tr>
      <w:tr w14:paraId="59E0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1732" w:type="dxa"/>
            <w:vAlign w:val="top"/>
          </w:tcPr>
          <w:p w14:paraId="1531AC11">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周子裔</w:t>
            </w:r>
          </w:p>
        </w:tc>
        <w:tc>
          <w:tcPr>
            <w:tcW w:w="2069" w:type="dxa"/>
            <w:vAlign w:val="top"/>
          </w:tcPr>
          <w:p w14:paraId="2D3F891F">
            <w:pPr>
              <w:pStyle w:val="84"/>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公司客户经理</w:t>
            </w:r>
          </w:p>
        </w:tc>
        <w:tc>
          <w:tcPr>
            <w:tcW w:w="1994" w:type="dxa"/>
            <w:vAlign w:val="top"/>
          </w:tcPr>
          <w:p w14:paraId="4A0BDE4F">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18838802588</w:t>
            </w:r>
          </w:p>
        </w:tc>
        <w:tc>
          <w:tcPr>
            <w:tcW w:w="2856" w:type="dxa"/>
            <w:vAlign w:val="top"/>
          </w:tcPr>
          <w:p w14:paraId="15AD3688">
            <w:pPr>
              <w:pStyle w:val="84"/>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中原银行伊川支行</w:t>
            </w:r>
          </w:p>
        </w:tc>
      </w:tr>
    </w:tbl>
    <w:p w14:paraId="584FD940">
      <w:pPr>
        <w:pStyle w:val="9"/>
        <w:pageBreakBefore w:val="0"/>
        <w:widowControl w:val="0"/>
        <w:kinsoku/>
        <w:wordWrap/>
        <w:overflowPunct/>
        <w:topLinePunct w:val="0"/>
        <w:autoSpaceDE/>
        <w:autoSpaceDN/>
        <w:bidi w:val="0"/>
        <w:adjustRightInd/>
        <w:snapToGrid/>
        <w:spacing w:after="0" w:line="360" w:lineRule="auto"/>
        <w:ind w:left="0" w:right="0" w:firstLine="584" w:firstLineChars="200"/>
        <w:textAlignment w:val="auto"/>
        <w:rPr>
          <w:sz w:val="24"/>
          <w:szCs w:val="24"/>
        </w:rPr>
      </w:pPr>
      <w:r>
        <w:rPr>
          <w:spacing w:val="26"/>
          <w:sz w:val="24"/>
          <w:szCs w:val="24"/>
        </w:rPr>
        <w:t>洛阳银行政府采购融资贷联系方式</w:t>
      </w:r>
      <w:r>
        <w:rPr>
          <w:spacing w:val="11"/>
          <w:sz w:val="24"/>
          <w:szCs w:val="24"/>
        </w:rPr>
        <w:t xml:space="preserve"> </w:t>
      </w:r>
      <w:r>
        <w:rPr>
          <w:spacing w:val="25"/>
          <w:sz w:val="24"/>
          <w:szCs w:val="24"/>
        </w:rPr>
        <w:t>及融资产品介绍</w:t>
      </w:r>
    </w:p>
    <w:p w14:paraId="0798C587">
      <w:pPr>
        <w:pStyle w:val="9"/>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一、联系方式</w:t>
      </w:r>
    </w:p>
    <w:p w14:paraId="2DD51BB0">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pPr>
    </w:p>
    <w:tbl>
      <w:tblPr>
        <w:tblStyle w:val="86"/>
        <w:tblW w:w="8560" w:type="dxa"/>
        <w:tblInd w:w="2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32"/>
        <w:gridCol w:w="1694"/>
        <w:gridCol w:w="1829"/>
        <w:gridCol w:w="1574"/>
        <w:gridCol w:w="1731"/>
      </w:tblGrid>
      <w:tr w14:paraId="2017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732" w:type="dxa"/>
            <w:vAlign w:val="top"/>
          </w:tcPr>
          <w:p w14:paraId="4C3C5E7C">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联系人</w:t>
            </w:r>
          </w:p>
        </w:tc>
        <w:tc>
          <w:tcPr>
            <w:tcW w:w="1694" w:type="dxa"/>
            <w:vAlign w:val="top"/>
          </w:tcPr>
          <w:p w14:paraId="73A7E817">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职务</w:t>
            </w:r>
          </w:p>
        </w:tc>
        <w:tc>
          <w:tcPr>
            <w:tcW w:w="1829" w:type="dxa"/>
            <w:vAlign w:val="top"/>
          </w:tcPr>
          <w:p w14:paraId="6B7668F6">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地址</w:t>
            </w:r>
          </w:p>
        </w:tc>
        <w:tc>
          <w:tcPr>
            <w:tcW w:w="1574" w:type="dxa"/>
            <w:vAlign w:val="top"/>
          </w:tcPr>
          <w:p w14:paraId="7B42170B">
            <w:pPr>
              <w:pStyle w:val="84"/>
              <w:pageBreakBefore w:val="0"/>
              <w:widowControl w:val="0"/>
              <w:kinsoku/>
              <w:wordWrap/>
              <w:overflowPunct/>
              <w:topLinePunct w:val="0"/>
              <w:autoSpaceDE/>
              <w:autoSpaceDN/>
              <w:bidi w:val="0"/>
              <w:adjustRightInd/>
              <w:snapToGrid/>
              <w:spacing w:after="0" w:line="360" w:lineRule="auto"/>
              <w:ind w:left="0" w:right="0" w:firstLine="412" w:firstLineChars="200"/>
              <w:textAlignment w:val="auto"/>
              <w:rPr>
                <w:sz w:val="24"/>
                <w:szCs w:val="24"/>
              </w:rPr>
            </w:pPr>
            <w:r>
              <w:rPr>
                <w:spacing w:val="-17"/>
                <w:sz w:val="24"/>
                <w:szCs w:val="24"/>
              </w:rPr>
              <w:t>电话</w:t>
            </w:r>
          </w:p>
        </w:tc>
        <w:tc>
          <w:tcPr>
            <w:tcW w:w="1731" w:type="dxa"/>
            <w:vAlign w:val="top"/>
          </w:tcPr>
          <w:p w14:paraId="0410B891">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备注</w:t>
            </w:r>
          </w:p>
        </w:tc>
      </w:tr>
      <w:tr w14:paraId="28778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0" w:hRule="atLeast"/>
        </w:trPr>
        <w:tc>
          <w:tcPr>
            <w:tcW w:w="1732" w:type="dxa"/>
            <w:vAlign w:val="top"/>
          </w:tcPr>
          <w:p w14:paraId="72A95143">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卫剑楠</w:t>
            </w:r>
          </w:p>
        </w:tc>
        <w:tc>
          <w:tcPr>
            <w:tcW w:w="1694" w:type="dxa"/>
            <w:vAlign w:val="top"/>
          </w:tcPr>
          <w:p w14:paraId="48CE262F">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副行长</w:t>
            </w:r>
          </w:p>
        </w:tc>
        <w:tc>
          <w:tcPr>
            <w:tcW w:w="1829" w:type="dxa"/>
            <w:vAlign w:val="top"/>
          </w:tcPr>
          <w:p w14:paraId="79C5663F">
            <w:pPr>
              <w:pStyle w:val="84"/>
              <w:pageBreakBefore w:val="0"/>
              <w:widowControl w:val="0"/>
              <w:kinsoku/>
              <w:wordWrap/>
              <w:overflowPunct/>
              <w:topLinePunct w:val="0"/>
              <w:autoSpaceDE/>
              <w:autoSpaceDN/>
              <w:bidi w:val="0"/>
              <w:adjustRightInd/>
              <w:snapToGrid/>
              <w:spacing w:after="0" w:line="360" w:lineRule="auto"/>
              <w:ind w:left="0" w:right="0" w:firstLine="428" w:firstLineChars="200"/>
              <w:jc w:val="both"/>
              <w:textAlignment w:val="auto"/>
              <w:rPr>
                <w:sz w:val="24"/>
                <w:szCs w:val="24"/>
              </w:rPr>
            </w:pPr>
            <w:r>
              <w:rPr>
                <w:spacing w:val="-13"/>
                <w:sz w:val="24"/>
                <w:szCs w:val="24"/>
              </w:rPr>
              <w:t>伊 川</w:t>
            </w:r>
            <w:r>
              <w:rPr>
                <w:spacing w:val="-20"/>
                <w:sz w:val="24"/>
                <w:szCs w:val="24"/>
              </w:rPr>
              <w:t xml:space="preserve"> </w:t>
            </w:r>
            <w:r>
              <w:rPr>
                <w:spacing w:val="-13"/>
                <w:sz w:val="24"/>
                <w:szCs w:val="24"/>
              </w:rPr>
              <w:t>县</w:t>
            </w:r>
            <w:r>
              <w:rPr>
                <w:spacing w:val="-18"/>
                <w:sz w:val="24"/>
                <w:szCs w:val="24"/>
              </w:rPr>
              <w:t xml:space="preserve"> </w:t>
            </w:r>
            <w:r>
              <w:rPr>
                <w:spacing w:val="-13"/>
                <w:sz w:val="24"/>
                <w:szCs w:val="24"/>
              </w:rPr>
              <w:t>人 民</w:t>
            </w:r>
            <w:r>
              <w:rPr>
                <w:sz w:val="24"/>
                <w:szCs w:val="24"/>
              </w:rPr>
              <w:t xml:space="preserve"> </w:t>
            </w:r>
            <w:r>
              <w:rPr>
                <w:spacing w:val="-12"/>
                <w:sz w:val="24"/>
                <w:szCs w:val="24"/>
              </w:rPr>
              <w:t>东</w:t>
            </w:r>
            <w:r>
              <w:rPr>
                <w:spacing w:val="75"/>
                <w:sz w:val="24"/>
                <w:szCs w:val="24"/>
              </w:rPr>
              <w:t xml:space="preserve"> </w:t>
            </w:r>
            <w:r>
              <w:rPr>
                <w:spacing w:val="-12"/>
                <w:sz w:val="24"/>
                <w:szCs w:val="24"/>
              </w:rPr>
              <w:t>路</w:t>
            </w:r>
            <w:r>
              <w:rPr>
                <w:spacing w:val="-50"/>
                <w:sz w:val="24"/>
                <w:szCs w:val="24"/>
              </w:rPr>
              <w:t xml:space="preserve"> </w:t>
            </w:r>
            <w:r>
              <w:rPr>
                <w:spacing w:val="-12"/>
                <w:sz w:val="24"/>
                <w:szCs w:val="24"/>
              </w:rPr>
              <w:t>新</w:t>
            </w:r>
            <w:r>
              <w:rPr>
                <w:spacing w:val="-51"/>
                <w:sz w:val="24"/>
                <w:szCs w:val="24"/>
              </w:rPr>
              <w:t xml:space="preserve"> </w:t>
            </w:r>
            <w:r>
              <w:rPr>
                <w:spacing w:val="-12"/>
                <w:sz w:val="24"/>
                <w:szCs w:val="24"/>
              </w:rPr>
              <w:t>鹏</w:t>
            </w:r>
            <w:r>
              <w:rPr>
                <w:spacing w:val="-48"/>
                <w:sz w:val="24"/>
                <w:szCs w:val="24"/>
              </w:rPr>
              <w:t xml:space="preserve"> </w:t>
            </w:r>
            <w:r>
              <w:rPr>
                <w:spacing w:val="-12"/>
                <w:sz w:val="24"/>
                <w:szCs w:val="24"/>
              </w:rPr>
              <w:t>路</w:t>
            </w:r>
            <w:r>
              <w:rPr>
                <w:sz w:val="24"/>
                <w:szCs w:val="24"/>
              </w:rPr>
              <w:t xml:space="preserve"> </w:t>
            </w:r>
            <w:r>
              <w:rPr>
                <w:spacing w:val="28"/>
                <w:sz w:val="24"/>
                <w:szCs w:val="24"/>
              </w:rPr>
              <w:t>交叉</w:t>
            </w:r>
          </w:p>
          <w:p w14:paraId="442A9480">
            <w:pPr>
              <w:pStyle w:val="84"/>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sz w:val="24"/>
                <w:szCs w:val="24"/>
              </w:rPr>
            </w:pPr>
            <w:r>
              <w:rPr>
                <w:spacing w:val="-19"/>
                <w:sz w:val="24"/>
                <w:szCs w:val="24"/>
              </w:rPr>
              <w:t>口东</w:t>
            </w:r>
          </w:p>
        </w:tc>
        <w:tc>
          <w:tcPr>
            <w:tcW w:w="1574" w:type="dxa"/>
            <w:vAlign w:val="top"/>
          </w:tcPr>
          <w:p w14:paraId="157DFC0E">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15515336085</w:t>
            </w:r>
          </w:p>
        </w:tc>
        <w:tc>
          <w:tcPr>
            <w:tcW w:w="1731" w:type="dxa"/>
            <w:vAlign w:val="top"/>
          </w:tcPr>
          <w:p w14:paraId="4F1B8696">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tc>
      </w:tr>
      <w:tr w14:paraId="29C22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2" w:hRule="atLeast"/>
        </w:trPr>
        <w:tc>
          <w:tcPr>
            <w:tcW w:w="1732" w:type="dxa"/>
            <w:vAlign w:val="top"/>
          </w:tcPr>
          <w:p w14:paraId="070243B9">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乔晨</w:t>
            </w:r>
          </w:p>
        </w:tc>
        <w:tc>
          <w:tcPr>
            <w:tcW w:w="1694" w:type="dxa"/>
            <w:vAlign w:val="top"/>
          </w:tcPr>
          <w:p w14:paraId="01421D17">
            <w:pPr>
              <w:pStyle w:val="84"/>
              <w:pageBreakBefore w:val="0"/>
              <w:widowControl w:val="0"/>
              <w:kinsoku/>
              <w:wordWrap/>
              <w:overflowPunct/>
              <w:topLinePunct w:val="0"/>
              <w:autoSpaceDE/>
              <w:autoSpaceDN/>
              <w:bidi w:val="0"/>
              <w:adjustRightInd/>
              <w:snapToGrid/>
              <w:spacing w:after="0" w:line="360" w:lineRule="auto"/>
              <w:ind w:left="0" w:right="0" w:firstLine="552" w:firstLineChars="200"/>
              <w:textAlignment w:val="auto"/>
              <w:rPr>
                <w:sz w:val="24"/>
                <w:szCs w:val="24"/>
              </w:rPr>
            </w:pPr>
            <w:r>
              <w:rPr>
                <w:spacing w:val="18"/>
                <w:sz w:val="24"/>
                <w:szCs w:val="24"/>
              </w:rPr>
              <w:t>综合业务部经</w:t>
            </w:r>
            <w:r>
              <w:rPr>
                <w:sz w:val="24"/>
                <w:szCs w:val="24"/>
              </w:rPr>
              <w:t xml:space="preserve"> 理</w:t>
            </w:r>
          </w:p>
        </w:tc>
        <w:tc>
          <w:tcPr>
            <w:tcW w:w="1829" w:type="dxa"/>
            <w:vAlign w:val="top"/>
          </w:tcPr>
          <w:p w14:paraId="5BCF116E">
            <w:pPr>
              <w:pStyle w:val="84"/>
              <w:pageBreakBefore w:val="0"/>
              <w:widowControl w:val="0"/>
              <w:kinsoku/>
              <w:wordWrap/>
              <w:overflowPunct/>
              <w:topLinePunct w:val="0"/>
              <w:autoSpaceDE/>
              <w:autoSpaceDN/>
              <w:bidi w:val="0"/>
              <w:adjustRightInd/>
              <w:snapToGrid/>
              <w:spacing w:after="0" w:line="360" w:lineRule="auto"/>
              <w:ind w:left="0" w:right="0" w:firstLine="428" w:firstLineChars="200"/>
              <w:jc w:val="both"/>
              <w:textAlignment w:val="auto"/>
              <w:rPr>
                <w:sz w:val="24"/>
                <w:szCs w:val="24"/>
              </w:rPr>
            </w:pPr>
            <w:r>
              <w:rPr>
                <w:spacing w:val="-13"/>
                <w:sz w:val="24"/>
                <w:szCs w:val="24"/>
              </w:rPr>
              <w:t>伊 川</w:t>
            </w:r>
            <w:r>
              <w:rPr>
                <w:spacing w:val="-20"/>
                <w:sz w:val="24"/>
                <w:szCs w:val="24"/>
              </w:rPr>
              <w:t xml:space="preserve"> </w:t>
            </w:r>
            <w:r>
              <w:rPr>
                <w:spacing w:val="-13"/>
                <w:sz w:val="24"/>
                <w:szCs w:val="24"/>
              </w:rPr>
              <w:t>县</w:t>
            </w:r>
            <w:r>
              <w:rPr>
                <w:spacing w:val="-18"/>
                <w:sz w:val="24"/>
                <w:szCs w:val="24"/>
              </w:rPr>
              <w:t xml:space="preserve"> </w:t>
            </w:r>
            <w:r>
              <w:rPr>
                <w:spacing w:val="-13"/>
                <w:sz w:val="24"/>
                <w:szCs w:val="24"/>
              </w:rPr>
              <w:t>人 民</w:t>
            </w:r>
            <w:r>
              <w:rPr>
                <w:sz w:val="24"/>
                <w:szCs w:val="24"/>
              </w:rPr>
              <w:t xml:space="preserve"> </w:t>
            </w:r>
            <w:r>
              <w:rPr>
                <w:spacing w:val="-12"/>
                <w:sz w:val="24"/>
                <w:szCs w:val="24"/>
              </w:rPr>
              <w:t>东</w:t>
            </w:r>
            <w:r>
              <w:rPr>
                <w:spacing w:val="75"/>
                <w:sz w:val="24"/>
                <w:szCs w:val="24"/>
              </w:rPr>
              <w:t xml:space="preserve"> </w:t>
            </w:r>
            <w:r>
              <w:rPr>
                <w:spacing w:val="-12"/>
                <w:sz w:val="24"/>
                <w:szCs w:val="24"/>
              </w:rPr>
              <w:t>路</w:t>
            </w:r>
            <w:r>
              <w:rPr>
                <w:spacing w:val="-50"/>
                <w:sz w:val="24"/>
                <w:szCs w:val="24"/>
              </w:rPr>
              <w:t xml:space="preserve"> </w:t>
            </w:r>
            <w:r>
              <w:rPr>
                <w:spacing w:val="-12"/>
                <w:sz w:val="24"/>
                <w:szCs w:val="24"/>
              </w:rPr>
              <w:t>新</w:t>
            </w:r>
            <w:r>
              <w:rPr>
                <w:spacing w:val="-51"/>
                <w:sz w:val="24"/>
                <w:szCs w:val="24"/>
              </w:rPr>
              <w:t xml:space="preserve"> </w:t>
            </w:r>
            <w:r>
              <w:rPr>
                <w:spacing w:val="-12"/>
                <w:sz w:val="24"/>
                <w:szCs w:val="24"/>
              </w:rPr>
              <w:t>鹏</w:t>
            </w:r>
            <w:r>
              <w:rPr>
                <w:spacing w:val="-48"/>
                <w:sz w:val="24"/>
                <w:szCs w:val="24"/>
              </w:rPr>
              <w:t xml:space="preserve"> </w:t>
            </w:r>
            <w:r>
              <w:rPr>
                <w:spacing w:val="-12"/>
                <w:sz w:val="24"/>
                <w:szCs w:val="24"/>
              </w:rPr>
              <w:t>路</w:t>
            </w:r>
            <w:r>
              <w:rPr>
                <w:sz w:val="24"/>
                <w:szCs w:val="24"/>
              </w:rPr>
              <w:t xml:space="preserve"> </w:t>
            </w:r>
            <w:r>
              <w:rPr>
                <w:spacing w:val="28"/>
                <w:sz w:val="24"/>
                <w:szCs w:val="24"/>
              </w:rPr>
              <w:t>交叉</w:t>
            </w:r>
          </w:p>
          <w:p w14:paraId="4801B1CA">
            <w:pPr>
              <w:pStyle w:val="84"/>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sz w:val="24"/>
                <w:szCs w:val="24"/>
              </w:rPr>
            </w:pPr>
            <w:r>
              <w:rPr>
                <w:spacing w:val="-19"/>
                <w:sz w:val="24"/>
                <w:szCs w:val="24"/>
              </w:rPr>
              <w:t>口东</w:t>
            </w:r>
          </w:p>
        </w:tc>
        <w:tc>
          <w:tcPr>
            <w:tcW w:w="1574" w:type="dxa"/>
            <w:vAlign w:val="top"/>
          </w:tcPr>
          <w:p w14:paraId="14798FF3">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15503799611</w:t>
            </w:r>
          </w:p>
        </w:tc>
        <w:tc>
          <w:tcPr>
            <w:tcW w:w="1731" w:type="dxa"/>
            <w:vAlign w:val="top"/>
          </w:tcPr>
          <w:p w14:paraId="63148565">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tc>
      </w:tr>
    </w:tbl>
    <w:p w14:paraId="002BD3A9">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二、融资产品介绍</w:t>
      </w:r>
    </w:p>
    <w:p w14:paraId="1F917C2F">
      <w:pPr>
        <w:pStyle w:val="9"/>
        <w:pageBreakBefore w:val="0"/>
        <w:widowControl w:val="0"/>
        <w:kinsoku/>
        <w:wordWrap/>
        <w:overflowPunct/>
        <w:topLinePunct w:val="0"/>
        <w:autoSpaceDE/>
        <w:autoSpaceDN/>
        <w:bidi w:val="0"/>
        <w:adjustRightInd/>
        <w:snapToGrid/>
        <w:spacing w:after="0" w:line="360" w:lineRule="auto"/>
        <w:ind w:left="0" w:right="0" w:firstLine="368" w:firstLineChars="200"/>
        <w:textAlignment w:val="auto"/>
        <w:rPr>
          <w:sz w:val="24"/>
          <w:szCs w:val="24"/>
        </w:rPr>
      </w:pPr>
      <w:r>
        <w:rPr>
          <w:spacing w:val="-28"/>
          <w:sz w:val="24"/>
          <w:szCs w:val="24"/>
        </w:rPr>
        <w:t>1.产品简介：</w:t>
      </w:r>
    </w:p>
    <w:p w14:paraId="1F56D504">
      <w:pPr>
        <w:pStyle w:val="9"/>
        <w:pageBreakBefore w:val="0"/>
        <w:widowControl w:val="0"/>
        <w:kinsoku/>
        <w:wordWrap/>
        <w:overflowPunct/>
        <w:topLinePunct w:val="0"/>
        <w:autoSpaceDE/>
        <w:autoSpaceDN/>
        <w:bidi w:val="0"/>
        <w:adjustRightInd/>
        <w:snapToGrid/>
        <w:spacing w:after="0" w:line="360" w:lineRule="auto"/>
        <w:ind w:left="0" w:right="0" w:firstLine="512" w:firstLineChars="200"/>
        <w:jc w:val="right"/>
        <w:textAlignment w:val="auto"/>
        <w:rPr>
          <w:sz w:val="24"/>
          <w:szCs w:val="24"/>
        </w:rPr>
      </w:pPr>
      <w:r>
        <w:rPr>
          <w:spacing w:val="8"/>
          <w:sz w:val="24"/>
          <w:szCs w:val="24"/>
        </w:rPr>
        <w:t>政府采购贷款业务是指在政府采购公开招标采购方式下，根据政府采购中标通知</w:t>
      </w:r>
      <w:r>
        <w:rPr>
          <w:spacing w:val="9"/>
          <w:sz w:val="24"/>
          <w:szCs w:val="24"/>
        </w:rPr>
        <w:t>书或政府采购合同，</w:t>
      </w:r>
      <w:r>
        <w:rPr>
          <w:spacing w:val="-12"/>
          <w:sz w:val="24"/>
          <w:szCs w:val="24"/>
        </w:rPr>
        <w:t xml:space="preserve"> </w:t>
      </w:r>
      <w:r>
        <w:rPr>
          <w:spacing w:val="9"/>
          <w:sz w:val="24"/>
          <w:szCs w:val="24"/>
        </w:rPr>
        <w:t>以政府财政支付资金为主要还款来源，通过封闭资金回笼路径</w:t>
      </w:r>
    </w:p>
    <w:p w14:paraId="4C81766E">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等</w:t>
      </w:r>
      <w:r>
        <w:rPr>
          <w:spacing w:val="-3"/>
          <w:sz w:val="24"/>
          <w:szCs w:val="24"/>
        </w:rPr>
        <w:t>方式，为中标的中小企业提供融资服务。</w:t>
      </w:r>
      <w:r>
        <w:rPr>
          <w:spacing w:val="1"/>
          <w:sz w:val="24"/>
          <w:szCs w:val="24"/>
        </w:rPr>
        <w:t xml:space="preserve"> </w:t>
      </w:r>
      <w:r>
        <w:rPr>
          <w:spacing w:val="-5"/>
          <w:sz w:val="24"/>
          <w:szCs w:val="24"/>
        </w:rPr>
        <w:t>2.授信企业基本要求：</w:t>
      </w:r>
    </w:p>
    <w:p w14:paraId="439F9164">
      <w:pPr>
        <w:pStyle w:val="9"/>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sz w:val="24"/>
          <w:szCs w:val="24"/>
        </w:rPr>
      </w:pPr>
      <w:r>
        <w:rPr>
          <w:spacing w:val="-8"/>
          <w:sz w:val="24"/>
          <w:szCs w:val="24"/>
        </w:rPr>
        <w:t>（1）符合中小企业划分标准；</w:t>
      </w:r>
    </w:p>
    <w:p w14:paraId="4A1A3C30">
      <w:pPr>
        <w:pStyle w:val="9"/>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（2）有固定的经营场所，从事符合法律、法规的经营活动；</w:t>
      </w:r>
    </w:p>
    <w:p w14:paraId="4941F4DF">
      <w:pPr>
        <w:pStyle w:val="9"/>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sz w:val="24"/>
          <w:szCs w:val="24"/>
        </w:rPr>
      </w:pPr>
      <w:r>
        <w:rPr>
          <w:spacing w:val="-6"/>
          <w:sz w:val="24"/>
          <w:szCs w:val="24"/>
        </w:rPr>
        <w:t>（3）在洛阳银行开立结算账户；</w:t>
      </w:r>
    </w:p>
    <w:p w14:paraId="784A0B3B">
      <w:pPr>
        <w:pStyle w:val="9"/>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sz w:val="24"/>
          <w:szCs w:val="24"/>
        </w:rPr>
      </w:pPr>
      <w:r>
        <w:rPr>
          <w:spacing w:val="-5"/>
          <w:sz w:val="24"/>
          <w:szCs w:val="24"/>
        </w:rPr>
        <w:t>（4）企业以及法人信用记录良好；</w:t>
      </w:r>
    </w:p>
    <w:p w14:paraId="07250C50">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（5）不存在我行反洗钱客户身份识别管理制度规定的</w:t>
      </w:r>
      <w:r>
        <w:rPr>
          <w:spacing w:val="-1"/>
          <w:sz w:val="24"/>
          <w:szCs w:val="24"/>
        </w:rPr>
        <w:t>禁止准入情形或停止业务关</w:t>
      </w:r>
      <w:r>
        <w:rPr>
          <w:sz w:val="24"/>
          <w:szCs w:val="24"/>
        </w:rPr>
        <w:t xml:space="preserve"> </w:t>
      </w:r>
      <w:r>
        <w:rPr>
          <w:spacing w:val="-27"/>
          <w:sz w:val="24"/>
          <w:szCs w:val="24"/>
        </w:rPr>
        <w:t>系的情形。</w:t>
      </w:r>
    </w:p>
    <w:p w14:paraId="693A2737">
      <w:pPr>
        <w:pStyle w:val="9"/>
        <w:pageBreakBefore w:val="0"/>
        <w:widowControl w:val="0"/>
        <w:kinsoku/>
        <w:wordWrap/>
        <w:overflowPunct/>
        <w:topLinePunct w:val="0"/>
        <w:autoSpaceDE/>
        <w:autoSpaceDN/>
        <w:bidi w:val="0"/>
        <w:adjustRightInd/>
        <w:snapToGrid/>
        <w:spacing w:after="0" w:line="360" w:lineRule="auto"/>
        <w:ind w:left="0" w:right="0" w:firstLine="376" w:firstLineChars="200"/>
        <w:textAlignment w:val="auto"/>
        <w:rPr>
          <w:sz w:val="24"/>
          <w:szCs w:val="24"/>
        </w:rPr>
      </w:pPr>
      <w:r>
        <w:rPr>
          <w:spacing w:val="-26"/>
          <w:sz w:val="24"/>
          <w:szCs w:val="24"/>
        </w:rPr>
        <w:t>3.贷款用途：</w:t>
      </w:r>
    </w:p>
    <w:p w14:paraId="706580A3">
      <w:pPr>
        <w:pStyle w:val="9"/>
        <w:pageBreakBefore w:val="0"/>
        <w:widowControl w:val="0"/>
        <w:kinsoku/>
        <w:wordWrap/>
        <w:overflowPunct/>
        <w:topLinePunct w:val="0"/>
        <w:autoSpaceDE/>
        <w:autoSpaceDN/>
        <w:bidi w:val="0"/>
        <w:adjustRightInd/>
        <w:snapToGrid/>
        <w:spacing w:after="0" w:line="360" w:lineRule="auto"/>
        <w:ind w:left="0" w:right="0" w:firstLine="552" w:firstLineChars="200"/>
        <w:textAlignment w:val="auto"/>
        <w:rPr>
          <w:sz w:val="24"/>
          <w:szCs w:val="24"/>
        </w:rPr>
      </w:pPr>
      <w:r>
        <w:rPr>
          <w:spacing w:val="18"/>
          <w:sz w:val="24"/>
          <w:szCs w:val="24"/>
        </w:rPr>
        <w:t>政府采购贷款</w:t>
      </w:r>
      <w:r>
        <w:rPr>
          <w:spacing w:val="-67"/>
          <w:sz w:val="24"/>
          <w:szCs w:val="24"/>
        </w:rPr>
        <w:t xml:space="preserve"> </w:t>
      </w:r>
      <w:r>
        <w:rPr>
          <w:spacing w:val="18"/>
          <w:sz w:val="24"/>
          <w:szCs w:val="24"/>
        </w:rPr>
        <w:t>只能用于借款人在政府采购履约过程中</w:t>
      </w:r>
      <w:r>
        <w:rPr>
          <w:spacing w:val="-61"/>
          <w:sz w:val="24"/>
          <w:szCs w:val="24"/>
        </w:rPr>
        <w:t xml:space="preserve"> </w:t>
      </w:r>
      <w:r>
        <w:rPr>
          <w:spacing w:val="18"/>
          <w:sz w:val="24"/>
          <w:szCs w:val="24"/>
        </w:rPr>
        <w:t>的资金周转，</w:t>
      </w:r>
      <w:r>
        <w:rPr>
          <w:spacing w:val="-64"/>
          <w:sz w:val="24"/>
          <w:szCs w:val="24"/>
        </w:rPr>
        <w:t xml:space="preserve"> </w:t>
      </w:r>
      <w:r>
        <w:rPr>
          <w:spacing w:val="18"/>
          <w:sz w:val="24"/>
          <w:szCs w:val="24"/>
        </w:rPr>
        <w:t>严禁挪作他</w:t>
      </w:r>
      <w:r>
        <w:rPr>
          <w:sz w:val="24"/>
          <w:szCs w:val="24"/>
        </w:rPr>
        <w:t xml:space="preserve"> </w:t>
      </w:r>
      <w:r>
        <w:rPr>
          <w:spacing w:val="-2"/>
          <w:sz w:val="24"/>
          <w:szCs w:val="24"/>
        </w:rPr>
        <w:t>用。（即依据合同的特定用途）</w:t>
      </w:r>
    </w:p>
    <w:p w14:paraId="54CA0158">
      <w:pPr>
        <w:pStyle w:val="9"/>
        <w:pageBreakBefore w:val="0"/>
        <w:widowControl w:val="0"/>
        <w:kinsoku/>
        <w:wordWrap/>
        <w:overflowPunct/>
        <w:topLinePunct w:val="0"/>
        <w:autoSpaceDE/>
        <w:autoSpaceDN/>
        <w:bidi w:val="0"/>
        <w:adjustRightInd/>
        <w:snapToGrid/>
        <w:spacing w:after="0" w:line="360" w:lineRule="auto"/>
        <w:ind w:left="0" w:right="0" w:firstLine="404" w:firstLineChars="200"/>
        <w:textAlignment w:val="auto"/>
        <w:rPr>
          <w:sz w:val="24"/>
          <w:szCs w:val="24"/>
        </w:rPr>
      </w:pPr>
      <w:r>
        <w:rPr>
          <w:spacing w:val="-19"/>
          <w:sz w:val="24"/>
          <w:szCs w:val="24"/>
        </w:rPr>
        <w:t>4.贷款额度：</w:t>
      </w:r>
    </w:p>
    <w:p w14:paraId="639DF628">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贷款额度根据借款人提供的中标通知书或政府采购合同确定，原则上不超过政府</w:t>
      </w:r>
      <w:r>
        <w:rPr>
          <w:spacing w:val="9"/>
          <w:sz w:val="24"/>
          <w:szCs w:val="24"/>
        </w:rPr>
        <w:t xml:space="preserve"> </w:t>
      </w:r>
      <w:r>
        <w:rPr>
          <w:spacing w:val="-1"/>
          <w:sz w:val="24"/>
          <w:szCs w:val="24"/>
        </w:rPr>
        <w:t>采购合同金额（须扣除相应的预付款、质保金、其他应付款）的</w:t>
      </w:r>
      <w:r>
        <w:rPr>
          <w:spacing w:val="-58"/>
          <w:sz w:val="24"/>
          <w:szCs w:val="24"/>
        </w:rPr>
        <w:t xml:space="preserve"> </w:t>
      </w:r>
      <w:r>
        <w:rPr>
          <w:spacing w:val="-1"/>
          <w:sz w:val="24"/>
          <w:szCs w:val="24"/>
        </w:rPr>
        <w:t>70%，最高不</w:t>
      </w:r>
      <w:r>
        <w:rPr>
          <w:spacing w:val="-2"/>
          <w:sz w:val="24"/>
          <w:szCs w:val="24"/>
        </w:rPr>
        <w:t>超过</w:t>
      </w:r>
    </w:p>
    <w:p w14:paraId="410664FC">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1000万元（含）。</w:t>
      </w:r>
    </w:p>
    <w:p w14:paraId="1817907B">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5.企业准备资料包括但不限于（由我行客户经理协助提供</w:t>
      </w:r>
      <w:r>
        <w:rPr>
          <w:spacing w:val="-18"/>
          <w:sz w:val="24"/>
          <w:szCs w:val="24"/>
        </w:rPr>
        <w:t>）：</w:t>
      </w:r>
    </w:p>
    <w:p w14:paraId="2DD46855">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（1）基本资料：营业执照（正、副本）、</w:t>
      </w:r>
      <w:r>
        <w:rPr>
          <w:spacing w:val="-2"/>
          <w:sz w:val="24"/>
          <w:szCs w:val="24"/>
        </w:rPr>
        <w:t>基本户开户许可证、机构信用代码证、</w:t>
      </w:r>
      <w:r>
        <w:rPr>
          <w:sz w:val="24"/>
          <w:szCs w:val="24"/>
        </w:rPr>
        <w:t xml:space="preserve"> </w:t>
      </w:r>
      <w:r>
        <w:rPr>
          <w:spacing w:val="-1"/>
          <w:sz w:val="24"/>
          <w:szCs w:val="24"/>
        </w:rPr>
        <w:t>法人及股东身份证、公司章程、近三年财务报表、验资报告、土地租赁协</w:t>
      </w:r>
      <w:r>
        <w:rPr>
          <w:spacing w:val="-2"/>
          <w:sz w:val="24"/>
          <w:szCs w:val="24"/>
        </w:rPr>
        <w:t>议等。</w:t>
      </w:r>
    </w:p>
    <w:p w14:paraId="7EAF1C04">
      <w:pPr>
        <w:pStyle w:val="9"/>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sz w:val="24"/>
          <w:szCs w:val="24"/>
        </w:rPr>
      </w:pPr>
      <w:r>
        <w:rPr>
          <w:spacing w:val="-8"/>
          <w:sz w:val="24"/>
          <w:szCs w:val="24"/>
        </w:rPr>
        <w:t>（2）经政府采购项目中标的证明材料（《中标通知书》或《政府采购合同》）。</w:t>
      </w:r>
    </w:p>
    <w:p w14:paraId="6FD8D95B">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（3）以往参加政府采购项目的履约情况。</w:t>
      </w:r>
    </w:p>
    <w:p w14:paraId="124443A0">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（4）根据企业具体情况提供资料。</w:t>
      </w:r>
    </w:p>
    <w:p w14:paraId="5714C386">
      <w:pPr>
        <w:pStyle w:val="9"/>
        <w:pageBreakBefore w:val="0"/>
        <w:widowControl w:val="0"/>
        <w:kinsoku/>
        <w:wordWrap/>
        <w:overflowPunct/>
        <w:topLinePunct w:val="0"/>
        <w:autoSpaceDE/>
        <w:autoSpaceDN/>
        <w:bidi w:val="0"/>
        <w:adjustRightInd/>
        <w:snapToGrid/>
        <w:spacing w:after="0" w:line="360" w:lineRule="auto"/>
        <w:ind w:left="0" w:right="0" w:firstLine="576" w:firstLineChars="200"/>
        <w:textAlignment w:val="auto"/>
        <w:rPr>
          <w:sz w:val="24"/>
          <w:szCs w:val="24"/>
        </w:rPr>
      </w:pPr>
      <w:r>
        <w:rPr>
          <w:spacing w:val="24"/>
          <w:sz w:val="24"/>
          <w:szCs w:val="24"/>
        </w:rPr>
        <w:t>邮储银行政府采购融资贷联系方式</w:t>
      </w:r>
      <w:r>
        <w:rPr>
          <w:spacing w:val="10"/>
          <w:sz w:val="24"/>
          <w:szCs w:val="24"/>
        </w:rPr>
        <w:t xml:space="preserve"> </w:t>
      </w:r>
      <w:r>
        <w:rPr>
          <w:spacing w:val="25"/>
          <w:sz w:val="24"/>
          <w:szCs w:val="24"/>
        </w:rPr>
        <w:t>及融资产品介绍</w:t>
      </w:r>
    </w:p>
    <w:p w14:paraId="1634DEF6">
      <w:pPr>
        <w:pStyle w:val="9"/>
        <w:pageBreakBefore w:val="0"/>
        <w:widowControl w:val="0"/>
        <w:kinsoku/>
        <w:wordWrap/>
        <w:overflowPunct/>
        <w:topLinePunct w:val="0"/>
        <w:autoSpaceDE/>
        <w:autoSpaceDN/>
        <w:bidi w:val="0"/>
        <w:adjustRightInd/>
        <w:snapToGrid/>
        <w:spacing w:after="0" w:line="360" w:lineRule="auto"/>
        <w:ind w:left="0" w:right="0" w:firstLine="396" w:firstLineChars="200"/>
        <w:textAlignment w:val="auto"/>
        <w:rPr>
          <w:sz w:val="24"/>
          <w:szCs w:val="24"/>
        </w:rPr>
      </w:pPr>
      <w:r>
        <w:rPr>
          <w:spacing w:val="-21"/>
          <w:sz w:val="24"/>
          <w:szCs w:val="24"/>
        </w:rPr>
        <w:t>一、联系方式：</w:t>
      </w:r>
    </w:p>
    <w:tbl>
      <w:tblPr>
        <w:tblStyle w:val="86"/>
        <w:tblW w:w="8563" w:type="dxa"/>
        <w:tblInd w:w="2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
        <w:gridCol w:w="1639"/>
        <w:gridCol w:w="2"/>
        <w:gridCol w:w="1618"/>
        <w:gridCol w:w="2"/>
        <w:gridCol w:w="1767"/>
        <w:gridCol w:w="2"/>
        <w:gridCol w:w="2022"/>
        <w:gridCol w:w="2"/>
        <w:gridCol w:w="1490"/>
        <w:gridCol w:w="2"/>
      </w:tblGrid>
      <w:tr w14:paraId="3701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2" w:type="dxa"/>
          <w:trHeight w:val="603" w:hRule="atLeast"/>
        </w:trPr>
        <w:tc>
          <w:tcPr>
            <w:tcW w:w="1656" w:type="dxa"/>
            <w:gridSpan w:val="2"/>
            <w:vAlign w:val="top"/>
          </w:tcPr>
          <w:p w14:paraId="627DD4E5">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联系人</w:t>
            </w:r>
          </w:p>
        </w:tc>
        <w:tc>
          <w:tcPr>
            <w:tcW w:w="1620" w:type="dxa"/>
            <w:gridSpan w:val="2"/>
            <w:vAlign w:val="top"/>
          </w:tcPr>
          <w:p w14:paraId="067AECEE">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职务</w:t>
            </w:r>
          </w:p>
        </w:tc>
        <w:tc>
          <w:tcPr>
            <w:tcW w:w="1769" w:type="dxa"/>
            <w:gridSpan w:val="2"/>
            <w:vAlign w:val="top"/>
          </w:tcPr>
          <w:p w14:paraId="097DC2E8">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地址</w:t>
            </w:r>
          </w:p>
        </w:tc>
        <w:tc>
          <w:tcPr>
            <w:tcW w:w="2024" w:type="dxa"/>
            <w:gridSpan w:val="2"/>
            <w:vAlign w:val="top"/>
          </w:tcPr>
          <w:p w14:paraId="5EED2327">
            <w:pPr>
              <w:pStyle w:val="84"/>
              <w:pageBreakBefore w:val="0"/>
              <w:widowControl w:val="0"/>
              <w:kinsoku/>
              <w:wordWrap/>
              <w:overflowPunct/>
              <w:topLinePunct w:val="0"/>
              <w:autoSpaceDE/>
              <w:autoSpaceDN/>
              <w:bidi w:val="0"/>
              <w:adjustRightInd/>
              <w:snapToGrid/>
              <w:spacing w:after="0" w:line="360" w:lineRule="auto"/>
              <w:ind w:left="0" w:right="0" w:firstLine="412" w:firstLineChars="200"/>
              <w:textAlignment w:val="auto"/>
              <w:rPr>
                <w:sz w:val="24"/>
                <w:szCs w:val="24"/>
              </w:rPr>
            </w:pPr>
            <w:r>
              <w:rPr>
                <w:spacing w:val="-17"/>
                <w:sz w:val="24"/>
                <w:szCs w:val="24"/>
              </w:rPr>
              <w:t>电话</w:t>
            </w:r>
          </w:p>
        </w:tc>
        <w:tc>
          <w:tcPr>
            <w:tcW w:w="1492" w:type="dxa"/>
            <w:gridSpan w:val="2"/>
            <w:vAlign w:val="top"/>
          </w:tcPr>
          <w:p w14:paraId="2D2597B9">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备注</w:t>
            </w:r>
          </w:p>
        </w:tc>
      </w:tr>
      <w:tr w14:paraId="0CA6E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2" w:type="dxa"/>
          <w:trHeight w:val="1393" w:hRule="atLeast"/>
        </w:trPr>
        <w:tc>
          <w:tcPr>
            <w:tcW w:w="1656" w:type="dxa"/>
            <w:gridSpan w:val="2"/>
            <w:vAlign w:val="top"/>
          </w:tcPr>
          <w:p w14:paraId="0491A69A">
            <w:pPr>
              <w:pStyle w:val="84"/>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张松山</w:t>
            </w:r>
          </w:p>
        </w:tc>
        <w:tc>
          <w:tcPr>
            <w:tcW w:w="1620" w:type="dxa"/>
            <w:gridSpan w:val="2"/>
            <w:vAlign w:val="top"/>
          </w:tcPr>
          <w:p w14:paraId="3C27F2E6">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副行长</w:t>
            </w:r>
          </w:p>
        </w:tc>
        <w:tc>
          <w:tcPr>
            <w:tcW w:w="1769" w:type="dxa"/>
            <w:gridSpan w:val="2"/>
            <w:vAlign w:val="top"/>
          </w:tcPr>
          <w:p w14:paraId="788110C7">
            <w:pPr>
              <w:pStyle w:val="84"/>
              <w:pageBreakBefore w:val="0"/>
              <w:widowControl w:val="0"/>
              <w:kinsoku/>
              <w:wordWrap/>
              <w:overflowPunct/>
              <w:topLinePunct w:val="0"/>
              <w:autoSpaceDE/>
              <w:autoSpaceDN/>
              <w:bidi w:val="0"/>
              <w:adjustRightInd/>
              <w:snapToGrid/>
              <w:spacing w:after="0" w:line="360" w:lineRule="auto"/>
              <w:ind w:left="0" w:right="0" w:firstLine="472" w:firstLineChars="200"/>
              <w:jc w:val="both"/>
              <w:textAlignment w:val="auto"/>
              <w:rPr>
                <w:sz w:val="24"/>
                <w:szCs w:val="24"/>
              </w:rPr>
            </w:pPr>
            <w:r>
              <w:rPr>
                <w:spacing w:val="-2"/>
                <w:sz w:val="24"/>
                <w:szCs w:val="24"/>
              </w:rPr>
              <w:t>伊川县新鹏南</w:t>
            </w:r>
            <w:r>
              <w:rPr>
                <w:spacing w:val="4"/>
                <w:sz w:val="24"/>
                <w:szCs w:val="24"/>
              </w:rPr>
              <w:t xml:space="preserve"> </w:t>
            </w:r>
            <w:r>
              <w:rPr>
                <w:spacing w:val="-2"/>
                <w:sz w:val="24"/>
                <w:szCs w:val="24"/>
              </w:rPr>
              <w:t>路邮政储蓄银</w:t>
            </w:r>
            <w:r>
              <w:rPr>
                <w:spacing w:val="2"/>
                <w:sz w:val="24"/>
                <w:szCs w:val="24"/>
              </w:rPr>
              <w:t xml:space="preserve"> </w:t>
            </w:r>
            <w:r>
              <w:rPr>
                <w:sz w:val="24"/>
                <w:szCs w:val="24"/>
              </w:rPr>
              <w:t>行</w:t>
            </w:r>
          </w:p>
        </w:tc>
        <w:tc>
          <w:tcPr>
            <w:tcW w:w="2024" w:type="dxa"/>
            <w:gridSpan w:val="2"/>
            <w:vAlign w:val="top"/>
          </w:tcPr>
          <w:p w14:paraId="5869140A">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13838827825</w:t>
            </w:r>
          </w:p>
        </w:tc>
        <w:tc>
          <w:tcPr>
            <w:tcW w:w="1492" w:type="dxa"/>
            <w:gridSpan w:val="2"/>
            <w:vAlign w:val="top"/>
          </w:tcPr>
          <w:p w14:paraId="611A3F72">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tc>
      </w:tr>
      <w:tr w14:paraId="4E850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17" w:type="dxa"/>
          <w:trHeight w:val="1395" w:hRule="atLeast"/>
        </w:trPr>
        <w:tc>
          <w:tcPr>
            <w:tcW w:w="1641" w:type="dxa"/>
            <w:gridSpan w:val="2"/>
            <w:vAlign w:val="top"/>
          </w:tcPr>
          <w:p w14:paraId="03FD9C97">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王前锋</w:t>
            </w:r>
          </w:p>
        </w:tc>
        <w:tc>
          <w:tcPr>
            <w:tcW w:w="1620" w:type="dxa"/>
            <w:gridSpan w:val="2"/>
            <w:vAlign w:val="top"/>
          </w:tcPr>
          <w:p w14:paraId="0FB69CA9">
            <w:pPr>
              <w:pStyle w:val="84"/>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产品经理</w:t>
            </w:r>
          </w:p>
        </w:tc>
        <w:tc>
          <w:tcPr>
            <w:tcW w:w="1769" w:type="dxa"/>
            <w:gridSpan w:val="2"/>
            <w:vAlign w:val="top"/>
          </w:tcPr>
          <w:p w14:paraId="0D647763">
            <w:pPr>
              <w:pStyle w:val="84"/>
              <w:pageBreakBefore w:val="0"/>
              <w:widowControl w:val="0"/>
              <w:kinsoku/>
              <w:wordWrap/>
              <w:overflowPunct/>
              <w:topLinePunct w:val="0"/>
              <w:autoSpaceDE/>
              <w:autoSpaceDN/>
              <w:bidi w:val="0"/>
              <w:adjustRightInd/>
              <w:snapToGrid/>
              <w:spacing w:after="0" w:line="360" w:lineRule="auto"/>
              <w:ind w:left="0" w:right="0" w:firstLine="472" w:firstLineChars="200"/>
              <w:jc w:val="both"/>
              <w:textAlignment w:val="auto"/>
              <w:rPr>
                <w:sz w:val="24"/>
                <w:szCs w:val="24"/>
              </w:rPr>
            </w:pPr>
            <w:r>
              <w:rPr>
                <w:spacing w:val="-2"/>
                <w:sz w:val="24"/>
                <w:szCs w:val="24"/>
              </w:rPr>
              <w:t>伊川县新鹏南</w:t>
            </w:r>
            <w:r>
              <w:rPr>
                <w:spacing w:val="4"/>
                <w:sz w:val="24"/>
                <w:szCs w:val="24"/>
              </w:rPr>
              <w:t xml:space="preserve"> </w:t>
            </w:r>
            <w:r>
              <w:rPr>
                <w:spacing w:val="-2"/>
                <w:sz w:val="24"/>
                <w:szCs w:val="24"/>
              </w:rPr>
              <w:t>路邮政储蓄银</w:t>
            </w:r>
            <w:r>
              <w:rPr>
                <w:spacing w:val="2"/>
                <w:sz w:val="24"/>
                <w:szCs w:val="24"/>
              </w:rPr>
              <w:t xml:space="preserve"> </w:t>
            </w:r>
            <w:r>
              <w:rPr>
                <w:sz w:val="24"/>
                <w:szCs w:val="24"/>
              </w:rPr>
              <w:t>行</w:t>
            </w:r>
          </w:p>
        </w:tc>
        <w:tc>
          <w:tcPr>
            <w:tcW w:w="2024" w:type="dxa"/>
            <w:gridSpan w:val="2"/>
            <w:vAlign w:val="top"/>
          </w:tcPr>
          <w:p w14:paraId="3365E0A9">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15236139828</w:t>
            </w:r>
          </w:p>
        </w:tc>
        <w:tc>
          <w:tcPr>
            <w:tcW w:w="1492" w:type="dxa"/>
            <w:gridSpan w:val="2"/>
            <w:vAlign w:val="top"/>
          </w:tcPr>
          <w:p w14:paraId="2668DC9F">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tc>
      </w:tr>
    </w:tbl>
    <w:p w14:paraId="227B0A67">
      <w:pPr>
        <w:pStyle w:val="9"/>
        <w:pageBreakBefore w:val="0"/>
        <w:widowControl w:val="0"/>
        <w:kinsoku/>
        <w:wordWrap/>
        <w:overflowPunct/>
        <w:topLinePunct w:val="0"/>
        <w:autoSpaceDE/>
        <w:autoSpaceDN/>
        <w:bidi w:val="0"/>
        <w:adjustRightInd/>
        <w:snapToGrid/>
        <w:spacing w:after="0" w:line="360" w:lineRule="auto"/>
        <w:ind w:left="0" w:right="0" w:firstLine="376" w:firstLineChars="200"/>
        <w:textAlignment w:val="auto"/>
        <w:rPr>
          <w:sz w:val="24"/>
          <w:szCs w:val="24"/>
        </w:rPr>
      </w:pPr>
      <w:r>
        <w:rPr>
          <w:spacing w:val="-26"/>
          <w:sz w:val="24"/>
          <w:szCs w:val="24"/>
        </w:rPr>
        <w:t>二、融资产品介绍：</w:t>
      </w:r>
    </w:p>
    <w:p w14:paraId="146BC226">
      <w:pPr>
        <w:pStyle w:val="9"/>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sz w:val="24"/>
          <w:szCs w:val="24"/>
        </w:rPr>
      </w:pPr>
      <w:r>
        <w:rPr>
          <w:spacing w:val="8"/>
          <w:sz w:val="24"/>
          <w:szCs w:val="24"/>
        </w:rPr>
        <w:t>政采贷是指我行向符合我行授信条件的、在政府采购活动中中标的企业或自然人</w:t>
      </w:r>
      <w:r>
        <w:rPr>
          <w:spacing w:val="10"/>
          <w:sz w:val="24"/>
          <w:szCs w:val="24"/>
        </w:rPr>
        <w:t xml:space="preserve"> </w:t>
      </w:r>
      <w:r>
        <w:rPr>
          <w:spacing w:val="-1"/>
          <w:sz w:val="24"/>
          <w:szCs w:val="24"/>
        </w:rPr>
        <w:t>发放的，用于中标企业合法生产经营活动的短期人民币流动</w:t>
      </w:r>
      <w:r>
        <w:rPr>
          <w:spacing w:val="-2"/>
          <w:sz w:val="24"/>
          <w:szCs w:val="24"/>
        </w:rPr>
        <w:t>资金贷款。</w:t>
      </w:r>
    </w:p>
    <w:p w14:paraId="0609BBE3">
      <w:pPr>
        <w:pStyle w:val="9"/>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sz w:val="24"/>
          <w:szCs w:val="24"/>
        </w:rPr>
      </w:pPr>
      <w:r>
        <w:rPr>
          <w:spacing w:val="13"/>
          <w:sz w:val="24"/>
          <w:szCs w:val="24"/>
        </w:rPr>
        <w:t>该产品以借款人在我行开立并质押给我行的政府采购收</w:t>
      </w:r>
      <w:r>
        <w:rPr>
          <w:spacing w:val="12"/>
          <w:sz w:val="24"/>
          <w:szCs w:val="24"/>
        </w:rPr>
        <w:t>款账户回款作为主要还</w:t>
      </w:r>
      <w:r>
        <w:rPr>
          <w:sz w:val="24"/>
          <w:szCs w:val="24"/>
        </w:rPr>
        <w:t xml:space="preserve"> </w:t>
      </w:r>
      <w:r>
        <w:rPr>
          <w:spacing w:val="-6"/>
          <w:sz w:val="24"/>
          <w:szCs w:val="24"/>
        </w:rPr>
        <w:t>款 来源，授信额度最高 500 万，额度期限</w:t>
      </w:r>
      <w:r>
        <w:rPr>
          <w:spacing w:val="-33"/>
          <w:sz w:val="24"/>
          <w:szCs w:val="24"/>
        </w:rPr>
        <w:t xml:space="preserve"> </w:t>
      </w:r>
      <w:r>
        <w:rPr>
          <w:spacing w:val="-6"/>
          <w:sz w:val="24"/>
          <w:szCs w:val="24"/>
        </w:rPr>
        <w:t>2</w:t>
      </w:r>
      <w:r>
        <w:rPr>
          <w:spacing w:val="-34"/>
          <w:sz w:val="24"/>
          <w:szCs w:val="24"/>
        </w:rPr>
        <w:t xml:space="preserve"> </w:t>
      </w:r>
      <w:r>
        <w:rPr>
          <w:spacing w:val="-6"/>
          <w:sz w:val="24"/>
          <w:szCs w:val="24"/>
        </w:rPr>
        <w:t>年，单笔期限最长不超过 18</w:t>
      </w:r>
      <w:r>
        <w:rPr>
          <w:spacing w:val="-35"/>
          <w:sz w:val="24"/>
          <w:szCs w:val="24"/>
        </w:rPr>
        <w:t xml:space="preserve"> </w:t>
      </w:r>
      <w:r>
        <w:rPr>
          <w:spacing w:val="-6"/>
          <w:sz w:val="24"/>
          <w:szCs w:val="24"/>
        </w:rPr>
        <w:t>个月，还款方</w:t>
      </w:r>
      <w:r>
        <w:rPr>
          <w:sz w:val="24"/>
          <w:szCs w:val="24"/>
        </w:rPr>
        <w:t xml:space="preserve"> </w:t>
      </w:r>
      <w:r>
        <w:rPr>
          <w:spacing w:val="7"/>
          <w:sz w:val="24"/>
          <w:szCs w:val="24"/>
        </w:rPr>
        <w:t>式 包括等额本息，按月还息、到期一次性还本，</w:t>
      </w:r>
      <w:r>
        <w:rPr>
          <w:spacing w:val="-47"/>
          <w:sz w:val="24"/>
          <w:szCs w:val="24"/>
        </w:rPr>
        <w:t xml:space="preserve"> </w:t>
      </w:r>
      <w:r>
        <w:rPr>
          <w:spacing w:val="7"/>
          <w:sz w:val="24"/>
          <w:szCs w:val="24"/>
        </w:rPr>
        <w:t>固定周期结息、按还款计划表还本</w:t>
      </w:r>
      <w:r>
        <w:rPr>
          <w:sz w:val="24"/>
          <w:szCs w:val="24"/>
        </w:rPr>
        <w:t xml:space="preserve"> </w:t>
      </w:r>
      <w:r>
        <w:rPr>
          <w:spacing w:val="-16"/>
          <w:sz w:val="24"/>
          <w:szCs w:val="24"/>
        </w:rPr>
        <w:t>等，</w:t>
      </w:r>
    </w:p>
    <w:p w14:paraId="5D46AA80">
      <w:pPr>
        <w:pStyle w:val="9"/>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贷款利率执行普惠金融贷款利率。</w:t>
      </w:r>
    </w:p>
    <w:p w14:paraId="564178D8">
      <w:pPr>
        <w:pStyle w:val="9"/>
        <w:pageBreakBefore w:val="0"/>
        <w:widowControl w:val="0"/>
        <w:kinsoku/>
        <w:wordWrap/>
        <w:overflowPunct/>
        <w:topLinePunct w:val="0"/>
        <w:autoSpaceDE/>
        <w:autoSpaceDN/>
        <w:bidi w:val="0"/>
        <w:adjustRightInd/>
        <w:snapToGrid/>
        <w:spacing w:after="0" w:line="360" w:lineRule="auto"/>
        <w:ind w:left="0" w:right="0" w:firstLine="452" w:firstLineChars="200"/>
        <w:textAlignment w:val="auto"/>
        <w:rPr>
          <w:sz w:val="24"/>
          <w:szCs w:val="24"/>
        </w:rPr>
      </w:pPr>
      <w:r>
        <w:rPr>
          <w:spacing w:val="-7"/>
          <w:sz w:val="24"/>
          <w:szCs w:val="24"/>
        </w:rPr>
        <w:t>邮储银行各分支机构均可以申请。</w:t>
      </w:r>
    </w:p>
    <w:p w14:paraId="337F817B">
      <w:pPr>
        <w:pStyle w:val="9"/>
        <w:pageBreakBefore w:val="0"/>
        <w:widowControl w:val="0"/>
        <w:kinsoku/>
        <w:wordWrap/>
        <w:overflowPunct/>
        <w:topLinePunct w:val="0"/>
        <w:autoSpaceDE/>
        <w:autoSpaceDN/>
        <w:bidi w:val="0"/>
        <w:adjustRightInd/>
        <w:snapToGrid/>
        <w:spacing w:after="0" w:line="360" w:lineRule="auto"/>
        <w:ind w:left="0" w:right="0" w:firstLine="576" w:firstLineChars="200"/>
        <w:textAlignment w:val="auto"/>
        <w:rPr>
          <w:sz w:val="24"/>
          <w:szCs w:val="24"/>
        </w:rPr>
      </w:pPr>
      <w:r>
        <w:rPr>
          <w:spacing w:val="24"/>
          <w:sz w:val="24"/>
          <w:szCs w:val="24"/>
        </w:rPr>
        <w:t>中国银行政府采购融资贷联系方式</w:t>
      </w:r>
      <w:r>
        <w:rPr>
          <w:spacing w:val="5"/>
          <w:sz w:val="24"/>
          <w:szCs w:val="24"/>
        </w:rPr>
        <w:t xml:space="preserve"> </w:t>
      </w:r>
      <w:r>
        <w:rPr>
          <w:spacing w:val="24"/>
          <w:sz w:val="24"/>
          <w:szCs w:val="24"/>
        </w:rPr>
        <w:t>及融资产品介绍</w:t>
      </w:r>
    </w:p>
    <w:p w14:paraId="3D0F88C3">
      <w:pPr>
        <w:pStyle w:val="9"/>
        <w:pageBreakBefore w:val="0"/>
        <w:widowControl w:val="0"/>
        <w:kinsoku/>
        <w:wordWrap/>
        <w:overflowPunct/>
        <w:topLinePunct w:val="0"/>
        <w:autoSpaceDE/>
        <w:autoSpaceDN/>
        <w:bidi w:val="0"/>
        <w:adjustRightInd/>
        <w:snapToGrid/>
        <w:spacing w:after="0" w:line="360" w:lineRule="auto"/>
        <w:ind w:left="0" w:right="0" w:firstLine="396" w:firstLineChars="200"/>
        <w:textAlignment w:val="auto"/>
        <w:rPr>
          <w:sz w:val="24"/>
          <w:szCs w:val="24"/>
        </w:rPr>
      </w:pPr>
      <w:r>
        <w:rPr>
          <w:spacing w:val="-21"/>
          <w:sz w:val="24"/>
          <w:szCs w:val="24"/>
        </w:rPr>
        <w:t>一、联系方式：</w:t>
      </w:r>
    </w:p>
    <w:p w14:paraId="458BE6C5">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pPr>
    </w:p>
    <w:tbl>
      <w:tblPr>
        <w:tblStyle w:val="86"/>
        <w:tblW w:w="8545" w:type="dxa"/>
        <w:tblInd w:w="2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7"/>
        <w:gridCol w:w="1574"/>
        <w:gridCol w:w="1964"/>
        <w:gridCol w:w="2113"/>
        <w:gridCol w:w="1417"/>
      </w:tblGrid>
      <w:tr w14:paraId="56CC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1477" w:type="dxa"/>
            <w:vAlign w:val="top"/>
          </w:tcPr>
          <w:p w14:paraId="102BC49F">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联系人</w:t>
            </w:r>
          </w:p>
        </w:tc>
        <w:tc>
          <w:tcPr>
            <w:tcW w:w="1574" w:type="dxa"/>
            <w:vAlign w:val="top"/>
          </w:tcPr>
          <w:p w14:paraId="22B92481">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职务</w:t>
            </w:r>
          </w:p>
        </w:tc>
        <w:tc>
          <w:tcPr>
            <w:tcW w:w="1964" w:type="dxa"/>
            <w:vAlign w:val="top"/>
          </w:tcPr>
          <w:p w14:paraId="51E2B8ED">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地址</w:t>
            </w:r>
          </w:p>
        </w:tc>
        <w:tc>
          <w:tcPr>
            <w:tcW w:w="2113" w:type="dxa"/>
            <w:vAlign w:val="top"/>
          </w:tcPr>
          <w:p w14:paraId="02C7D2E7">
            <w:pPr>
              <w:pStyle w:val="84"/>
              <w:pageBreakBefore w:val="0"/>
              <w:widowControl w:val="0"/>
              <w:kinsoku/>
              <w:wordWrap/>
              <w:overflowPunct/>
              <w:topLinePunct w:val="0"/>
              <w:autoSpaceDE/>
              <w:autoSpaceDN/>
              <w:bidi w:val="0"/>
              <w:adjustRightInd/>
              <w:snapToGrid/>
              <w:spacing w:after="0" w:line="360" w:lineRule="auto"/>
              <w:ind w:left="0" w:right="0" w:firstLine="412" w:firstLineChars="200"/>
              <w:textAlignment w:val="auto"/>
              <w:rPr>
                <w:sz w:val="24"/>
                <w:szCs w:val="24"/>
              </w:rPr>
            </w:pPr>
            <w:r>
              <w:rPr>
                <w:spacing w:val="-17"/>
                <w:sz w:val="24"/>
                <w:szCs w:val="24"/>
              </w:rPr>
              <w:t>电话</w:t>
            </w:r>
          </w:p>
        </w:tc>
        <w:tc>
          <w:tcPr>
            <w:tcW w:w="1417" w:type="dxa"/>
            <w:vAlign w:val="top"/>
          </w:tcPr>
          <w:p w14:paraId="000A238A">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备注</w:t>
            </w:r>
          </w:p>
        </w:tc>
      </w:tr>
      <w:tr w14:paraId="7AF0F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2" w:hRule="atLeast"/>
        </w:trPr>
        <w:tc>
          <w:tcPr>
            <w:tcW w:w="1477" w:type="dxa"/>
            <w:vAlign w:val="top"/>
          </w:tcPr>
          <w:p w14:paraId="3462F870">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杨兵卫</w:t>
            </w:r>
          </w:p>
        </w:tc>
        <w:tc>
          <w:tcPr>
            <w:tcW w:w="1574" w:type="dxa"/>
            <w:vAlign w:val="top"/>
          </w:tcPr>
          <w:p w14:paraId="5D2C4EC8">
            <w:pPr>
              <w:pStyle w:val="84"/>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伊川中行公</w:t>
            </w:r>
            <w:r>
              <w:rPr>
                <w:spacing w:val="1"/>
                <w:sz w:val="24"/>
                <w:szCs w:val="24"/>
              </w:rPr>
              <w:t xml:space="preserve"> </w:t>
            </w:r>
            <w:r>
              <w:rPr>
                <w:spacing w:val="-4"/>
                <w:sz w:val="24"/>
                <w:szCs w:val="24"/>
              </w:rPr>
              <w:t>司客户经理</w:t>
            </w:r>
          </w:p>
        </w:tc>
        <w:tc>
          <w:tcPr>
            <w:tcW w:w="1964" w:type="dxa"/>
            <w:vAlign w:val="top"/>
          </w:tcPr>
          <w:p w14:paraId="7B8DB28A">
            <w:pPr>
              <w:pStyle w:val="84"/>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伊川县人民东路</w:t>
            </w:r>
          </w:p>
          <w:p w14:paraId="6B425C55">
            <w:pPr>
              <w:pStyle w:val="84"/>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【圣府嘉苑楼</w:t>
            </w:r>
          </w:p>
          <w:p w14:paraId="5BD3C19A">
            <w:pPr>
              <w:pStyle w:val="84"/>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sz w:val="24"/>
                <w:szCs w:val="24"/>
              </w:rPr>
            </w:pPr>
            <w:r>
              <w:rPr>
                <w:spacing w:val="-5"/>
                <w:sz w:val="24"/>
                <w:szCs w:val="24"/>
              </w:rPr>
              <w:t>下】</w:t>
            </w:r>
          </w:p>
        </w:tc>
        <w:tc>
          <w:tcPr>
            <w:tcW w:w="2113" w:type="dxa"/>
            <w:vAlign w:val="top"/>
          </w:tcPr>
          <w:p w14:paraId="132BFF1D">
            <w:pPr>
              <w:pStyle w:val="84"/>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0379-63107967</w:t>
            </w:r>
          </w:p>
          <w:p w14:paraId="1FA84A11">
            <w:pPr>
              <w:pStyle w:val="84"/>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13937983159</w:t>
            </w:r>
          </w:p>
        </w:tc>
        <w:tc>
          <w:tcPr>
            <w:tcW w:w="1417" w:type="dxa"/>
            <w:vAlign w:val="top"/>
          </w:tcPr>
          <w:p w14:paraId="6C9A52CC">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ascii="Arial"/>
                <w:sz w:val="21"/>
              </w:rPr>
            </w:pPr>
          </w:p>
        </w:tc>
      </w:tr>
    </w:tbl>
    <w:p w14:paraId="2BCCA93A">
      <w:pPr>
        <w:pStyle w:val="9"/>
        <w:pageBreakBefore w:val="0"/>
        <w:widowControl w:val="0"/>
        <w:kinsoku/>
        <w:wordWrap/>
        <w:overflowPunct/>
        <w:topLinePunct w:val="0"/>
        <w:autoSpaceDE/>
        <w:autoSpaceDN/>
        <w:bidi w:val="0"/>
        <w:adjustRightInd/>
        <w:snapToGrid/>
        <w:spacing w:after="0" w:line="360" w:lineRule="auto"/>
        <w:ind w:left="0" w:right="0" w:firstLine="416" w:firstLineChars="200"/>
        <w:textAlignment w:val="auto"/>
        <w:rPr>
          <w:sz w:val="24"/>
          <w:szCs w:val="24"/>
        </w:rPr>
      </w:pPr>
      <w:r>
        <w:rPr>
          <w:spacing w:val="-16"/>
          <w:sz w:val="24"/>
          <w:szCs w:val="24"/>
        </w:rPr>
        <w:t>二、融资产品</w:t>
      </w:r>
    </w:p>
    <w:p w14:paraId="576157E1">
      <w:pPr>
        <w:pStyle w:val="9"/>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sz w:val="24"/>
          <w:szCs w:val="24"/>
        </w:rPr>
      </w:pPr>
      <w:r>
        <w:rPr>
          <w:spacing w:val="-5"/>
          <w:sz w:val="24"/>
          <w:szCs w:val="24"/>
        </w:rPr>
        <w:t>1、产品简介</w:t>
      </w:r>
    </w:p>
    <w:p w14:paraId="482E61DD">
      <w:pPr>
        <w:pStyle w:val="9"/>
        <w:pageBreakBefore w:val="0"/>
        <w:widowControl w:val="0"/>
        <w:kinsoku/>
        <w:wordWrap/>
        <w:overflowPunct/>
        <w:topLinePunct w:val="0"/>
        <w:autoSpaceDE/>
        <w:autoSpaceDN/>
        <w:bidi w:val="0"/>
        <w:adjustRightInd/>
        <w:snapToGrid/>
        <w:spacing w:after="0" w:line="360" w:lineRule="auto"/>
        <w:ind w:left="0" w:right="0" w:firstLine="468" w:firstLineChars="200"/>
        <w:jc w:val="both"/>
        <w:textAlignment w:val="auto"/>
        <w:rPr>
          <w:sz w:val="24"/>
          <w:szCs w:val="24"/>
        </w:rPr>
      </w:pPr>
      <w:r>
        <w:rPr>
          <w:spacing w:val="-3"/>
          <w:sz w:val="24"/>
          <w:szCs w:val="24"/>
        </w:rPr>
        <w:t>中行“政采通宝</w:t>
      </w:r>
      <w:r>
        <w:rPr>
          <w:spacing w:val="-89"/>
          <w:sz w:val="24"/>
          <w:szCs w:val="24"/>
        </w:rPr>
        <w:t xml:space="preserve"> </w:t>
      </w:r>
      <w:r>
        <w:rPr>
          <w:spacing w:val="-3"/>
          <w:sz w:val="24"/>
          <w:szCs w:val="24"/>
        </w:rPr>
        <w:t>”业务（以下简称政采贷</w:t>
      </w:r>
      <w:r>
        <w:rPr>
          <w:spacing w:val="23"/>
          <w:sz w:val="24"/>
          <w:szCs w:val="24"/>
        </w:rPr>
        <w:t>），</w:t>
      </w:r>
      <w:r>
        <w:rPr>
          <w:spacing w:val="-3"/>
          <w:sz w:val="24"/>
          <w:szCs w:val="24"/>
        </w:rPr>
        <w:t>是指符合河南省政府采购条件的中</w:t>
      </w:r>
      <w:r>
        <w:rPr>
          <w:sz w:val="24"/>
          <w:szCs w:val="24"/>
        </w:rPr>
        <w:t xml:space="preserve"> </w:t>
      </w:r>
      <w:r>
        <w:rPr>
          <w:spacing w:val="1"/>
          <w:sz w:val="24"/>
          <w:szCs w:val="24"/>
        </w:rPr>
        <w:t>小微企业，在中标政府采购合同后，我行应客户申</w:t>
      </w:r>
      <w:r>
        <w:rPr>
          <w:sz w:val="24"/>
          <w:szCs w:val="24"/>
        </w:rPr>
        <w:t xml:space="preserve">请，以政府采购款为还款来源，为 </w:t>
      </w:r>
      <w:r>
        <w:rPr>
          <w:spacing w:val="-1"/>
          <w:sz w:val="24"/>
          <w:szCs w:val="24"/>
        </w:rPr>
        <w:t>借款人提供授信专项用于借款人履行政府采购项下的生产经营活动的业务模</w:t>
      </w:r>
      <w:r>
        <w:rPr>
          <w:spacing w:val="-2"/>
          <w:sz w:val="24"/>
          <w:szCs w:val="24"/>
        </w:rPr>
        <w:t>式。</w:t>
      </w:r>
    </w:p>
    <w:p w14:paraId="61EA192D">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2、业务流程</w:t>
      </w:r>
    </w:p>
    <w:p w14:paraId="58DF5D92">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（1）采购人的采购资金纳入同级或以上政府财政预算。</w:t>
      </w:r>
    </w:p>
    <w:p w14:paraId="5E2ED1FE">
      <w:pPr>
        <w:pStyle w:val="9"/>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sz w:val="24"/>
          <w:szCs w:val="24"/>
        </w:rPr>
      </w:pPr>
      <w:r>
        <w:rPr>
          <w:spacing w:val="-4"/>
          <w:sz w:val="24"/>
          <w:szCs w:val="24"/>
        </w:rPr>
        <w:t>（2）供应商与政府采购部门签订采购合同。</w:t>
      </w:r>
    </w:p>
    <w:p w14:paraId="7AF4A976">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（3）采购合同在河南省政府采购网进行采购合同备案。</w:t>
      </w:r>
    </w:p>
    <w:p w14:paraId="45D64C71">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（4）采购人持采购合同或中标通知书向我行申请融资。</w:t>
      </w:r>
    </w:p>
    <w:p w14:paraId="50185752">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（5）我行核实贸易背景，按照采购合同金</w:t>
      </w:r>
      <w:r>
        <w:rPr>
          <w:spacing w:val="-2"/>
          <w:sz w:val="24"/>
          <w:szCs w:val="24"/>
        </w:rPr>
        <w:t>额的比例发放融资款项。</w:t>
      </w:r>
    </w:p>
    <w:p w14:paraId="672E14FD">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（6）贷款到期前，政府部门支付采购款项到我</w:t>
      </w:r>
      <w:r>
        <w:rPr>
          <w:spacing w:val="-2"/>
          <w:sz w:val="24"/>
          <w:szCs w:val="24"/>
        </w:rPr>
        <w:t>行指定的回款专户中。</w:t>
      </w:r>
    </w:p>
    <w:p w14:paraId="2A21C184">
      <w:pPr>
        <w:pStyle w:val="9"/>
        <w:pageBreakBefore w:val="0"/>
        <w:widowControl w:val="0"/>
        <w:kinsoku/>
        <w:wordWrap/>
        <w:overflowPunct/>
        <w:topLinePunct w:val="0"/>
        <w:autoSpaceDE/>
        <w:autoSpaceDN/>
        <w:bidi w:val="0"/>
        <w:adjustRightInd/>
        <w:snapToGrid/>
        <w:spacing w:after="0" w:line="360" w:lineRule="auto"/>
        <w:ind w:left="0" w:right="0" w:firstLine="400" w:firstLineChars="200"/>
        <w:textAlignment w:val="auto"/>
        <w:rPr>
          <w:sz w:val="24"/>
          <w:szCs w:val="24"/>
        </w:rPr>
      </w:pPr>
      <w:r>
        <w:rPr>
          <w:spacing w:val="-20"/>
          <w:sz w:val="24"/>
          <w:szCs w:val="24"/>
        </w:rPr>
        <w:t>三、</w:t>
      </w:r>
      <w:r>
        <w:rPr>
          <w:spacing w:val="15"/>
          <w:sz w:val="24"/>
          <w:szCs w:val="24"/>
        </w:rPr>
        <w:t xml:space="preserve">  </w:t>
      </w:r>
      <w:r>
        <w:rPr>
          <w:spacing w:val="-20"/>
          <w:sz w:val="24"/>
          <w:szCs w:val="24"/>
        </w:rPr>
        <w:t>准入标准</w:t>
      </w:r>
    </w:p>
    <w:p w14:paraId="79C1ABD4">
      <w:pPr>
        <w:pStyle w:val="9"/>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sz w:val="24"/>
          <w:szCs w:val="24"/>
        </w:rPr>
      </w:pPr>
      <w:r>
        <w:rPr>
          <w:spacing w:val="-6"/>
          <w:sz w:val="24"/>
          <w:szCs w:val="24"/>
        </w:rPr>
        <w:t>1、企业持续经营</w:t>
      </w:r>
      <w:r>
        <w:rPr>
          <w:spacing w:val="-63"/>
          <w:sz w:val="24"/>
          <w:szCs w:val="24"/>
        </w:rPr>
        <w:t xml:space="preserve"> </w:t>
      </w:r>
      <w:r>
        <w:rPr>
          <w:spacing w:val="-6"/>
          <w:sz w:val="24"/>
          <w:szCs w:val="24"/>
        </w:rPr>
        <w:t>2年（含）以上。</w:t>
      </w:r>
    </w:p>
    <w:p w14:paraId="6C2A6BD7">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2、企业持有政府采购中标通知书（或以往年度</w:t>
      </w:r>
      <w:r>
        <w:rPr>
          <w:spacing w:val="-1"/>
          <w:sz w:val="24"/>
          <w:szCs w:val="24"/>
        </w:rPr>
        <w:t>有执行政府采购的记录</w:t>
      </w:r>
      <w:r>
        <w:rPr>
          <w:spacing w:val="5"/>
          <w:sz w:val="24"/>
          <w:szCs w:val="24"/>
        </w:rPr>
        <w:t>），</w:t>
      </w:r>
      <w:r>
        <w:rPr>
          <w:spacing w:val="-1"/>
          <w:sz w:val="24"/>
          <w:szCs w:val="24"/>
        </w:rPr>
        <w:t>且政府</w:t>
      </w:r>
      <w:r>
        <w:rPr>
          <w:sz w:val="24"/>
          <w:szCs w:val="24"/>
        </w:rPr>
        <w:t xml:space="preserve"> </w:t>
      </w:r>
      <w:r>
        <w:rPr>
          <w:spacing w:val="-4"/>
          <w:sz w:val="24"/>
          <w:szCs w:val="24"/>
        </w:rPr>
        <w:t>采购业务无行政处罚记录。</w:t>
      </w:r>
    </w:p>
    <w:p w14:paraId="41E22A53">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3、最近年度纳税申报收入不低于</w:t>
      </w:r>
      <w:r>
        <w:rPr>
          <w:spacing w:val="-51"/>
          <w:sz w:val="24"/>
          <w:szCs w:val="24"/>
        </w:rPr>
        <w:t xml:space="preserve"> </w:t>
      </w:r>
      <w:r>
        <w:rPr>
          <w:sz w:val="24"/>
          <w:szCs w:val="24"/>
        </w:rPr>
        <w:t>200万元；免交</w:t>
      </w:r>
      <w:r>
        <w:rPr>
          <w:spacing w:val="-1"/>
          <w:sz w:val="24"/>
          <w:szCs w:val="24"/>
        </w:rPr>
        <w:t>增值税和小额纳税人可以结合财</w:t>
      </w:r>
      <w:r>
        <w:rPr>
          <w:sz w:val="24"/>
          <w:szCs w:val="24"/>
        </w:rPr>
        <w:t xml:space="preserve"> </w:t>
      </w:r>
      <w:r>
        <w:rPr>
          <w:spacing w:val="-3"/>
          <w:sz w:val="24"/>
          <w:szCs w:val="24"/>
        </w:rPr>
        <w:t>政账户回款予以核实。</w:t>
      </w:r>
    </w:p>
    <w:p w14:paraId="3CE0D4F7">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4、企业及其法人代表、实际控制人信用良好【指不存在任何理由的不良记录，最</w:t>
      </w:r>
      <w:r>
        <w:rPr>
          <w:spacing w:val="1"/>
          <w:sz w:val="24"/>
          <w:szCs w:val="24"/>
        </w:rPr>
        <w:t xml:space="preserve"> </w:t>
      </w:r>
      <w:r>
        <w:rPr>
          <w:sz w:val="24"/>
          <w:szCs w:val="24"/>
        </w:rPr>
        <w:t>近一年内违约记录（非不良性质的逾期、欠息）不超过两次，每次时间不超过十</w:t>
      </w:r>
    </w:p>
    <w:p w14:paraId="4AF238DF">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天】。企业未涉及民间借贷、参与高利贷等违法行为。</w:t>
      </w:r>
    </w:p>
    <w:p w14:paraId="31239ED2">
      <w:pPr>
        <w:pStyle w:val="9"/>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sz w:val="24"/>
          <w:szCs w:val="24"/>
        </w:rPr>
      </w:pPr>
      <w:r>
        <w:rPr>
          <w:spacing w:val="-2"/>
          <w:sz w:val="24"/>
          <w:szCs w:val="24"/>
        </w:rPr>
        <w:t>5、省内异地客户不得准入，即申请人不得在注册地以外申请“政采贷</w:t>
      </w:r>
      <w:r>
        <w:rPr>
          <w:spacing w:val="-89"/>
          <w:sz w:val="24"/>
          <w:szCs w:val="24"/>
        </w:rPr>
        <w:t xml:space="preserve"> </w:t>
      </w:r>
      <w:r>
        <w:rPr>
          <w:spacing w:val="-2"/>
          <w:sz w:val="24"/>
          <w:szCs w:val="24"/>
        </w:rPr>
        <w:t>”融资。</w:t>
      </w:r>
    </w:p>
    <w:p w14:paraId="41126E68">
      <w:pPr>
        <w:pStyle w:val="9"/>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sz w:val="24"/>
          <w:szCs w:val="24"/>
        </w:rPr>
      </w:pPr>
      <w:r>
        <w:rPr>
          <w:spacing w:val="-5"/>
          <w:sz w:val="24"/>
          <w:szCs w:val="24"/>
        </w:rPr>
        <w:t>四、总量核定</w:t>
      </w:r>
    </w:p>
    <w:p w14:paraId="0EA9D23B">
      <w:pPr>
        <w:pStyle w:val="9"/>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sz w:val="24"/>
          <w:szCs w:val="24"/>
        </w:rPr>
      </w:pPr>
      <w:r>
        <w:rPr>
          <w:spacing w:val="-1"/>
          <w:sz w:val="24"/>
          <w:szCs w:val="24"/>
        </w:rPr>
        <w:t>“政采贷</w:t>
      </w:r>
      <w:r>
        <w:rPr>
          <w:spacing w:val="-76"/>
          <w:sz w:val="24"/>
          <w:szCs w:val="24"/>
        </w:rPr>
        <w:t xml:space="preserve"> </w:t>
      </w:r>
      <w:r>
        <w:rPr>
          <w:spacing w:val="-1"/>
          <w:sz w:val="24"/>
          <w:szCs w:val="24"/>
        </w:rPr>
        <w:t>”业务授信总量应结合企业上年度销售收入、他行授信、实际控制人银</w:t>
      </w:r>
      <w:r>
        <w:rPr>
          <w:sz w:val="24"/>
          <w:szCs w:val="24"/>
        </w:rPr>
        <w:t xml:space="preserve"> </w:t>
      </w:r>
      <w:r>
        <w:rPr>
          <w:spacing w:val="-2"/>
          <w:sz w:val="24"/>
          <w:szCs w:val="24"/>
        </w:rPr>
        <w:t>行授信及《政府采购合同》履约情况确定。授信</w:t>
      </w:r>
      <w:r>
        <w:rPr>
          <w:spacing w:val="-3"/>
          <w:sz w:val="24"/>
          <w:szCs w:val="24"/>
        </w:rPr>
        <w:t>总量最高金额不超过</w:t>
      </w:r>
      <w:r>
        <w:rPr>
          <w:spacing w:val="-53"/>
          <w:sz w:val="24"/>
          <w:szCs w:val="24"/>
        </w:rPr>
        <w:t xml:space="preserve"> </w:t>
      </w:r>
      <w:r>
        <w:rPr>
          <w:spacing w:val="-3"/>
          <w:sz w:val="24"/>
          <w:szCs w:val="24"/>
        </w:rPr>
        <w:t>1000万元。</w:t>
      </w:r>
    </w:p>
    <w:p w14:paraId="0B7202CE">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 xml:space="preserve">《政府采购合同》内容为设备、物品等货物类，须借款人一次性采购的，采购方为 </w:t>
      </w:r>
      <w:r>
        <w:rPr>
          <w:spacing w:val="1"/>
          <w:sz w:val="24"/>
          <w:szCs w:val="24"/>
        </w:rPr>
        <w:t>县（区）级财政单位的，单笔授信金额不超过对应《政府采购合</w:t>
      </w:r>
      <w:r>
        <w:rPr>
          <w:sz w:val="24"/>
          <w:szCs w:val="24"/>
        </w:rPr>
        <w:t>同》金额的50%。</w:t>
      </w:r>
    </w:p>
    <w:p w14:paraId="5762B760">
      <w:pPr>
        <w:pStyle w:val="9"/>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sz w:val="24"/>
          <w:szCs w:val="24"/>
        </w:rPr>
      </w:pPr>
      <w:r>
        <w:rPr>
          <w:spacing w:val="-3"/>
          <w:sz w:val="24"/>
          <w:szCs w:val="24"/>
        </w:rPr>
        <w:t>五、利率</w:t>
      </w:r>
    </w:p>
    <w:p w14:paraId="77CCAC72">
      <w:pPr>
        <w:pStyle w:val="9"/>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sz w:val="24"/>
          <w:szCs w:val="24"/>
        </w:rPr>
      </w:pPr>
      <w:r>
        <w:rPr>
          <w:sz w:val="24"/>
          <w:szCs w:val="24"/>
        </w:rPr>
        <w:t>根据市场价格变化及上级行要求确定，目前不超过4.35%，优质客户综合成本更优</w:t>
      </w:r>
      <w:r>
        <w:rPr>
          <w:spacing w:val="-22"/>
          <w:sz w:val="24"/>
          <w:szCs w:val="24"/>
        </w:rPr>
        <w:t>惠。</w:t>
      </w:r>
    </w:p>
    <w:p w14:paraId="6FA28137">
      <w:pPr>
        <w:pageBreakBefore w:val="0"/>
        <w:widowControl w:val="0"/>
        <w:kinsoku/>
        <w:wordWrap/>
        <w:overflowPunct/>
        <w:topLinePunct w:val="0"/>
        <w:autoSpaceDE/>
        <w:autoSpaceDN/>
        <w:bidi w:val="0"/>
        <w:adjustRightInd/>
        <w:snapToGrid/>
        <w:spacing w:after="0" w:line="360" w:lineRule="auto"/>
        <w:ind w:left="0" w:right="0" w:firstLine="420" w:firstLineChars="200"/>
        <w:textAlignment w:val="auto"/>
        <w:rPr>
          <w:rFonts w:hint="eastAsia"/>
        </w:rPr>
      </w:pPr>
    </w:p>
    <w:p w14:paraId="05FEE127">
      <w:pPr>
        <w:pStyle w:val="3"/>
        <w:pageBreakBefore w:val="0"/>
        <w:widowControl w:val="0"/>
        <w:kinsoku/>
        <w:wordWrap/>
        <w:overflowPunct/>
        <w:topLinePunct w:val="0"/>
        <w:autoSpaceDE/>
        <w:autoSpaceDN/>
        <w:bidi w:val="0"/>
        <w:adjustRightInd/>
        <w:snapToGrid/>
        <w:spacing w:before="0" w:after="0" w:line="360" w:lineRule="auto"/>
        <w:ind w:left="0" w:right="0" w:firstLine="643" w:firstLineChars="200"/>
        <w:textAlignment w:val="auto"/>
        <w:rPr>
          <w:rFonts w:hint="eastAsia" w:eastAsiaTheme="minorEastAsia"/>
          <w:color w:val="000000" w:themeColor="text1"/>
          <w:lang w:eastAsia="zh-CN"/>
          <w14:textFill>
            <w14:solidFill>
              <w14:schemeClr w14:val="tx1"/>
            </w14:solidFill>
          </w14:textFill>
        </w:rPr>
      </w:pPr>
    </w:p>
    <w:sectPr>
      <w:footerReference r:id="rId10" w:type="default"/>
      <w:pgSz w:w="12240" w:h="15841"/>
      <w:pgMar w:top="1440" w:right="1080" w:bottom="1440" w:left="1080" w:header="567" w:footer="170" w:gutter="0"/>
      <w:pgNumType w:fmt="decimal"/>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Plantagenet Cherokee">
    <w:panose1 w:val="02020602070100000000"/>
    <w:charset w:val="00"/>
    <w:family w:val="auto"/>
    <w:pitch w:val="default"/>
    <w:sig w:usb0="00000003" w:usb1="00000000" w:usb2="00001000" w:usb3="00000000" w:csb0="00000001" w:csb1="00000000"/>
  </w:font>
  <w:font w:name="Narkisim">
    <w:panose1 w:val="020E0502050101010101"/>
    <w:charset w:val="00"/>
    <w:family w:val="auto"/>
    <w:pitch w:val="default"/>
    <w:sig w:usb0="00000801" w:usb1="00000000" w:usb2="00000000" w:usb3="00000000" w:csb0="00000020" w:csb1="00200000"/>
  </w:font>
  <w:font w:name="Microsoft Uighur">
    <w:panose1 w:val="02000000000000000000"/>
    <w:charset w:val="00"/>
    <w:family w:val="auto"/>
    <w:pitch w:val="default"/>
    <w:sig w:usb0="00002003" w:usb1="80000000" w:usb2="00000008" w:usb3="00000000" w:csb0="00000041" w:csb1="00000000"/>
  </w:font>
  <w:font w:name="LilyUPC">
    <w:panose1 w:val="020B0604020202020204"/>
    <w:charset w:val="00"/>
    <w:family w:val="auto"/>
    <w:pitch w:val="default"/>
    <w:sig w:usb0="01000007" w:usb1="00000002" w:usb2="00000000" w:usb3="00000000" w:csb0="00010001" w:csb1="00000000"/>
  </w:font>
  <w:font w:name="Lao UI">
    <w:panose1 w:val="020B0502040204020203"/>
    <w:charset w:val="00"/>
    <w:family w:val="auto"/>
    <w:pitch w:val="default"/>
    <w:sig w:usb0="02000003" w:usb1="00000000" w:usb2="00000000" w:usb3="00000000" w:csb0="00000001" w:csb1="00000000"/>
  </w:font>
  <w:font w:name="Iskoola Pota">
    <w:panose1 w:val="020B0502040204020203"/>
    <w:charset w:val="00"/>
    <w:family w:val="auto"/>
    <w:pitch w:val="default"/>
    <w:sig w:usb0="00000003" w:usb1="00000000" w:usb2="000002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4251B">
    <w:pPr>
      <w:pStyle w:val="16"/>
      <w:jc w:val="center"/>
    </w:pPr>
  </w:p>
  <w:p w14:paraId="7694BD7D">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8443">
    <w:pPr>
      <w:pStyle w:val="16"/>
      <w:rPr>
        <w:b/>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CCBDF">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7CCBDF">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FD75">
    <w:pPr>
      <w:pStyle w:val="16"/>
      <w:rPr>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BC31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A9BC31A">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B320">
    <w:pPr>
      <w:pStyle w:val="16"/>
      <w:tabs>
        <w:tab w:val="left" w:pos="5911"/>
        <w:tab w:val="clear" w:pos="4153"/>
      </w:tabs>
      <w:rPr>
        <w:rFonts w:hint="eastAsia" w:eastAsiaTheme="minorEastAsia"/>
        <w:b/>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4167E">
                          <w:pPr>
                            <w:pStyle w:val="1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24167E">
                    <w:pPr>
                      <w:pStyle w:val="16"/>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b/>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2EA33">
    <w:pPr>
      <w:spacing w:line="167" w:lineRule="auto"/>
      <w:ind w:left="4071"/>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A9C7B">
                          <w:pPr>
                            <w:pStyle w:val="1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D1A9C7B">
                    <w:pPr>
                      <w:pStyle w:val="1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28DF5">
    <w:pPr>
      <w:pBdr>
        <w:top w:val="none" w:color="auto" w:sz="0" w:space="1"/>
        <w:left w:val="none" w:color="auto" w:sz="0" w:space="4"/>
        <w:bottom w:val="thinThickSmallGap" w:color="auto" w:sz="24" w:space="1"/>
        <w:right w:val="none" w:color="auto" w:sz="0" w:space="4"/>
      </w:pBdr>
      <w:tabs>
        <w:tab w:val="center" w:pos="4153"/>
        <w:tab w:val="right" w:pos="8306"/>
      </w:tabs>
      <w:snapToGrid w:val="0"/>
      <w:spacing w:after="0" w:line="240" w:lineRule="auto"/>
      <w:rPr>
        <w:rFonts w:hint="eastAsia" w:ascii="仿宋" w:hAnsi="仿宋" w:eastAsia="仿宋" w:cs="仿宋"/>
        <w:b/>
        <w:bCs/>
        <w:sz w:val="18"/>
        <w:szCs w:val="18"/>
      </w:rPr>
    </w:pPr>
    <w:r>
      <w:rPr>
        <w:rFonts w:hint="eastAsia" w:ascii="仿宋" w:hAnsi="仿宋" w:eastAsia="仿宋" w:cs="仿宋"/>
        <w:b/>
        <w:bCs/>
        <w:sz w:val="18"/>
        <w:szCs w:val="18"/>
        <w:lang w:val="en-US" w:eastAsia="zh-CN"/>
      </w:rPr>
      <w:t xml:space="preserve">伊川县高山镇人民政府伊川县高山镇豫西中药材集散中心建设设计项目                 </w:t>
    </w:r>
    <w:r>
      <w:rPr>
        <w:rFonts w:hint="eastAsia" w:ascii="仿宋" w:hAnsi="仿宋" w:eastAsia="仿宋" w:cs="仿宋"/>
        <w:b/>
        <w:bCs/>
        <w:sz w:val="18"/>
        <w:szCs w:val="18"/>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C98FCE"/>
    <w:multiLevelType w:val="singleLevel"/>
    <w:tmpl w:val="09C98FCE"/>
    <w:lvl w:ilvl="0" w:tentative="0">
      <w:start w:val="1"/>
      <w:numFmt w:val="chineseCounting"/>
      <w:suff w:val="nothing"/>
      <w:lvlText w:val="（%1）"/>
      <w:lvlJc w:val="left"/>
      <w:rPr>
        <w:rFonts w:hint="eastAsia"/>
        <w:sz w:val="21"/>
        <w:szCs w:val="21"/>
      </w:rPr>
    </w:lvl>
  </w:abstractNum>
  <w:abstractNum w:abstractNumId="1">
    <w:nsid w:val="4C510DAF"/>
    <w:multiLevelType w:val="singleLevel"/>
    <w:tmpl w:val="4C510DAF"/>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NThhZjcwMTY0ZDE0ZjFkNGIzZTA1ODE5MDYyMmIifQ=="/>
    <w:docVar w:name="KSO_WPS_MARK_KEY" w:val="92dab777-2dac-459c-b2af-d2c3b497d4ff"/>
  </w:docVars>
  <w:rsids>
    <w:rsidRoot w:val="00325E2F"/>
    <w:rsid w:val="00005CFA"/>
    <w:rsid w:val="00007F10"/>
    <w:rsid w:val="000103FC"/>
    <w:rsid w:val="00010FAA"/>
    <w:rsid w:val="00012371"/>
    <w:rsid w:val="00017C19"/>
    <w:rsid w:val="00020D9A"/>
    <w:rsid w:val="0002238E"/>
    <w:rsid w:val="000245AF"/>
    <w:rsid w:val="00026DC1"/>
    <w:rsid w:val="00035EF9"/>
    <w:rsid w:val="00036398"/>
    <w:rsid w:val="00053E59"/>
    <w:rsid w:val="000571DF"/>
    <w:rsid w:val="00086743"/>
    <w:rsid w:val="0009264B"/>
    <w:rsid w:val="00093DF8"/>
    <w:rsid w:val="000A18D7"/>
    <w:rsid w:val="000B32D8"/>
    <w:rsid w:val="000B4167"/>
    <w:rsid w:val="000C02AB"/>
    <w:rsid w:val="000D0587"/>
    <w:rsid w:val="000D17CD"/>
    <w:rsid w:val="000D7584"/>
    <w:rsid w:val="000E273C"/>
    <w:rsid w:val="000E3D2A"/>
    <w:rsid w:val="000E4869"/>
    <w:rsid w:val="000E4D34"/>
    <w:rsid w:val="000F09DB"/>
    <w:rsid w:val="000F2302"/>
    <w:rsid w:val="001076CB"/>
    <w:rsid w:val="001122FC"/>
    <w:rsid w:val="0011308A"/>
    <w:rsid w:val="00127049"/>
    <w:rsid w:val="00127366"/>
    <w:rsid w:val="00137AD5"/>
    <w:rsid w:val="00142C79"/>
    <w:rsid w:val="00144229"/>
    <w:rsid w:val="00145409"/>
    <w:rsid w:val="00153756"/>
    <w:rsid w:val="001567DB"/>
    <w:rsid w:val="00174F28"/>
    <w:rsid w:val="00177D68"/>
    <w:rsid w:val="001803F9"/>
    <w:rsid w:val="0019080F"/>
    <w:rsid w:val="001973F6"/>
    <w:rsid w:val="00197621"/>
    <w:rsid w:val="001A7904"/>
    <w:rsid w:val="001B1B25"/>
    <w:rsid w:val="001B7D7E"/>
    <w:rsid w:val="001C2CF3"/>
    <w:rsid w:val="001D03FD"/>
    <w:rsid w:val="001E105D"/>
    <w:rsid w:val="001E2A9B"/>
    <w:rsid w:val="001F1744"/>
    <w:rsid w:val="001F2853"/>
    <w:rsid w:val="001F3D63"/>
    <w:rsid w:val="001F5878"/>
    <w:rsid w:val="001F5B2B"/>
    <w:rsid w:val="0021123D"/>
    <w:rsid w:val="0021254D"/>
    <w:rsid w:val="00214223"/>
    <w:rsid w:val="00215046"/>
    <w:rsid w:val="00226BB5"/>
    <w:rsid w:val="00231062"/>
    <w:rsid w:val="00234AD2"/>
    <w:rsid w:val="00241CE2"/>
    <w:rsid w:val="00243323"/>
    <w:rsid w:val="00263794"/>
    <w:rsid w:val="00264363"/>
    <w:rsid w:val="002661A7"/>
    <w:rsid w:val="00266921"/>
    <w:rsid w:val="00270CD0"/>
    <w:rsid w:val="0027786F"/>
    <w:rsid w:val="00281CE0"/>
    <w:rsid w:val="00285C2A"/>
    <w:rsid w:val="002871F3"/>
    <w:rsid w:val="00295CB5"/>
    <w:rsid w:val="002961C9"/>
    <w:rsid w:val="00297DF8"/>
    <w:rsid w:val="002A40C9"/>
    <w:rsid w:val="002A78C8"/>
    <w:rsid w:val="002B0E66"/>
    <w:rsid w:val="002B5C5F"/>
    <w:rsid w:val="002C7A8A"/>
    <w:rsid w:val="002D5683"/>
    <w:rsid w:val="002D5EB9"/>
    <w:rsid w:val="002D6879"/>
    <w:rsid w:val="002D6EA8"/>
    <w:rsid w:val="002E0A2A"/>
    <w:rsid w:val="002E37A2"/>
    <w:rsid w:val="002E7E86"/>
    <w:rsid w:val="002F5027"/>
    <w:rsid w:val="00302EBB"/>
    <w:rsid w:val="00303F39"/>
    <w:rsid w:val="0030420D"/>
    <w:rsid w:val="00304BC9"/>
    <w:rsid w:val="00306D35"/>
    <w:rsid w:val="00313163"/>
    <w:rsid w:val="003204DC"/>
    <w:rsid w:val="00321CE1"/>
    <w:rsid w:val="00321E73"/>
    <w:rsid w:val="003225F2"/>
    <w:rsid w:val="00322C86"/>
    <w:rsid w:val="00325E2F"/>
    <w:rsid w:val="003317C7"/>
    <w:rsid w:val="003357F1"/>
    <w:rsid w:val="00337178"/>
    <w:rsid w:val="00350365"/>
    <w:rsid w:val="00372441"/>
    <w:rsid w:val="00381911"/>
    <w:rsid w:val="0038298D"/>
    <w:rsid w:val="00387B99"/>
    <w:rsid w:val="00391837"/>
    <w:rsid w:val="00392EDF"/>
    <w:rsid w:val="0039722E"/>
    <w:rsid w:val="00397980"/>
    <w:rsid w:val="003A2554"/>
    <w:rsid w:val="003B192D"/>
    <w:rsid w:val="003B3678"/>
    <w:rsid w:val="003B6394"/>
    <w:rsid w:val="003B73EB"/>
    <w:rsid w:val="003C00FD"/>
    <w:rsid w:val="003C0C68"/>
    <w:rsid w:val="003C11AD"/>
    <w:rsid w:val="003C5973"/>
    <w:rsid w:val="003C5D56"/>
    <w:rsid w:val="003D2B9C"/>
    <w:rsid w:val="003D4CC5"/>
    <w:rsid w:val="003E40DA"/>
    <w:rsid w:val="003F2DDE"/>
    <w:rsid w:val="004003C3"/>
    <w:rsid w:val="0040459E"/>
    <w:rsid w:val="00411A8F"/>
    <w:rsid w:val="0041260F"/>
    <w:rsid w:val="00414748"/>
    <w:rsid w:val="00417BDB"/>
    <w:rsid w:val="004256BE"/>
    <w:rsid w:val="00425F00"/>
    <w:rsid w:val="00430395"/>
    <w:rsid w:val="00430730"/>
    <w:rsid w:val="004336E1"/>
    <w:rsid w:val="00437B14"/>
    <w:rsid w:val="00441999"/>
    <w:rsid w:val="00445D5D"/>
    <w:rsid w:val="00450287"/>
    <w:rsid w:val="00453816"/>
    <w:rsid w:val="00455CD0"/>
    <w:rsid w:val="00460BB6"/>
    <w:rsid w:val="0046550B"/>
    <w:rsid w:val="0047069F"/>
    <w:rsid w:val="00471785"/>
    <w:rsid w:val="004757B3"/>
    <w:rsid w:val="0048056B"/>
    <w:rsid w:val="00490189"/>
    <w:rsid w:val="00495C8C"/>
    <w:rsid w:val="004966E9"/>
    <w:rsid w:val="004A2AC1"/>
    <w:rsid w:val="004A477A"/>
    <w:rsid w:val="004A760F"/>
    <w:rsid w:val="004B0D73"/>
    <w:rsid w:val="004B37CC"/>
    <w:rsid w:val="004B4702"/>
    <w:rsid w:val="004C02FA"/>
    <w:rsid w:val="004C3759"/>
    <w:rsid w:val="004C455E"/>
    <w:rsid w:val="004D0F7E"/>
    <w:rsid w:val="004D3AE7"/>
    <w:rsid w:val="004D6002"/>
    <w:rsid w:val="004E21FC"/>
    <w:rsid w:val="004F1420"/>
    <w:rsid w:val="004F3AB1"/>
    <w:rsid w:val="005002A9"/>
    <w:rsid w:val="00506F6E"/>
    <w:rsid w:val="00511B21"/>
    <w:rsid w:val="00511DF4"/>
    <w:rsid w:val="00512688"/>
    <w:rsid w:val="00517831"/>
    <w:rsid w:val="005203FE"/>
    <w:rsid w:val="005255B5"/>
    <w:rsid w:val="00535B86"/>
    <w:rsid w:val="0054092B"/>
    <w:rsid w:val="00546F2C"/>
    <w:rsid w:val="00550D2F"/>
    <w:rsid w:val="00551F5D"/>
    <w:rsid w:val="00555435"/>
    <w:rsid w:val="005629E0"/>
    <w:rsid w:val="00563FBE"/>
    <w:rsid w:val="00564D49"/>
    <w:rsid w:val="005673D1"/>
    <w:rsid w:val="00567B0C"/>
    <w:rsid w:val="0058200B"/>
    <w:rsid w:val="00586DC9"/>
    <w:rsid w:val="005942B4"/>
    <w:rsid w:val="005A1C1D"/>
    <w:rsid w:val="005C06FB"/>
    <w:rsid w:val="005C543C"/>
    <w:rsid w:val="005D6FEC"/>
    <w:rsid w:val="005E297E"/>
    <w:rsid w:val="005F30C2"/>
    <w:rsid w:val="005F7B4B"/>
    <w:rsid w:val="00601278"/>
    <w:rsid w:val="006015A4"/>
    <w:rsid w:val="00601624"/>
    <w:rsid w:val="00601F78"/>
    <w:rsid w:val="00620A68"/>
    <w:rsid w:val="0062136A"/>
    <w:rsid w:val="00624B64"/>
    <w:rsid w:val="00635661"/>
    <w:rsid w:val="0063567A"/>
    <w:rsid w:val="00644CA9"/>
    <w:rsid w:val="006513EA"/>
    <w:rsid w:val="006531D8"/>
    <w:rsid w:val="00653508"/>
    <w:rsid w:val="00653DFA"/>
    <w:rsid w:val="0066395F"/>
    <w:rsid w:val="00666745"/>
    <w:rsid w:val="00670A99"/>
    <w:rsid w:val="00670AB1"/>
    <w:rsid w:val="006761DC"/>
    <w:rsid w:val="00685EE9"/>
    <w:rsid w:val="00686456"/>
    <w:rsid w:val="00687DE2"/>
    <w:rsid w:val="00691194"/>
    <w:rsid w:val="0069470A"/>
    <w:rsid w:val="00695F85"/>
    <w:rsid w:val="006A2BDE"/>
    <w:rsid w:val="006A567E"/>
    <w:rsid w:val="006A5AA0"/>
    <w:rsid w:val="006A61CF"/>
    <w:rsid w:val="006B2519"/>
    <w:rsid w:val="006B406C"/>
    <w:rsid w:val="006B451E"/>
    <w:rsid w:val="006B5BDF"/>
    <w:rsid w:val="006B7E39"/>
    <w:rsid w:val="006C10B8"/>
    <w:rsid w:val="006D142B"/>
    <w:rsid w:val="006E29FB"/>
    <w:rsid w:val="006E2C55"/>
    <w:rsid w:val="006F169D"/>
    <w:rsid w:val="006F68EF"/>
    <w:rsid w:val="00702858"/>
    <w:rsid w:val="007033ED"/>
    <w:rsid w:val="00710DF4"/>
    <w:rsid w:val="007117B7"/>
    <w:rsid w:val="007232DD"/>
    <w:rsid w:val="007266BF"/>
    <w:rsid w:val="00743D8A"/>
    <w:rsid w:val="00745033"/>
    <w:rsid w:val="00751D78"/>
    <w:rsid w:val="0075755A"/>
    <w:rsid w:val="007624E0"/>
    <w:rsid w:val="00766141"/>
    <w:rsid w:val="0078313C"/>
    <w:rsid w:val="007857B5"/>
    <w:rsid w:val="0078768E"/>
    <w:rsid w:val="00795BFA"/>
    <w:rsid w:val="007A49BF"/>
    <w:rsid w:val="007A6EBD"/>
    <w:rsid w:val="007B011C"/>
    <w:rsid w:val="007B0507"/>
    <w:rsid w:val="007B2697"/>
    <w:rsid w:val="007B39BF"/>
    <w:rsid w:val="007B6FC4"/>
    <w:rsid w:val="007C2C67"/>
    <w:rsid w:val="007C560F"/>
    <w:rsid w:val="007D1B35"/>
    <w:rsid w:val="007D1E3C"/>
    <w:rsid w:val="007D4284"/>
    <w:rsid w:val="007D57AA"/>
    <w:rsid w:val="007D7DFA"/>
    <w:rsid w:val="007E5F26"/>
    <w:rsid w:val="007E6BBC"/>
    <w:rsid w:val="007F1C1F"/>
    <w:rsid w:val="007F27CB"/>
    <w:rsid w:val="007F56E6"/>
    <w:rsid w:val="007F7F6C"/>
    <w:rsid w:val="008043C9"/>
    <w:rsid w:val="008069CC"/>
    <w:rsid w:val="008069D3"/>
    <w:rsid w:val="00806C89"/>
    <w:rsid w:val="00806DAF"/>
    <w:rsid w:val="008075C0"/>
    <w:rsid w:val="00814795"/>
    <w:rsid w:val="00824F17"/>
    <w:rsid w:val="00825315"/>
    <w:rsid w:val="0083209B"/>
    <w:rsid w:val="00833D3C"/>
    <w:rsid w:val="00840A5F"/>
    <w:rsid w:val="00846033"/>
    <w:rsid w:val="00850108"/>
    <w:rsid w:val="00855DE6"/>
    <w:rsid w:val="00860B3C"/>
    <w:rsid w:val="00866B4E"/>
    <w:rsid w:val="00882B76"/>
    <w:rsid w:val="00883DEF"/>
    <w:rsid w:val="00885847"/>
    <w:rsid w:val="008A268B"/>
    <w:rsid w:val="008A52D1"/>
    <w:rsid w:val="008B1EF3"/>
    <w:rsid w:val="008B7914"/>
    <w:rsid w:val="008C2725"/>
    <w:rsid w:val="008D38DF"/>
    <w:rsid w:val="008D6490"/>
    <w:rsid w:val="008E1BE7"/>
    <w:rsid w:val="008E2E9D"/>
    <w:rsid w:val="008E39A8"/>
    <w:rsid w:val="008E460B"/>
    <w:rsid w:val="008E56F8"/>
    <w:rsid w:val="008E5B25"/>
    <w:rsid w:val="008E650F"/>
    <w:rsid w:val="008F0945"/>
    <w:rsid w:val="008F0CC8"/>
    <w:rsid w:val="008F0D18"/>
    <w:rsid w:val="008F5C8C"/>
    <w:rsid w:val="008F786F"/>
    <w:rsid w:val="0090354F"/>
    <w:rsid w:val="00910C4C"/>
    <w:rsid w:val="00911E12"/>
    <w:rsid w:val="0091750B"/>
    <w:rsid w:val="00922177"/>
    <w:rsid w:val="0092751D"/>
    <w:rsid w:val="009302C3"/>
    <w:rsid w:val="00934767"/>
    <w:rsid w:val="00935979"/>
    <w:rsid w:val="0094023F"/>
    <w:rsid w:val="009424E6"/>
    <w:rsid w:val="00951179"/>
    <w:rsid w:val="0095655B"/>
    <w:rsid w:val="009620DB"/>
    <w:rsid w:val="0096314B"/>
    <w:rsid w:val="00963F96"/>
    <w:rsid w:val="00971030"/>
    <w:rsid w:val="00971D3A"/>
    <w:rsid w:val="00972898"/>
    <w:rsid w:val="00972BD6"/>
    <w:rsid w:val="00974D9A"/>
    <w:rsid w:val="00977385"/>
    <w:rsid w:val="00980399"/>
    <w:rsid w:val="0098125F"/>
    <w:rsid w:val="00985071"/>
    <w:rsid w:val="009917BF"/>
    <w:rsid w:val="009958D0"/>
    <w:rsid w:val="009A1073"/>
    <w:rsid w:val="009A46D1"/>
    <w:rsid w:val="009A490C"/>
    <w:rsid w:val="009A6511"/>
    <w:rsid w:val="009B2D76"/>
    <w:rsid w:val="009B41BC"/>
    <w:rsid w:val="009C0D0A"/>
    <w:rsid w:val="009C26FD"/>
    <w:rsid w:val="009C3CD5"/>
    <w:rsid w:val="009C6BDD"/>
    <w:rsid w:val="009D0AD7"/>
    <w:rsid w:val="009D5664"/>
    <w:rsid w:val="009E21DB"/>
    <w:rsid w:val="009E4215"/>
    <w:rsid w:val="009E5F33"/>
    <w:rsid w:val="009F2C5D"/>
    <w:rsid w:val="009F7EF6"/>
    <w:rsid w:val="00A04D8D"/>
    <w:rsid w:val="00A06963"/>
    <w:rsid w:val="00A15D9A"/>
    <w:rsid w:val="00A31A63"/>
    <w:rsid w:val="00A351E3"/>
    <w:rsid w:val="00A44346"/>
    <w:rsid w:val="00A4533F"/>
    <w:rsid w:val="00A45B3C"/>
    <w:rsid w:val="00A46E46"/>
    <w:rsid w:val="00A6353F"/>
    <w:rsid w:val="00A643C5"/>
    <w:rsid w:val="00A66F07"/>
    <w:rsid w:val="00A71FAD"/>
    <w:rsid w:val="00A75CED"/>
    <w:rsid w:val="00A773E9"/>
    <w:rsid w:val="00A77596"/>
    <w:rsid w:val="00A77BF2"/>
    <w:rsid w:val="00A77C2B"/>
    <w:rsid w:val="00A80707"/>
    <w:rsid w:val="00A80727"/>
    <w:rsid w:val="00A83131"/>
    <w:rsid w:val="00A86928"/>
    <w:rsid w:val="00A87E77"/>
    <w:rsid w:val="00A9127F"/>
    <w:rsid w:val="00A93F5E"/>
    <w:rsid w:val="00A95173"/>
    <w:rsid w:val="00A964EA"/>
    <w:rsid w:val="00AA085F"/>
    <w:rsid w:val="00AA276A"/>
    <w:rsid w:val="00AA3FA7"/>
    <w:rsid w:val="00AA4820"/>
    <w:rsid w:val="00AA4996"/>
    <w:rsid w:val="00AA6541"/>
    <w:rsid w:val="00AC0A3C"/>
    <w:rsid w:val="00AC510A"/>
    <w:rsid w:val="00AC6B0A"/>
    <w:rsid w:val="00AE593C"/>
    <w:rsid w:val="00AE7807"/>
    <w:rsid w:val="00AF1888"/>
    <w:rsid w:val="00AF2637"/>
    <w:rsid w:val="00AF3AB5"/>
    <w:rsid w:val="00AF51F6"/>
    <w:rsid w:val="00B00C5D"/>
    <w:rsid w:val="00B019AA"/>
    <w:rsid w:val="00B05185"/>
    <w:rsid w:val="00B117B2"/>
    <w:rsid w:val="00B26532"/>
    <w:rsid w:val="00B27900"/>
    <w:rsid w:val="00B30162"/>
    <w:rsid w:val="00B31E04"/>
    <w:rsid w:val="00B61F04"/>
    <w:rsid w:val="00B620EB"/>
    <w:rsid w:val="00B63F3D"/>
    <w:rsid w:val="00B646EA"/>
    <w:rsid w:val="00B73C37"/>
    <w:rsid w:val="00B82FA1"/>
    <w:rsid w:val="00B83D04"/>
    <w:rsid w:val="00B91D4F"/>
    <w:rsid w:val="00B93900"/>
    <w:rsid w:val="00BA4DF6"/>
    <w:rsid w:val="00BA5B54"/>
    <w:rsid w:val="00BA7495"/>
    <w:rsid w:val="00BB406C"/>
    <w:rsid w:val="00BB5F11"/>
    <w:rsid w:val="00BB65B3"/>
    <w:rsid w:val="00BD0C12"/>
    <w:rsid w:val="00BD18FA"/>
    <w:rsid w:val="00BD1C08"/>
    <w:rsid w:val="00BD4949"/>
    <w:rsid w:val="00BE0099"/>
    <w:rsid w:val="00BE76F3"/>
    <w:rsid w:val="00BF0FAD"/>
    <w:rsid w:val="00BF362C"/>
    <w:rsid w:val="00C077B3"/>
    <w:rsid w:val="00C1258F"/>
    <w:rsid w:val="00C22195"/>
    <w:rsid w:val="00C23521"/>
    <w:rsid w:val="00C24F42"/>
    <w:rsid w:val="00C25AD3"/>
    <w:rsid w:val="00C265BA"/>
    <w:rsid w:val="00C35AA2"/>
    <w:rsid w:val="00C41B04"/>
    <w:rsid w:val="00C44599"/>
    <w:rsid w:val="00C4461A"/>
    <w:rsid w:val="00C517DF"/>
    <w:rsid w:val="00C525A2"/>
    <w:rsid w:val="00C554F5"/>
    <w:rsid w:val="00C642DC"/>
    <w:rsid w:val="00C70374"/>
    <w:rsid w:val="00C70972"/>
    <w:rsid w:val="00C7437A"/>
    <w:rsid w:val="00C76975"/>
    <w:rsid w:val="00C916B1"/>
    <w:rsid w:val="00C92F2E"/>
    <w:rsid w:val="00CA00F3"/>
    <w:rsid w:val="00CA3FE2"/>
    <w:rsid w:val="00CB0CF7"/>
    <w:rsid w:val="00CB3E45"/>
    <w:rsid w:val="00CB4AA1"/>
    <w:rsid w:val="00CB6054"/>
    <w:rsid w:val="00CC07DF"/>
    <w:rsid w:val="00CC148B"/>
    <w:rsid w:val="00CC3C98"/>
    <w:rsid w:val="00CE66D6"/>
    <w:rsid w:val="00CF32C5"/>
    <w:rsid w:val="00CF48FB"/>
    <w:rsid w:val="00D00655"/>
    <w:rsid w:val="00D0141D"/>
    <w:rsid w:val="00D04FCE"/>
    <w:rsid w:val="00D10AA0"/>
    <w:rsid w:val="00D124A1"/>
    <w:rsid w:val="00D14608"/>
    <w:rsid w:val="00D15A34"/>
    <w:rsid w:val="00D23864"/>
    <w:rsid w:val="00D24096"/>
    <w:rsid w:val="00D3283B"/>
    <w:rsid w:val="00D35411"/>
    <w:rsid w:val="00D37F47"/>
    <w:rsid w:val="00D46A6B"/>
    <w:rsid w:val="00D54A0C"/>
    <w:rsid w:val="00D7563E"/>
    <w:rsid w:val="00D92A37"/>
    <w:rsid w:val="00D9637F"/>
    <w:rsid w:val="00D9765F"/>
    <w:rsid w:val="00D979F6"/>
    <w:rsid w:val="00DA2C6B"/>
    <w:rsid w:val="00DA7C25"/>
    <w:rsid w:val="00DB7D32"/>
    <w:rsid w:val="00DC2BA2"/>
    <w:rsid w:val="00DD1F6E"/>
    <w:rsid w:val="00DD2AFD"/>
    <w:rsid w:val="00DD46F3"/>
    <w:rsid w:val="00DD7E6B"/>
    <w:rsid w:val="00DD7F4D"/>
    <w:rsid w:val="00DE229C"/>
    <w:rsid w:val="00DF017D"/>
    <w:rsid w:val="00DF3D70"/>
    <w:rsid w:val="00DF509A"/>
    <w:rsid w:val="00DF6B33"/>
    <w:rsid w:val="00E05873"/>
    <w:rsid w:val="00E064A7"/>
    <w:rsid w:val="00E06635"/>
    <w:rsid w:val="00E13486"/>
    <w:rsid w:val="00E242D0"/>
    <w:rsid w:val="00E27CBF"/>
    <w:rsid w:val="00E35D5E"/>
    <w:rsid w:val="00E36707"/>
    <w:rsid w:val="00E37F62"/>
    <w:rsid w:val="00E41C62"/>
    <w:rsid w:val="00E42B85"/>
    <w:rsid w:val="00E47282"/>
    <w:rsid w:val="00E554B2"/>
    <w:rsid w:val="00E5722C"/>
    <w:rsid w:val="00E602E6"/>
    <w:rsid w:val="00E60F8E"/>
    <w:rsid w:val="00E64C98"/>
    <w:rsid w:val="00E67029"/>
    <w:rsid w:val="00E715EC"/>
    <w:rsid w:val="00E73BAB"/>
    <w:rsid w:val="00E8737E"/>
    <w:rsid w:val="00E87ABE"/>
    <w:rsid w:val="00E931B7"/>
    <w:rsid w:val="00E96F24"/>
    <w:rsid w:val="00E9749C"/>
    <w:rsid w:val="00EA02B3"/>
    <w:rsid w:val="00EA1551"/>
    <w:rsid w:val="00EA64B8"/>
    <w:rsid w:val="00ED0F1A"/>
    <w:rsid w:val="00ED24B8"/>
    <w:rsid w:val="00ED3A68"/>
    <w:rsid w:val="00EE05BE"/>
    <w:rsid w:val="00EE0EE1"/>
    <w:rsid w:val="00EE751C"/>
    <w:rsid w:val="00EF2E6F"/>
    <w:rsid w:val="00EF5304"/>
    <w:rsid w:val="00F034FB"/>
    <w:rsid w:val="00F076ED"/>
    <w:rsid w:val="00F16CB3"/>
    <w:rsid w:val="00F2014C"/>
    <w:rsid w:val="00F203C7"/>
    <w:rsid w:val="00F247E7"/>
    <w:rsid w:val="00F3286A"/>
    <w:rsid w:val="00F36314"/>
    <w:rsid w:val="00F402C3"/>
    <w:rsid w:val="00F40D80"/>
    <w:rsid w:val="00F4257D"/>
    <w:rsid w:val="00F43EE0"/>
    <w:rsid w:val="00F45888"/>
    <w:rsid w:val="00F51572"/>
    <w:rsid w:val="00F52F5A"/>
    <w:rsid w:val="00F54259"/>
    <w:rsid w:val="00F63060"/>
    <w:rsid w:val="00F66156"/>
    <w:rsid w:val="00F73156"/>
    <w:rsid w:val="00F8081E"/>
    <w:rsid w:val="00F83FEF"/>
    <w:rsid w:val="00F8541A"/>
    <w:rsid w:val="00F86A1E"/>
    <w:rsid w:val="00F925F1"/>
    <w:rsid w:val="00F97E41"/>
    <w:rsid w:val="00FA0959"/>
    <w:rsid w:val="00FA3530"/>
    <w:rsid w:val="00FA5B7A"/>
    <w:rsid w:val="00FA70D3"/>
    <w:rsid w:val="00FA7429"/>
    <w:rsid w:val="00FB5711"/>
    <w:rsid w:val="00FC789B"/>
    <w:rsid w:val="00FD2C1D"/>
    <w:rsid w:val="00FD3FE8"/>
    <w:rsid w:val="00FE4DB8"/>
    <w:rsid w:val="00FE672F"/>
    <w:rsid w:val="00FF1617"/>
    <w:rsid w:val="00FF31F5"/>
    <w:rsid w:val="01017684"/>
    <w:rsid w:val="01055EA5"/>
    <w:rsid w:val="01057174"/>
    <w:rsid w:val="01064C9A"/>
    <w:rsid w:val="010B405F"/>
    <w:rsid w:val="01227D26"/>
    <w:rsid w:val="01273DE6"/>
    <w:rsid w:val="013B29DB"/>
    <w:rsid w:val="015E6884"/>
    <w:rsid w:val="019127B6"/>
    <w:rsid w:val="01A52705"/>
    <w:rsid w:val="01F36FCC"/>
    <w:rsid w:val="0213766F"/>
    <w:rsid w:val="0220048E"/>
    <w:rsid w:val="02275933"/>
    <w:rsid w:val="02367B96"/>
    <w:rsid w:val="02AA55F8"/>
    <w:rsid w:val="02C90896"/>
    <w:rsid w:val="02D05560"/>
    <w:rsid w:val="02DB19BD"/>
    <w:rsid w:val="02F254D6"/>
    <w:rsid w:val="03082F4B"/>
    <w:rsid w:val="0313544C"/>
    <w:rsid w:val="03914CEF"/>
    <w:rsid w:val="03A10CAA"/>
    <w:rsid w:val="03B24C65"/>
    <w:rsid w:val="04014E76"/>
    <w:rsid w:val="040D5EB0"/>
    <w:rsid w:val="04123A82"/>
    <w:rsid w:val="04277401"/>
    <w:rsid w:val="042E69E2"/>
    <w:rsid w:val="0432452A"/>
    <w:rsid w:val="043D2E72"/>
    <w:rsid w:val="04DA0918"/>
    <w:rsid w:val="053A393D"/>
    <w:rsid w:val="053E2C54"/>
    <w:rsid w:val="054F4E62"/>
    <w:rsid w:val="05545FD4"/>
    <w:rsid w:val="05567482"/>
    <w:rsid w:val="055A55B4"/>
    <w:rsid w:val="056D52E8"/>
    <w:rsid w:val="05917228"/>
    <w:rsid w:val="05B568A4"/>
    <w:rsid w:val="05BC001D"/>
    <w:rsid w:val="05CA5DE0"/>
    <w:rsid w:val="05CF1E17"/>
    <w:rsid w:val="05D37841"/>
    <w:rsid w:val="05D84E57"/>
    <w:rsid w:val="05F652DD"/>
    <w:rsid w:val="0622640F"/>
    <w:rsid w:val="069468A4"/>
    <w:rsid w:val="06AA1A32"/>
    <w:rsid w:val="06B166DD"/>
    <w:rsid w:val="06B62CBE"/>
    <w:rsid w:val="06C510C8"/>
    <w:rsid w:val="06C61153"/>
    <w:rsid w:val="06C947A0"/>
    <w:rsid w:val="06CE625A"/>
    <w:rsid w:val="06F061D0"/>
    <w:rsid w:val="06F35CC1"/>
    <w:rsid w:val="07091040"/>
    <w:rsid w:val="072916E2"/>
    <w:rsid w:val="074233C2"/>
    <w:rsid w:val="079466F6"/>
    <w:rsid w:val="07C63F70"/>
    <w:rsid w:val="07CC279A"/>
    <w:rsid w:val="07E13D6B"/>
    <w:rsid w:val="07F43A9E"/>
    <w:rsid w:val="08382385"/>
    <w:rsid w:val="083E4D1A"/>
    <w:rsid w:val="08405532"/>
    <w:rsid w:val="084C38DA"/>
    <w:rsid w:val="088241B4"/>
    <w:rsid w:val="08D15B8E"/>
    <w:rsid w:val="09150170"/>
    <w:rsid w:val="091D420B"/>
    <w:rsid w:val="09451FC2"/>
    <w:rsid w:val="09652EA6"/>
    <w:rsid w:val="0992531D"/>
    <w:rsid w:val="09A6701A"/>
    <w:rsid w:val="09A80FE4"/>
    <w:rsid w:val="09B2776D"/>
    <w:rsid w:val="09E60C83"/>
    <w:rsid w:val="09EB0ED1"/>
    <w:rsid w:val="09F72F61"/>
    <w:rsid w:val="09FE29B2"/>
    <w:rsid w:val="0A0C1573"/>
    <w:rsid w:val="0A1C6BD9"/>
    <w:rsid w:val="0A1C72DC"/>
    <w:rsid w:val="0A2E50AD"/>
    <w:rsid w:val="0A3960E0"/>
    <w:rsid w:val="0AA03A6A"/>
    <w:rsid w:val="0ABD1C25"/>
    <w:rsid w:val="0AC459AA"/>
    <w:rsid w:val="0AD44E8F"/>
    <w:rsid w:val="0AE0030A"/>
    <w:rsid w:val="0AE778EA"/>
    <w:rsid w:val="0AE85281"/>
    <w:rsid w:val="0AEC4F01"/>
    <w:rsid w:val="0AF12519"/>
    <w:rsid w:val="0B0264D2"/>
    <w:rsid w:val="0B0A397A"/>
    <w:rsid w:val="0B4F53B8"/>
    <w:rsid w:val="0B754EF6"/>
    <w:rsid w:val="0B7C5E15"/>
    <w:rsid w:val="0B7E254A"/>
    <w:rsid w:val="0B923CFA"/>
    <w:rsid w:val="0B9F5A4B"/>
    <w:rsid w:val="0BB53545"/>
    <w:rsid w:val="0BB566AD"/>
    <w:rsid w:val="0BB974D9"/>
    <w:rsid w:val="0BDE6F3F"/>
    <w:rsid w:val="0BEE462D"/>
    <w:rsid w:val="0BF05890"/>
    <w:rsid w:val="0C060244"/>
    <w:rsid w:val="0C311318"/>
    <w:rsid w:val="0C7451AE"/>
    <w:rsid w:val="0C7F2609"/>
    <w:rsid w:val="0C874AB1"/>
    <w:rsid w:val="0CBF3458"/>
    <w:rsid w:val="0CC339A0"/>
    <w:rsid w:val="0CEC743A"/>
    <w:rsid w:val="0D046532"/>
    <w:rsid w:val="0D074778"/>
    <w:rsid w:val="0D2412E4"/>
    <w:rsid w:val="0D49663A"/>
    <w:rsid w:val="0D9727AA"/>
    <w:rsid w:val="0D975C20"/>
    <w:rsid w:val="0DAE46EF"/>
    <w:rsid w:val="0DBA7538"/>
    <w:rsid w:val="0DBF06AB"/>
    <w:rsid w:val="0DC20180"/>
    <w:rsid w:val="0DDF3B92"/>
    <w:rsid w:val="0DED5218"/>
    <w:rsid w:val="0E0407B3"/>
    <w:rsid w:val="0E0662D9"/>
    <w:rsid w:val="0E0F1632"/>
    <w:rsid w:val="0E1F2F42"/>
    <w:rsid w:val="0E2340AE"/>
    <w:rsid w:val="0E3C73BA"/>
    <w:rsid w:val="0E5E6115"/>
    <w:rsid w:val="0E841F0C"/>
    <w:rsid w:val="0EA63619"/>
    <w:rsid w:val="0EAA7B2C"/>
    <w:rsid w:val="0EC0292C"/>
    <w:rsid w:val="0EC3241C"/>
    <w:rsid w:val="0ED4462A"/>
    <w:rsid w:val="0F094557"/>
    <w:rsid w:val="0F243CCD"/>
    <w:rsid w:val="0F2E3D3A"/>
    <w:rsid w:val="0F3F7CF5"/>
    <w:rsid w:val="0F4C0247"/>
    <w:rsid w:val="0F4C0664"/>
    <w:rsid w:val="0F851480"/>
    <w:rsid w:val="0F8676D2"/>
    <w:rsid w:val="0F8751F8"/>
    <w:rsid w:val="0F953DB9"/>
    <w:rsid w:val="0FC226D4"/>
    <w:rsid w:val="0FDF7A3C"/>
    <w:rsid w:val="0FE34B24"/>
    <w:rsid w:val="100131FC"/>
    <w:rsid w:val="1027372D"/>
    <w:rsid w:val="104D4694"/>
    <w:rsid w:val="10615A49"/>
    <w:rsid w:val="10686DD7"/>
    <w:rsid w:val="106F0385"/>
    <w:rsid w:val="107134FF"/>
    <w:rsid w:val="10A67EDA"/>
    <w:rsid w:val="10AA5642"/>
    <w:rsid w:val="10EA3C90"/>
    <w:rsid w:val="10EC5C5A"/>
    <w:rsid w:val="10EF7717"/>
    <w:rsid w:val="11005262"/>
    <w:rsid w:val="11274EE5"/>
    <w:rsid w:val="11292A0B"/>
    <w:rsid w:val="112E1EAF"/>
    <w:rsid w:val="113D64B6"/>
    <w:rsid w:val="115F1A36"/>
    <w:rsid w:val="11651664"/>
    <w:rsid w:val="1176415A"/>
    <w:rsid w:val="117F087D"/>
    <w:rsid w:val="118355A0"/>
    <w:rsid w:val="118539B9"/>
    <w:rsid w:val="11AA3420"/>
    <w:rsid w:val="11B83D8F"/>
    <w:rsid w:val="11CE35B2"/>
    <w:rsid w:val="11FC011F"/>
    <w:rsid w:val="120B2110"/>
    <w:rsid w:val="1226519C"/>
    <w:rsid w:val="12282CC2"/>
    <w:rsid w:val="128F09B1"/>
    <w:rsid w:val="12DD19F1"/>
    <w:rsid w:val="12E110C3"/>
    <w:rsid w:val="12F17558"/>
    <w:rsid w:val="131E5E73"/>
    <w:rsid w:val="131E7C21"/>
    <w:rsid w:val="13313DF9"/>
    <w:rsid w:val="137F5E2D"/>
    <w:rsid w:val="13806B2E"/>
    <w:rsid w:val="13893C35"/>
    <w:rsid w:val="138C102F"/>
    <w:rsid w:val="13C13016"/>
    <w:rsid w:val="13C133CE"/>
    <w:rsid w:val="13E40E6B"/>
    <w:rsid w:val="142D2812"/>
    <w:rsid w:val="147438FE"/>
    <w:rsid w:val="14825131"/>
    <w:rsid w:val="14832432"/>
    <w:rsid w:val="14A95C11"/>
    <w:rsid w:val="14B940A6"/>
    <w:rsid w:val="14DC7D94"/>
    <w:rsid w:val="15107A3E"/>
    <w:rsid w:val="1531530C"/>
    <w:rsid w:val="15455939"/>
    <w:rsid w:val="154A11A2"/>
    <w:rsid w:val="154C1F68"/>
    <w:rsid w:val="155017D3"/>
    <w:rsid w:val="156D4E90"/>
    <w:rsid w:val="15906633"/>
    <w:rsid w:val="15BF196E"/>
    <w:rsid w:val="15C55E94"/>
    <w:rsid w:val="15CF0E64"/>
    <w:rsid w:val="15DB004C"/>
    <w:rsid w:val="15E72E94"/>
    <w:rsid w:val="15EA64E1"/>
    <w:rsid w:val="15F731EB"/>
    <w:rsid w:val="160457F4"/>
    <w:rsid w:val="160B29D2"/>
    <w:rsid w:val="16265DF4"/>
    <w:rsid w:val="16287735"/>
    <w:rsid w:val="164B6F7F"/>
    <w:rsid w:val="165A63C4"/>
    <w:rsid w:val="166F7BAF"/>
    <w:rsid w:val="16857E4E"/>
    <w:rsid w:val="16922E00"/>
    <w:rsid w:val="16A31A50"/>
    <w:rsid w:val="16BF796D"/>
    <w:rsid w:val="16D03928"/>
    <w:rsid w:val="16E70E08"/>
    <w:rsid w:val="170830C2"/>
    <w:rsid w:val="17487963"/>
    <w:rsid w:val="17606A5A"/>
    <w:rsid w:val="17740758"/>
    <w:rsid w:val="1777139E"/>
    <w:rsid w:val="178A69FE"/>
    <w:rsid w:val="17AE3C6A"/>
    <w:rsid w:val="18025D64"/>
    <w:rsid w:val="181F5999"/>
    <w:rsid w:val="181F6915"/>
    <w:rsid w:val="182E4DAB"/>
    <w:rsid w:val="18450A85"/>
    <w:rsid w:val="185C1918"/>
    <w:rsid w:val="186708C6"/>
    <w:rsid w:val="18AC4E57"/>
    <w:rsid w:val="18C15C1F"/>
    <w:rsid w:val="18C64FE3"/>
    <w:rsid w:val="18E33D6B"/>
    <w:rsid w:val="18ED6A14"/>
    <w:rsid w:val="18FF0305"/>
    <w:rsid w:val="19006747"/>
    <w:rsid w:val="190B0C48"/>
    <w:rsid w:val="19137AFC"/>
    <w:rsid w:val="19202945"/>
    <w:rsid w:val="1922225D"/>
    <w:rsid w:val="19383D27"/>
    <w:rsid w:val="193C6FA6"/>
    <w:rsid w:val="19457408"/>
    <w:rsid w:val="19690C8E"/>
    <w:rsid w:val="199E386A"/>
    <w:rsid w:val="19C3106B"/>
    <w:rsid w:val="19C57049"/>
    <w:rsid w:val="19D35C0A"/>
    <w:rsid w:val="19D423A5"/>
    <w:rsid w:val="19DB4ABE"/>
    <w:rsid w:val="19E20B4E"/>
    <w:rsid w:val="19FA7A9C"/>
    <w:rsid w:val="1A02204B"/>
    <w:rsid w:val="1A231FC1"/>
    <w:rsid w:val="1A42440D"/>
    <w:rsid w:val="1A480B13"/>
    <w:rsid w:val="1A4C1518"/>
    <w:rsid w:val="1A4D5275"/>
    <w:rsid w:val="1A604FC3"/>
    <w:rsid w:val="1A693E78"/>
    <w:rsid w:val="1A7171D0"/>
    <w:rsid w:val="1A824F3A"/>
    <w:rsid w:val="1A8C5DB8"/>
    <w:rsid w:val="1A994656"/>
    <w:rsid w:val="1AA11259"/>
    <w:rsid w:val="1AAF1E80"/>
    <w:rsid w:val="1AB377E9"/>
    <w:rsid w:val="1AC11F06"/>
    <w:rsid w:val="1AC437A4"/>
    <w:rsid w:val="1AE31E7C"/>
    <w:rsid w:val="1AE7255A"/>
    <w:rsid w:val="1AED2CFB"/>
    <w:rsid w:val="1AF63193"/>
    <w:rsid w:val="1B0167A6"/>
    <w:rsid w:val="1B1F09DB"/>
    <w:rsid w:val="1B2506A2"/>
    <w:rsid w:val="1B2A0C5E"/>
    <w:rsid w:val="1B4072CF"/>
    <w:rsid w:val="1B414DF5"/>
    <w:rsid w:val="1B55264E"/>
    <w:rsid w:val="1B5E1503"/>
    <w:rsid w:val="1B661467"/>
    <w:rsid w:val="1B666609"/>
    <w:rsid w:val="1B7D2CDE"/>
    <w:rsid w:val="1B9E5743"/>
    <w:rsid w:val="1BA55384"/>
    <w:rsid w:val="1BC17CE4"/>
    <w:rsid w:val="1BC53330"/>
    <w:rsid w:val="1BE20386"/>
    <w:rsid w:val="1BF400B9"/>
    <w:rsid w:val="1C071B9A"/>
    <w:rsid w:val="1C1F5136"/>
    <w:rsid w:val="1C273BDC"/>
    <w:rsid w:val="1C3F6CF1"/>
    <w:rsid w:val="1C6074FD"/>
    <w:rsid w:val="1C6B037B"/>
    <w:rsid w:val="1C9A47BD"/>
    <w:rsid w:val="1CA4563B"/>
    <w:rsid w:val="1CAC2742"/>
    <w:rsid w:val="1CE01949"/>
    <w:rsid w:val="1CEC2B3E"/>
    <w:rsid w:val="1CF87735"/>
    <w:rsid w:val="1D012A8E"/>
    <w:rsid w:val="1D2A0352"/>
    <w:rsid w:val="1D5C4168"/>
    <w:rsid w:val="1D8316F5"/>
    <w:rsid w:val="1DA653E3"/>
    <w:rsid w:val="1DDA4574"/>
    <w:rsid w:val="1DF05846"/>
    <w:rsid w:val="1DF83E91"/>
    <w:rsid w:val="1DF93765"/>
    <w:rsid w:val="1E081BFA"/>
    <w:rsid w:val="1E090904"/>
    <w:rsid w:val="1E392382"/>
    <w:rsid w:val="1E480248"/>
    <w:rsid w:val="1E5D1F46"/>
    <w:rsid w:val="1E81183F"/>
    <w:rsid w:val="1E876FC3"/>
    <w:rsid w:val="1E8A1B20"/>
    <w:rsid w:val="1E8A260F"/>
    <w:rsid w:val="1EA32E44"/>
    <w:rsid w:val="1EA9518B"/>
    <w:rsid w:val="1EC65D3D"/>
    <w:rsid w:val="1F0E1492"/>
    <w:rsid w:val="1F114ADE"/>
    <w:rsid w:val="1F2C3AE0"/>
    <w:rsid w:val="1F485500"/>
    <w:rsid w:val="1F5E5F75"/>
    <w:rsid w:val="1F664E2A"/>
    <w:rsid w:val="1F8D23B7"/>
    <w:rsid w:val="1F8F4CC8"/>
    <w:rsid w:val="1F9E76C3"/>
    <w:rsid w:val="1FD004F5"/>
    <w:rsid w:val="1FE83A91"/>
    <w:rsid w:val="200301D7"/>
    <w:rsid w:val="20107E45"/>
    <w:rsid w:val="20120B0E"/>
    <w:rsid w:val="20176124"/>
    <w:rsid w:val="202820DF"/>
    <w:rsid w:val="2076109D"/>
    <w:rsid w:val="208927BA"/>
    <w:rsid w:val="209B4FA7"/>
    <w:rsid w:val="209C6376"/>
    <w:rsid w:val="20C22534"/>
    <w:rsid w:val="20D02EA3"/>
    <w:rsid w:val="20E02980"/>
    <w:rsid w:val="20F259B5"/>
    <w:rsid w:val="20FF72E4"/>
    <w:rsid w:val="210B3EDB"/>
    <w:rsid w:val="21115269"/>
    <w:rsid w:val="21325ED0"/>
    <w:rsid w:val="2145625A"/>
    <w:rsid w:val="21505D92"/>
    <w:rsid w:val="21507B40"/>
    <w:rsid w:val="217E28FF"/>
    <w:rsid w:val="218E68BA"/>
    <w:rsid w:val="219A700D"/>
    <w:rsid w:val="21A513A0"/>
    <w:rsid w:val="21A8172A"/>
    <w:rsid w:val="21B92E63"/>
    <w:rsid w:val="21CF315A"/>
    <w:rsid w:val="21E6007B"/>
    <w:rsid w:val="21FF3314"/>
    <w:rsid w:val="22145011"/>
    <w:rsid w:val="2234120F"/>
    <w:rsid w:val="22445A1D"/>
    <w:rsid w:val="22452DF5"/>
    <w:rsid w:val="22477195"/>
    <w:rsid w:val="229B0B4C"/>
    <w:rsid w:val="22A216CA"/>
    <w:rsid w:val="22A33EF5"/>
    <w:rsid w:val="22A46395"/>
    <w:rsid w:val="22C24A6D"/>
    <w:rsid w:val="22C74D45"/>
    <w:rsid w:val="22E5250A"/>
    <w:rsid w:val="22E569AE"/>
    <w:rsid w:val="230A70A7"/>
    <w:rsid w:val="231161A5"/>
    <w:rsid w:val="23476D20"/>
    <w:rsid w:val="23526D43"/>
    <w:rsid w:val="235F1ED6"/>
    <w:rsid w:val="2369313B"/>
    <w:rsid w:val="2389558B"/>
    <w:rsid w:val="23E97DD8"/>
    <w:rsid w:val="240F3CE2"/>
    <w:rsid w:val="241D415D"/>
    <w:rsid w:val="242664D7"/>
    <w:rsid w:val="2435126F"/>
    <w:rsid w:val="244B45EE"/>
    <w:rsid w:val="244F0825"/>
    <w:rsid w:val="245F009A"/>
    <w:rsid w:val="246D27B7"/>
    <w:rsid w:val="246D6C5B"/>
    <w:rsid w:val="249B0281"/>
    <w:rsid w:val="24A81987"/>
    <w:rsid w:val="24C26FA6"/>
    <w:rsid w:val="24EF77E9"/>
    <w:rsid w:val="24FE78B3"/>
    <w:rsid w:val="250E0EB7"/>
    <w:rsid w:val="251512EB"/>
    <w:rsid w:val="25154AD2"/>
    <w:rsid w:val="2523471D"/>
    <w:rsid w:val="25494FD2"/>
    <w:rsid w:val="254C6364"/>
    <w:rsid w:val="257E076D"/>
    <w:rsid w:val="259D531E"/>
    <w:rsid w:val="25BE555B"/>
    <w:rsid w:val="25C428AA"/>
    <w:rsid w:val="25CB3C39"/>
    <w:rsid w:val="25F0544D"/>
    <w:rsid w:val="25F27417"/>
    <w:rsid w:val="25F72C80"/>
    <w:rsid w:val="25F767DC"/>
    <w:rsid w:val="260B04D9"/>
    <w:rsid w:val="26263BB1"/>
    <w:rsid w:val="262F241A"/>
    <w:rsid w:val="26395046"/>
    <w:rsid w:val="264D526D"/>
    <w:rsid w:val="26AA5F44"/>
    <w:rsid w:val="26AF29F0"/>
    <w:rsid w:val="26AF5308"/>
    <w:rsid w:val="26C00BB3"/>
    <w:rsid w:val="26DB434F"/>
    <w:rsid w:val="271B474C"/>
    <w:rsid w:val="27221F7E"/>
    <w:rsid w:val="272A2BC6"/>
    <w:rsid w:val="273E1A3B"/>
    <w:rsid w:val="274E2529"/>
    <w:rsid w:val="274E2D73"/>
    <w:rsid w:val="275A098F"/>
    <w:rsid w:val="27674AF2"/>
    <w:rsid w:val="276E6F72"/>
    <w:rsid w:val="278E3170"/>
    <w:rsid w:val="27962024"/>
    <w:rsid w:val="279D33B3"/>
    <w:rsid w:val="27D8263D"/>
    <w:rsid w:val="27E5180D"/>
    <w:rsid w:val="280D0539"/>
    <w:rsid w:val="28136685"/>
    <w:rsid w:val="281C2710"/>
    <w:rsid w:val="28266B52"/>
    <w:rsid w:val="2826784C"/>
    <w:rsid w:val="283A32F8"/>
    <w:rsid w:val="284303FE"/>
    <w:rsid w:val="2858552C"/>
    <w:rsid w:val="28650375"/>
    <w:rsid w:val="28675185"/>
    <w:rsid w:val="28687E65"/>
    <w:rsid w:val="286D0FD7"/>
    <w:rsid w:val="286F11F3"/>
    <w:rsid w:val="28836A4D"/>
    <w:rsid w:val="28CA467C"/>
    <w:rsid w:val="28D177B8"/>
    <w:rsid w:val="28D21D5C"/>
    <w:rsid w:val="28EB63A0"/>
    <w:rsid w:val="29053906"/>
    <w:rsid w:val="292C2C40"/>
    <w:rsid w:val="295472F2"/>
    <w:rsid w:val="29622B06"/>
    <w:rsid w:val="296F0D7F"/>
    <w:rsid w:val="297B3BC8"/>
    <w:rsid w:val="29802F8C"/>
    <w:rsid w:val="298259E7"/>
    <w:rsid w:val="2984158E"/>
    <w:rsid w:val="29890093"/>
    <w:rsid w:val="298F1421"/>
    <w:rsid w:val="29AC5B2F"/>
    <w:rsid w:val="29BC4196"/>
    <w:rsid w:val="29C56BF1"/>
    <w:rsid w:val="29C6711E"/>
    <w:rsid w:val="29D60DFE"/>
    <w:rsid w:val="29F55728"/>
    <w:rsid w:val="29FE06AF"/>
    <w:rsid w:val="29FF368F"/>
    <w:rsid w:val="2A04596B"/>
    <w:rsid w:val="2A104310"/>
    <w:rsid w:val="2A1D4C7F"/>
    <w:rsid w:val="2A261D85"/>
    <w:rsid w:val="2A306760"/>
    <w:rsid w:val="2A34793C"/>
    <w:rsid w:val="2A4C31DA"/>
    <w:rsid w:val="2A5F2BA2"/>
    <w:rsid w:val="2A633B48"/>
    <w:rsid w:val="2AAB5DE7"/>
    <w:rsid w:val="2AB32EED"/>
    <w:rsid w:val="2AB61EC1"/>
    <w:rsid w:val="2ACA2F13"/>
    <w:rsid w:val="2ACD76CB"/>
    <w:rsid w:val="2AE01F34"/>
    <w:rsid w:val="2AE83EFB"/>
    <w:rsid w:val="2B057BED"/>
    <w:rsid w:val="2B14398C"/>
    <w:rsid w:val="2B2A31B0"/>
    <w:rsid w:val="2B2B0591"/>
    <w:rsid w:val="2B30453E"/>
    <w:rsid w:val="2B4970FF"/>
    <w:rsid w:val="2B56366E"/>
    <w:rsid w:val="2B5C5333"/>
    <w:rsid w:val="2B666086"/>
    <w:rsid w:val="2B735ECE"/>
    <w:rsid w:val="2BA80578"/>
    <w:rsid w:val="2BB533C1"/>
    <w:rsid w:val="2BD84516"/>
    <w:rsid w:val="2BDB26FC"/>
    <w:rsid w:val="2BDF043E"/>
    <w:rsid w:val="2BE512DE"/>
    <w:rsid w:val="2C0C4FAB"/>
    <w:rsid w:val="2C365B84"/>
    <w:rsid w:val="2C397DEB"/>
    <w:rsid w:val="2C3A38C6"/>
    <w:rsid w:val="2C3D5164"/>
    <w:rsid w:val="2C3D7E75"/>
    <w:rsid w:val="2C504E98"/>
    <w:rsid w:val="2C5C383D"/>
    <w:rsid w:val="2C646B95"/>
    <w:rsid w:val="2C736DD8"/>
    <w:rsid w:val="2CAD4B44"/>
    <w:rsid w:val="2CC413E2"/>
    <w:rsid w:val="2CDE24A4"/>
    <w:rsid w:val="2CED6B8B"/>
    <w:rsid w:val="2D1934DC"/>
    <w:rsid w:val="2D3E73E6"/>
    <w:rsid w:val="2D5704A8"/>
    <w:rsid w:val="2D636E4D"/>
    <w:rsid w:val="2D6A7EE8"/>
    <w:rsid w:val="2D6E732E"/>
    <w:rsid w:val="2D836B60"/>
    <w:rsid w:val="2D8A6187"/>
    <w:rsid w:val="2D92328E"/>
    <w:rsid w:val="2DA4151C"/>
    <w:rsid w:val="2DBD47AF"/>
    <w:rsid w:val="2DCD05EF"/>
    <w:rsid w:val="2DCD42C6"/>
    <w:rsid w:val="2DCE076A"/>
    <w:rsid w:val="2DDD6BFF"/>
    <w:rsid w:val="2DEC0BF0"/>
    <w:rsid w:val="2E0C1292"/>
    <w:rsid w:val="2E2E7FCB"/>
    <w:rsid w:val="2E3F23BB"/>
    <w:rsid w:val="2E59496A"/>
    <w:rsid w:val="2E782484"/>
    <w:rsid w:val="2E8A7C81"/>
    <w:rsid w:val="2E960B5C"/>
    <w:rsid w:val="2E9C2616"/>
    <w:rsid w:val="2E9F2106"/>
    <w:rsid w:val="2EBF4557"/>
    <w:rsid w:val="2ED26038"/>
    <w:rsid w:val="2EE11451"/>
    <w:rsid w:val="2F15427C"/>
    <w:rsid w:val="2F191EB9"/>
    <w:rsid w:val="2F3C00D2"/>
    <w:rsid w:val="2F3F11F4"/>
    <w:rsid w:val="2F595496"/>
    <w:rsid w:val="2F5B602D"/>
    <w:rsid w:val="2F6F1AD9"/>
    <w:rsid w:val="2F8C4439"/>
    <w:rsid w:val="2F8F3F29"/>
    <w:rsid w:val="2FAA7FCD"/>
    <w:rsid w:val="2FAE3333"/>
    <w:rsid w:val="2FAF45CB"/>
    <w:rsid w:val="2FC33BD3"/>
    <w:rsid w:val="2FD44032"/>
    <w:rsid w:val="2FEE50F3"/>
    <w:rsid w:val="2FF63FA8"/>
    <w:rsid w:val="300E12F2"/>
    <w:rsid w:val="302E4C56"/>
    <w:rsid w:val="30367CCC"/>
    <w:rsid w:val="305C687C"/>
    <w:rsid w:val="3086532C"/>
    <w:rsid w:val="30AB4D93"/>
    <w:rsid w:val="30B22F65"/>
    <w:rsid w:val="30B650DB"/>
    <w:rsid w:val="30C82942"/>
    <w:rsid w:val="30EE1123"/>
    <w:rsid w:val="310821E5"/>
    <w:rsid w:val="31232B7B"/>
    <w:rsid w:val="31395673"/>
    <w:rsid w:val="315E0057"/>
    <w:rsid w:val="315E3BB3"/>
    <w:rsid w:val="31662A68"/>
    <w:rsid w:val="3183186B"/>
    <w:rsid w:val="318555E4"/>
    <w:rsid w:val="31F23206"/>
    <w:rsid w:val="323C7542"/>
    <w:rsid w:val="32494863"/>
    <w:rsid w:val="32821B23"/>
    <w:rsid w:val="32A7158A"/>
    <w:rsid w:val="32B048E2"/>
    <w:rsid w:val="32BA12BD"/>
    <w:rsid w:val="32BF6A41"/>
    <w:rsid w:val="32C51A10"/>
    <w:rsid w:val="32E75E2A"/>
    <w:rsid w:val="32E91BA2"/>
    <w:rsid w:val="330D3AE3"/>
    <w:rsid w:val="332A3DEB"/>
    <w:rsid w:val="33341CC4"/>
    <w:rsid w:val="33435756"/>
    <w:rsid w:val="335E433E"/>
    <w:rsid w:val="33A1422B"/>
    <w:rsid w:val="33C06DA7"/>
    <w:rsid w:val="33DE722D"/>
    <w:rsid w:val="33E03353"/>
    <w:rsid w:val="33EB1584"/>
    <w:rsid w:val="341B69F1"/>
    <w:rsid w:val="343E5F1E"/>
    <w:rsid w:val="347A3591"/>
    <w:rsid w:val="347A51A8"/>
    <w:rsid w:val="348953EB"/>
    <w:rsid w:val="3498018C"/>
    <w:rsid w:val="3499059C"/>
    <w:rsid w:val="34A02734"/>
    <w:rsid w:val="34B955A4"/>
    <w:rsid w:val="34DB551B"/>
    <w:rsid w:val="34E00D83"/>
    <w:rsid w:val="34FD4E2A"/>
    <w:rsid w:val="35040F15"/>
    <w:rsid w:val="3529097C"/>
    <w:rsid w:val="35620BDD"/>
    <w:rsid w:val="359027A9"/>
    <w:rsid w:val="35AD6EB7"/>
    <w:rsid w:val="35B3166E"/>
    <w:rsid w:val="35C356CF"/>
    <w:rsid w:val="35C418A5"/>
    <w:rsid w:val="35D54660"/>
    <w:rsid w:val="35DE3514"/>
    <w:rsid w:val="35E623C9"/>
    <w:rsid w:val="35E84393"/>
    <w:rsid w:val="35F217C8"/>
    <w:rsid w:val="362829C6"/>
    <w:rsid w:val="36455341"/>
    <w:rsid w:val="366F6862"/>
    <w:rsid w:val="36716136"/>
    <w:rsid w:val="36724ECD"/>
    <w:rsid w:val="3679148F"/>
    <w:rsid w:val="36CC7811"/>
    <w:rsid w:val="36D84407"/>
    <w:rsid w:val="373158A3"/>
    <w:rsid w:val="37333505"/>
    <w:rsid w:val="374651B5"/>
    <w:rsid w:val="374750E9"/>
    <w:rsid w:val="374E6478"/>
    <w:rsid w:val="375100EA"/>
    <w:rsid w:val="37677539"/>
    <w:rsid w:val="3768578B"/>
    <w:rsid w:val="37693202"/>
    <w:rsid w:val="377A32C7"/>
    <w:rsid w:val="378567A6"/>
    <w:rsid w:val="378A192B"/>
    <w:rsid w:val="37983C1D"/>
    <w:rsid w:val="37AB38CA"/>
    <w:rsid w:val="37B917E7"/>
    <w:rsid w:val="37C406C1"/>
    <w:rsid w:val="37D270A9"/>
    <w:rsid w:val="37D50947"/>
    <w:rsid w:val="37D526F5"/>
    <w:rsid w:val="37F77138"/>
    <w:rsid w:val="380A34D3"/>
    <w:rsid w:val="3814321D"/>
    <w:rsid w:val="38367638"/>
    <w:rsid w:val="38393CBE"/>
    <w:rsid w:val="383A69FC"/>
    <w:rsid w:val="384855BD"/>
    <w:rsid w:val="385B709E"/>
    <w:rsid w:val="3862042D"/>
    <w:rsid w:val="388D1222"/>
    <w:rsid w:val="38AD2F9E"/>
    <w:rsid w:val="38C764E2"/>
    <w:rsid w:val="38E54BBA"/>
    <w:rsid w:val="38EA0422"/>
    <w:rsid w:val="38EF77E6"/>
    <w:rsid w:val="390E44B2"/>
    <w:rsid w:val="39113C01"/>
    <w:rsid w:val="391D37C1"/>
    <w:rsid w:val="39386A66"/>
    <w:rsid w:val="39477622"/>
    <w:rsid w:val="39557F91"/>
    <w:rsid w:val="395A11E0"/>
    <w:rsid w:val="396C7089"/>
    <w:rsid w:val="398E34A3"/>
    <w:rsid w:val="399A3BF6"/>
    <w:rsid w:val="39B14820"/>
    <w:rsid w:val="39EF3F42"/>
    <w:rsid w:val="39F5073F"/>
    <w:rsid w:val="39FF7EFD"/>
    <w:rsid w:val="3A00614F"/>
    <w:rsid w:val="3A013C75"/>
    <w:rsid w:val="3A157290"/>
    <w:rsid w:val="3A4A04A7"/>
    <w:rsid w:val="3A561988"/>
    <w:rsid w:val="3AA50AA5"/>
    <w:rsid w:val="3AAE71C7"/>
    <w:rsid w:val="3AB57C56"/>
    <w:rsid w:val="3AEF1D20"/>
    <w:rsid w:val="3B1D4ADF"/>
    <w:rsid w:val="3B251E36"/>
    <w:rsid w:val="3B293484"/>
    <w:rsid w:val="3B4756B8"/>
    <w:rsid w:val="3B8701AA"/>
    <w:rsid w:val="3B936B4F"/>
    <w:rsid w:val="3BD00368"/>
    <w:rsid w:val="3BF13876"/>
    <w:rsid w:val="3C0B4937"/>
    <w:rsid w:val="3C18719C"/>
    <w:rsid w:val="3C442F53"/>
    <w:rsid w:val="3C4D4F50"/>
    <w:rsid w:val="3C5255AE"/>
    <w:rsid w:val="3C5C5193"/>
    <w:rsid w:val="3C8B3E09"/>
    <w:rsid w:val="3C90308E"/>
    <w:rsid w:val="3CA54836"/>
    <w:rsid w:val="3CB32C89"/>
    <w:rsid w:val="3CB8380D"/>
    <w:rsid w:val="3CD94A35"/>
    <w:rsid w:val="3CE5162C"/>
    <w:rsid w:val="3D0C0065"/>
    <w:rsid w:val="3D0F0457"/>
    <w:rsid w:val="3D4C5207"/>
    <w:rsid w:val="3D566086"/>
    <w:rsid w:val="3D65451B"/>
    <w:rsid w:val="3D6A1B31"/>
    <w:rsid w:val="3D78424E"/>
    <w:rsid w:val="3D7D3613"/>
    <w:rsid w:val="3D87623F"/>
    <w:rsid w:val="3D932E36"/>
    <w:rsid w:val="3DE418E4"/>
    <w:rsid w:val="3DEB2C72"/>
    <w:rsid w:val="3DF5589F"/>
    <w:rsid w:val="3DF77869"/>
    <w:rsid w:val="3E0A53BA"/>
    <w:rsid w:val="3E11600D"/>
    <w:rsid w:val="3E3824EF"/>
    <w:rsid w:val="3E4D7489"/>
    <w:rsid w:val="3E515A86"/>
    <w:rsid w:val="3E5527E2"/>
    <w:rsid w:val="3E59412F"/>
    <w:rsid w:val="3E7762B4"/>
    <w:rsid w:val="3E7E3AE6"/>
    <w:rsid w:val="3E8D1F7B"/>
    <w:rsid w:val="3EB56DDC"/>
    <w:rsid w:val="3EC74798"/>
    <w:rsid w:val="3ED9599F"/>
    <w:rsid w:val="3EEB27FE"/>
    <w:rsid w:val="3F2C3542"/>
    <w:rsid w:val="3F3276DC"/>
    <w:rsid w:val="3F446ADE"/>
    <w:rsid w:val="3F47212A"/>
    <w:rsid w:val="3F620D12"/>
    <w:rsid w:val="3F6E3B5B"/>
    <w:rsid w:val="3F8E1B07"/>
    <w:rsid w:val="3F9D7F9C"/>
    <w:rsid w:val="3FB11C9A"/>
    <w:rsid w:val="3FB672B0"/>
    <w:rsid w:val="3FB86B84"/>
    <w:rsid w:val="3FBF3316"/>
    <w:rsid w:val="3FC27A03"/>
    <w:rsid w:val="3FC4377B"/>
    <w:rsid w:val="3FCC6AD3"/>
    <w:rsid w:val="3FDE5484"/>
    <w:rsid w:val="3FF83425"/>
    <w:rsid w:val="400463B2"/>
    <w:rsid w:val="40055B41"/>
    <w:rsid w:val="403841E6"/>
    <w:rsid w:val="403E177F"/>
    <w:rsid w:val="40624D42"/>
    <w:rsid w:val="40736F4F"/>
    <w:rsid w:val="40752CC7"/>
    <w:rsid w:val="40951261"/>
    <w:rsid w:val="409A7AF7"/>
    <w:rsid w:val="40BA3CB5"/>
    <w:rsid w:val="40C652D1"/>
    <w:rsid w:val="40DC76DB"/>
    <w:rsid w:val="40F462E2"/>
    <w:rsid w:val="40F97454"/>
    <w:rsid w:val="410302D3"/>
    <w:rsid w:val="412344D1"/>
    <w:rsid w:val="41524DB6"/>
    <w:rsid w:val="41852561"/>
    <w:rsid w:val="4190014F"/>
    <w:rsid w:val="419B050B"/>
    <w:rsid w:val="41A41AB6"/>
    <w:rsid w:val="41E225DE"/>
    <w:rsid w:val="41E579D9"/>
    <w:rsid w:val="42115C5C"/>
    <w:rsid w:val="421A58D4"/>
    <w:rsid w:val="42220C2D"/>
    <w:rsid w:val="423170C2"/>
    <w:rsid w:val="42334BE8"/>
    <w:rsid w:val="423D15C3"/>
    <w:rsid w:val="424C7A58"/>
    <w:rsid w:val="424F0B03"/>
    <w:rsid w:val="426C42C1"/>
    <w:rsid w:val="428216CB"/>
    <w:rsid w:val="429220CA"/>
    <w:rsid w:val="42997141"/>
    <w:rsid w:val="42A258CA"/>
    <w:rsid w:val="42CA14B7"/>
    <w:rsid w:val="42D97BAC"/>
    <w:rsid w:val="42E3216A"/>
    <w:rsid w:val="42F425C9"/>
    <w:rsid w:val="4315253F"/>
    <w:rsid w:val="432A0EB2"/>
    <w:rsid w:val="43362BE2"/>
    <w:rsid w:val="434626F9"/>
    <w:rsid w:val="43650DD1"/>
    <w:rsid w:val="43672D9B"/>
    <w:rsid w:val="436A4639"/>
    <w:rsid w:val="438E52EE"/>
    <w:rsid w:val="439B0C97"/>
    <w:rsid w:val="43A51B15"/>
    <w:rsid w:val="43CC70A2"/>
    <w:rsid w:val="44071E88"/>
    <w:rsid w:val="44315157"/>
    <w:rsid w:val="44476729"/>
    <w:rsid w:val="444A3C80"/>
    <w:rsid w:val="44570DA3"/>
    <w:rsid w:val="44800F69"/>
    <w:rsid w:val="448636F5"/>
    <w:rsid w:val="44872FC9"/>
    <w:rsid w:val="448F1D1E"/>
    <w:rsid w:val="44B738AE"/>
    <w:rsid w:val="44C46F12"/>
    <w:rsid w:val="44D75CFE"/>
    <w:rsid w:val="44EE4DF6"/>
    <w:rsid w:val="44F93EC7"/>
    <w:rsid w:val="450D34CE"/>
    <w:rsid w:val="451743AD"/>
    <w:rsid w:val="45237196"/>
    <w:rsid w:val="452503B2"/>
    <w:rsid w:val="4550160D"/>
    <w:rsid w:val="456A6B72"/>
    <w:rsid w:val="45822CDF"/>
    <w:rsid w:val="458A4B1F"/>
    <w:rsid w:val="459736E0"/>
    <w:rsid w:val="45A212DC"/>
    <w:rsid w:val="45AB1D5B"/>
    <w:rsid w:val="45D44EE6"/>
    <w:rsid w:val="46072613"/>
    <w:rsid w:val="460B23E5"/>
    <w:rsid w:val="460F577E"/>
    <w:rsid w:val="4669507C"/>
    <w:rsid w:val="466E4440"/>
    <w:rsid w:val="4678706D"/>
    <w:rsid w:val="46965745"/>
    <w:rsid w:val="46CC73B9"/>
    <w:rsid w:val="46DA7F46"/>
    <w:rsid w:val="46E5598B"/>
    <w:rsid w:val="47054FB2"/>
    <w:rsid w:val="47060224"/>
    <w:rsid w:val="47213261"/>
    <w:rsid w:val="47217705"/>
    <w:rsid w:val="472E597E"/>
    <w:rsid w:val="473016F6"/>
    <w:rsid w:val="474451A1"/>
    <w:rsid w:val="47490A0A"/>
    <w:rsid w:val="475278BE"/>
    <w:rsid w:val="475E780D"/>
    <w:rsid w:val="47631ACB"/>
    <w:rsid w:val="47866373"/>
    <w:rsid w:val="47952402"/>
    <w:rsid w:val="479B2599"/>
    <w:rsid w:val="479E0D55"/>
    <w:rsid w:val="47A3636C"/>
    <w:rsid w:val="47C702AC"/>
    <w:rsid w:val="47E66258"/>
    <w:rsid w:val="47FE17F4"/>
    <w:rsid w:val="480A63EB"/>
    <w:rsid w:val="480E5EDB"/>
    <w:rsid w:val="484336AB"/>
    <w:rsid w:val="485D29BF"/>
    <w:rsid w:val="48607127"/>
    <w:rsid w:val="486755EB"/>
    <w:rsid w:val="487815A6"/>
    <w:rsid w:val="48961A2D"/>
    <w:rsid w:val="489932CB"/>
    <w:rsid w:val="489B34E7"/>
    <w:rsid w:val="489C26F2"/>
    <w:rsid w:val="48A56114"/>
    <w:rsid w:val="48B12D0A"/>
    <w:rsid w:val="48EC3D42"/>
    <w:rsid w:val="48FC21D7"/>
    <w:rsid w:val="49146C85"/>
    <w:rsid w:val="49211C3E"/>
    <w:rsid w:val="493059DD"/>
    <w:rsid w:val="49463453"/>
    <w:rsid w:val="49635DB3"/>
    <w:rsid w:val="49641B2B"/>
    <w:rsid w:val="499E503D"/>
    <w:rsid w:val="499E5434"/>
    <w:rsid w:val="49B760FE"/>
    <w:rsid w:val="49D22F38"/>
    <w:rsid w:val="49D722FD"/>
    <w:rsid w:val="49E669E4"/>
    <w:rsid w:val="4A02381D"/>
    <w:rsid w:val="4A0C585F"/>
    <w:rsid w:val="4A0D6E4E"/>
    <w:rsid w:val="4A3A0FD3"/>
    <w:rsid w:val="4A4477B5"/>
    <w:rsid w:val="4A547DF1"/>
    <w:rsid w:val="4A791606"/>
    <w:rsid w:val="4A8A3813"/>
    <w:rsid w:val="4AAA603E"/>
    <w:rsid w:val="4AB368C6"/>
    <w:rsid w:val="4AB50890"/>
    <w:rsid w:val="4AB56AE2"/>
    <w:rsid w:val="4AC26B09"/>
    <w:rsid w:val="4ADA20A4"/>
    <w:rsid w:val="4AE20F59"/>
    <w:rsid w:val="4B1530DD"/>
    <w:rsid w:val="4B217CD3"/>
    <w:rsid w:val="4B386DCB"/>
    <w:rsid w:val="4B465345"/>
    <w:rsid w:val="4B5E3CF4"/>
    <w:rsid w:val="4B5F362F"/>
    <w:rsid w:val="4B63653E"/>
    <w:rsid w:val="4B644064"/>
    <w:rsid w:val="4B683B54"/>
    <w:rsid w:val="4B6D2F19"/>
    <w:rsid w:val="4B6F672F"/>
    <w:rsid w:val="4BB0639C"/>
    <w:rsid w:val="4BB46D99"/>
    <w:rsid w:val="4BB861BA"/>
    <w:rsid w:val="4BBD3296"/>
    <w:rsid w:val="4BCB7C3F"/>
    <w:rsid w:val="4BD50557"/>
    <w:rsid w:val="4BE00DD2"/>
    <w:rsid w:val="4C097188"/>
    <w:rsid w:val="4C147838"/>
    <w:rsid w:val="4C1C66ED"/>
    <w:rsid w:val="4C2B2623"/>
    <w:rsid w:val="4C4023DB"/>
    <w:rsid w:val="4C4D68A6"/>
    <w:rsid w:val="4C545E87"/>
    <w:rsid w:val="4C5C4D3B"/>
    <w:rsid w:val="4C8229F4"/>
    <w:rsid w:val="4C92075D"/>
    <w:rsid w:val="4CA9047D"/>
    <w:rsid w:val="4CAE3158"/>
    <w:rsid w:val="4CB3370A"/>
    <w:rsid w:val="4CB9218D"/>
    <w:rsid w:val="4CDC3C81"/>
    <w:rsid w:val="4CE3798F"/>
    <w:rsid w:val="4D001B6A"/>
    <w:rsid w:val="4D02189A"/>
    <w:rsid w:val="4D1D0160"/>
    <w:rsid w:val="4D1D44CA"/>
    <w:rsid w:val="4D275349"/>
    <w:rsid w:val="4D2E3A64"/>
    <w:rsid w:val="4D461C73"/>
    <w:rsid w:val="4D5B2316"/>
    <w:rsid w:val="4D6E2F78"/>
    <w:rsid w:val="4D704F42"/>
    <w:rsid w:val="4D9F3131"/>
    <w:rsid w:val="4DA370C6"/>
    <w:rsid w:val="4DFE60AA"/>
    <w:rsid w:val="4E3E294A"/>
    <w:rsid w:val="4E4361B3"/>
    <w:rsid w:val="4E487C6D"/>
    <w:rsid w:val="4E564138"/>
    <w:rsid w:val="4E573A0C"/>
    <w:rsid w:val="4E5C54C6"/>
    <w:rsid w:val="4E630603"/>
    <w:rsid w:val="4E656129"/>
    <w:rsid w:val="4E727AAE"/>
    <w:rsid w:val="4E7A7702"/>
    <w:rsid w:val="4EA83E05"/>
    <w:rsid w:val="4EC70B92"/>
    <w:rsid w:val="4ED20496"/>
    <w:rsid w:val="4EE07EA5"/>
    <w:rsid w:val="4EF81B5E"/>
    <w:rsid w:val="4F1A33B7"/>
    <w:rsid w:val="4F336227"/>
    <w:rsid w:val="4F3E697A"/>
    <w:rsid w:val="4F4742D1"/>
    <w:rsid w:val="4F5351B2"/>
    <w:rsid w:val="4F786330"/>
    <w:rsid w:val="4F7A43B5"/>
    <w:rsid w:val="4F7D74A2"/>
    <w:rsid w:val="4F9842DC"/>
    <w:rsid w:val="4F9D18F3"/>
    <w:rsid w:val="4FCC59C3"/>
    <w:rsid w:val="4FD277EE"/>
    <w:rsid w:val="4FDD43E5"/>
    <w:rsid w:val="4FE4651D"/>
    <w:rsid w:val="4FE87012"/>
    <w:rsid w:val="4FEB08B0"/>
    <w:rsid w:val="50081462"/>
    <w:rsid w:val="502A762A"/>
    <w:rsid w:val="50352A1E"/>
    <w:rsid w:val="503E30D6"/>
    <w:rsid w:val="504753D7"/>
    <w:rsid w:val="50506965"/>
    <w:rsid w:val="505A5A36"/>
    <w:rsid w:val="506B3AFF"/>
    <w:rsid w:val="50760AC1"/>
    <w:rsid w:val="508326C1"/>
    <w:rsid w:val="50903205"/>
    <w:rsid w:val="50906169"/>
    <w:rsid w:val="50B57607"/>
    <w:rsid w:val="50D77086"/>
    <w:rsid w:val="50FC089B"/>
    <w:rsid w:val="5100482F"/>
    <w:rsid w:val="510C31D4"/>
    <w:rsid w:val="51131A4D"/>
    <w:rsid w:val="51136D66"/>
    <w:rsid w:val="511E2D3A"/>
    <w:rsid w:val="5121335C"/>
    <w:rsid w:val="513A2283"/>
    <w:rsid w:val="513C2B7C"/>
    <w:rsid w:val="513C37FC"/>
    <w:rsid w:val="51402E7D"/>
    <w:rsid w:val="514324CE"/>
    <w:rsid w:val="51493AE0"/>
    <w:rsid w:val="514E605D"/>
    <w:rsid w:val="514E732D"/>
    <w:rsid w:val="516C7E13"/>
    <w:rsid w:val="516E0931"/>
    <w:rsid w:val="517B2107"/>
    <w:rsid w:val="51864D34"/>
    <w:rsid w:val="51A11B6E"/>
    <w:rsid w:val="51B01DB1"/>
    <w:rsid w:val="51BA49DE"/>
    <w:rsid w:val="51E63A25"/>
    <w:rsid w:val="51EE0977"/>
    <w:rsid w:val="51EE28D9"/>
    <w:rsid w:val="520D3D7D"/>
    <w:rsid w:val="522400A9"/>
    <w:rsid w:val="522A3EA6"/>
    <w:rsid w:val="524935A4"/>
    <w:rsid w:val="52592449"/>
    <w:rsid w:val="525E5B21"/>
    <w:rsid w:val="526112FD"/>
    <w:rsid w:val="52711304"/>
    <w:rsid w:val="52C11D9C"/>
    <w:rsid w:val="52CE2100"/>
    <w:rsid w:val="52D27B05"/>
    <w:rsid w:val="52E837CD"/>
    <w:rsid w:val="53004672"/>
    <w:rsid w:val="531620E8"/>
    <w:rsid w:val="531B7AA5"/>
    <w:rsid w:val="531D5224"/>
    <w:rsid w:val="535E4A7C"/>
    <w:rsid w:val="53783C67"/>
    <w:rsid w:val="538452A3"/>
    <w:rsid w:val="53855766"/>
    <w:rsid w:val="53B06098"/>
    <w:rsid w:val="53F1045F"/>
    <w:rsid w:val="541128AF"/>
    <w:rsid w:val="541F4FCC"/>
    <w:rsid w:val="54532EC8"/>
    <w:rsid w:val="546C3108"/>
    <w:rsid w:val="54836890"/>
    <w:rsid w:val="54893270"/>
    <w:rsid w:val="549500A2"/>
    <w:rsid w:val="54A32003"/>
    <w:rsid w:val="54A51975"/>
    <w:rsid w:val="54A74FA6"/>
    <w:rsid w:val="54AD25D8"/>
    <w:rsid w:val="54BC6CBF"/>
    <w:rsid w:val="54BF0132"/>
    <w:rsid w:val="54C85664"/>
    <w:rsid w:val="54D062C6"/>
    <w:rsid w:val="5516755D"/>
    <w:rsid w:val="556233C2"/>
    <w:rsid w:val="556709D9"/>
    <w:rsid w:val="556C4241"/>
    <w:rsid w:val="55737687"/>
    <w:rsid w:val="55755200"/>
    <w:rsid w:val="557D644E"/>
    <w:rsid w:val="557E5D22"/>
    <w:rsid w:val="558A0B6B"/>
    <w:rsid w:val="558C6691"/>
    <w:rsid w:val="55A65C7F"/>
    <w:rsid w:val="55CC1183"/>
    <w:rsid w:val="55E3776B"/>
    <w:rsid w:val="56336B0D"/>
    <w:rsid w:val="563715A5"/>
    <w:rsid w:val="563D5BDD"/>
    <w:rsid w:val="564A2742"/>
    <w:rsid w:val="564B02FA"/>
    <w:rsid w:val="565730C7"/>
    <w:rsid w:val="565F2550"/>
    <w:rsid w:val="566B1FAA"/>
    <w:rsid w:val="5677786A"/>
    <w:rsid w:val="567F1842"/>
    <w:rsid w:val="56837DBC"/>
    <w:rsid w:val="568D446F"/>
    <w:rsid w:val="569752EE"/>
    <w:rsid w:val="56B51C18"/>
    <w:rsid w:val="56D57BC4"/>
    <w:rsid w:val="56D77DE0"/>
    <w:rsid w:val="570E14DB"/>
    <w:rsid w:val="57156E4A"/>
    <w:rsid w:val="57233025"/>
    <w:rsid w:val="574719FA"/>
    <w:rsid w:val="576B7DCB"/>
    <w:rsid w:val="5774562F"/>
    <w:rsid w:val="577E200A"/>
    <w:rsid w:val="579655A5"/>
    <w:rsid w:val="57B40121"/>
    <w:rsid w:val="57F624E8"/>
    <w:rsid w:val="580016A6"/>
    <w:rsid w:val="58150BC0"/>
    <w:rsid w:val="582F6885"/>
    <w:rsid w:val="58613E05"/>
    <w:rsid w:val="58AD0DF8"/>
    <w:rsid w:val="58B77EC9"/>
    <w:rsid w:val="58B8779D"/>
    <w:rsid w:val="58C6465A"/>
    <w:rsid w:val="58E2609E"/>
    <w:rsid w:val="590D1897"/>
    <w:rsid w:val="59103135"/>
    <w:rsid w:val="591744C4"/>
    <w:rsid w:val="593A4F1E"/>
    <w:rsid w:val="59413C36"/>
    <w:rsid w:val="5960230F"/>
    <w:rsid w:val="59670796"/>
    <w:rsid w:val="59693CA1"/>
    <w:rsid w:val="598F49A2"/>
    <w:rsid w:val="59AD5C8A"/>
    <w:rsid w:val="59AF0BA0"/>
    <w:rsid w:val="59B057E0"/>
    <w:rsid w:val="59B2243E"/>
    <w:rsid w:val="59B63CDD"/>
    <w:rsid w:val="59CA3C2C"/>
    <w:rsid w:val="59E545C2"/>
    <w:rsid w:val="5A0013FC"/>
    <w:rsid w:val="5A1C1F7A"/>
    <w:rsid w:val="5A2F2D66"/>
    <w:rsid w:val="5A47702B"/>
    <w:rsid w:val="5A5654C0"/>
    <w:rsid w:val="5A5D05FC"/>
    <w:rsid w:val="5AA004E9"/>
    <w:rsid w:val="5AA12BDF"/>
    <w:rsid w:val="5AC266B1"/>
    <w:rsid w:val="5AC624B2"/>
    <w:rsid w:val="5AC93EE4"/>
    <w:rsid w:val="5AE9391C"/>
    <w:rsid w:val="5AF56A87"/>
    <w:rsid w:val="5AFD0A43"/>
    <w:rsid w:val="5B013390"/>
    <w:rsid w:val="5B136F0D"/>
    <w:rsid w:val="5B156799"/>
    <w:rsid w:val="5B157129"/>
    <w:rsid w:val="5B1F3B03"/>
    <w:rsid w:val="5B280C0A"/>
    <w:rsid w:val="5B4041A6"/>
    <w:rsid w:val="5B4F43E9"/>
    <w:rsid w:val="5B5639C9"/>
    <w:rsid w:val="5B6E4DDA"/>
    <w:rsid w:val="5B765E19"/>
    <w:rsid w:val="5B8172A8"/>
    <w:rsid w:val="5B8878FB"/>
    <w:rsid w:val="5B911B69"/>
    <w:rsid w:val="5BD7328C"/>
    <w:rsid w:val="5BF109CA"/>
    <w:rsid w:val="5BFE196B"/>
    <w:rsid w:val="5C007491"/>
    <w:rsid w:val="5C0C052C"/>
    <w:rsid w:val="5C214767"/>
    <w:rsid w:val="5C335AB8"/>
    <w:rsid w:val="5C5F6A1F"/>
    <w:rsid w:val="5C6B34A4"/>
    <w:rsid w:val="5C743C9D"/>
    <w:rsid w:val="5C8A1451"/>
    <w:rsid w:val="5CA42512"/>
    <w:rsid w:val="5CB920AE"/>
    <w:rsid w:val="5CCB7A9F"/>
    <w:rsid w:val="5CD66444"/>
    <w:rsid w:val="5CF7477D"/>
    <w:rsid w:val="5D047455"/>
    <w:rsid w:val="5D0E7637"/>
    <w:rsid w:val="5D104520"/>
    <w:rsid w:val="5D1C2035"/>
    <w:rsid w:val="5D494E68"/>
    <w:rsid w:val="5D4B0BE0"/>
    <w:rsid w:val="5D6F0D72"/>
    <w:rsid w:val="5D7076A4"/>
    <w:rsid w:val="5D831DAD"/>
    <w:rsid w:val="5D8F31C2"/>
    <w:rsid w:val="5DAD6003"/>
    <w:rsid w:val="5DB93D9B"/>
    <w:rsid w:val="5DCA41FA"/>
    <w:rsid w:val="5E2A6A47"/>
    <w:rsid w:val="5E363F9E"/>
    <w:rsid w:val="5E394EDC"/>
    <w:rsid w:val="5E570CD8"/>
    <w:rsid w:val="5E6F6B50"/>
    <w:rsid w:val="5E766130"/>
    <w:rsid w:val="5E8D2BCF"/>
    <w:rsid w:val="5E994F12"/>
    <w:rsid w:val="5EB82366"/>
    <w:rsid w:val="5ED6097D"/>
    <w:rsid w:val="5F155949"/>
    <w:rsid w:val="5F6D0BDA"/>
    <w:rsid w:val="5F7206A6"/>
    <w:rsid w:val="5F7A755A"/>
    <w:rsid w:val="5F9F3465"/>
    <w:rsid w:val="5FA82DFA"/>
    <w:rsid w:val="5FD70E51"/>
    <w:rsid w:val="60205FEB"/>
    <w:rsid w:val="60247E3E"/>
    <w:rsid w:val="602758BC"/>
    <w:rsid w:val="603D5158"/>
    <w:rsid w:val="60567FC7"/>
    <w:rsid w:val="60591866"/>
    <w:rsid w:val="60673F83"/>
    <w:rsid w:val="606A75CF"/>
    <w:rsid w:val="60995CEB"/>
    <w:rsid w:val="60B70E3B"/>
    <w:rsid w:val="60BA67A8"/>
    <w:rsid w:val="60D373D4"/>
    <w:rsid w:val="60D470A6"/>
    <w:rsid w:val="60E2116F"/>
    <w:rsid w:val="60FA7C87"/>
    <w:rsid w:val="611A7247"/>
    <w:rsid w:val="613921C4"/>
    <w:rsid w:val="61C10F1D"/>
    <w:rsid w:val="61D27B22"/>
    <w:rsid w:val="61D513C0"/>
    <w:rsid w:val="61DF3FED"/>
    <w:rsid w:val="61FA5939"/>
    <w:rsid w:val="622D2302"/>
    <w:rsid w:val="623A3F7F"/>
    <w:rsid w:val="62414951"/>
    <w:rsid w:val="628D57F7"/>
    <w:rsid w:val="62A56FE4"/>
    <w:rsid w:val="62AE5E99"/>
    <w:rsid w:val="62AF1C11"/>
    <w:rsid w:val="62B47227"/>
    <w:rsid w:val="62BC34BF"/>
    <w:rsid w:val="62CC7126"/>
    <w:rsid w:val="62D96C8E"/>
    <w:rsid w:val="62EE2B8D"/>
    <w:rsid w:val="62FB4E56"/>
    <w:rsid w:val="630D3D17"/>
    <w:rsid w:val="6315416A"/>
    <w:rsid w:val="632048BD"/>
    <w:rsid w:val="63270DA4"/>
    <w:rsid w:val="632E2B36"/>
    <w:rsid w:val="634405AB"/>
    <w:rsid w:val="6353723A"/>
    <w:rsid w:val="636E5628"/>
    <w:rsid w:val="637F5A87"/>
    <w:rsid w:val="63901A42"/>
    <w:rsid w:val="63B219B9"/>
    <w:rsid w:val="63B868A3"/>
    <w:rsid w:val="63D556A7"/>
    <w:rsid w:val="63DA2A0B"/>
    <w:rsid w:val="63FA6EBC"/>
    <w:rsid w:val="64061D04"/>
    <w:rsid w:val="640F0BB9"/>
    <w:rsid w:val="641C398C"/>
    <w:rsid w:val="642257D6"/>
    <w:rsid w:val="645C36D2"/>
    <w:rsid w:val="645C60CA"/>
    <w:rsid w:val="64693C42"/>
    <w:rsid w:val="64970BAF"/>
    <w:rsid w:val="64B4529D"/>
    <w:rsid w:val="64DE058B"/>
    <w:rsid w:val="64FE29DC"/>
    <w:rsid w:val="65006754"/>
    <w:rsid w:val="65195037"/>
    <w:rsid w:val="65240694"/>
    <w:rsid w:val="65270184"/>
    <w:rsid w:val="656C203B"/>
    <w:rsid w:val="658E7A69"/>
    <w:rsid w:val="659A63C7"/>
    <w:rsid w:val="65A74E21"/>
    <w:rsid w:val="65B5753E"/>
    <w:rsid w:val="65C9123C"/>
    <w:rsid w:val="65CD0D2C"/>
    <w:rsid w:val="65D200F0"/>
    <w:rsid w:val="65E50EAA"/>
    <w:rsid w:val="65F46ACE"/>
    <w:rsid w:val="66037DBF"/>
    <w:rsid w:val="660E1A64"/>
    <w:rsid w:val="661941D8"/>
    <w:rsid w:val="661C136B"/>
    <w:rsid w:val="66252916"/>
    <w:rsid w:val="662C5313"/>
    <w:rsid w:val="66391F1D"/>
    <w:rsid w:val="66524D8D"/>
    <w:rsid w:val="667016B7"/>
    <w:rsid w:val="66A05E52"/>
    <w:rsid w:val="66B15F58"/>
    <w:rsid w:val="66B5531C"/>
    <w:rsid w:val="66BC48FC"/>
    <w:rsid w:val="66D93700"/>
    <w:rsid w:val="66E42571"/>
    <w:rsid w:val="66FE3167"/>
    <w:rsid w:val="671B5AC7"/>
    <w:rsid w:val="671D183F"/>
    <w:rsid w:val="6731407F"/>
    <w:rsid w:val="67386679"/>
    <w:rsid w:val="674E7C4A"/>
    <w:rsid w:val="67530DBD"/>
    <w:rsid w:val="67620155"/>
    <w:rsid w:val="67654716"/>
    <w:rsid w:val="677451D2"/>
    <w:rsid w:val="677604D5"/>
    <w:rsid w:val="678028FC"/>
    <w:rsid w:val="678C2521"/>
    <w:rsid w:val="6790388C"/>
    <w:rsid w:val="67E1286C"/>
    <w:rsid w:val="681C1AF7"/>
    <w:rsid w:val="681E1E1B"/>
    <w:rsid w:val="683A01CF"/>
    <w:rsid w:val="68420E31"/>
    <w:rsid w:val="68550B65"/>
    <w:rsid w:val="68555008"/>
    <w:rsid w:val="68664B20"/>
    <w:rsid w:val="686D5EAE"/>
    <w:rsid w:val="68841054"/>
    <w:rsid w:val="689F0032"/>
    <w:rsid w:val="68A8338A"/>
    <w:rsid w:val="68C06926"/>
    <w:rsid w:val="68C161FA"/>
    <w:rsid w:val="68ED5241"/>
    <w:rsid w:val="68F3424F"/>
    <w:rsid w:val="690613D9"/>
    <w:rsid w:val="69124CA8"/>
    <w:rsid w:val="691C30E3"/>
    <w:rsid w:val="692A3D9F"/>
    <w:rsid w:val="696C260A"/>
    <w:rsid w:val="6974715B"/>
    <w:rsid w:val="69762905"/>
    <w:rsid w:val="6978186C"/>
    <w:rsid w:val="699851AD"/>
    <w:rsid w:val="699E02E9"/>
    <w:rsid w:val="69E403F2"/>
    <w:rsid w:val="69EE301F"/>
    <w:rsid w:val="6A002D52"/>
    <w:rsid w:val="6A164324"/>
    <w:rsid w:val="6A1A2066"/>
    <w:rsid w:val="6A2829D5"/>
    <w:rsid w:val="6A2B7DCF"/>
    <w:rsid w:val="6A607681"/>
    <w:rsid w:val="6A9F4B46"/>
    <w:rsid w:val="6AA06A0F"/>
    <w:rsid w:val="6AA81420"/>
    <w:rsid w:val="6ADC37BF"/>
    <w:rsid w:val="6AFA59F3"/>
    <w:rsid w:val="6B376C47"/>
    <w:rsid w:val="6B4B109D"/>
    <w:rsid w:val="6B5415A7"/>
    <w:rsid w:val="6B794D86"/>
    <w:rsid w:val="6B7B6B34"/>
    <w:rsid w:val="6B7C465A"/>
    <w:rsid w:val="6B7F4DA5"/>
    <w:rsid w:val="6B985938"/>
    <w:rsid w:val="6BA918F3"/>
    <w:rsid w:val="6BB77FE6"/>
    <w:rsid w:val="6BBB1626"/>
    <w:rsid w:val="6BC77FCB"/>
    <w:rsid w:val="6BD35865"/>
    <w:rsid w:val="6BEE7306"/>
    <w:rsid w:val="6BF15048"/>
    <w:rsid w:val="6C01652B"/>
    <w:rsid w:val="6C046B2A"/>
    <w:rsid w:val="6C0703C8"/>
    <w:rsid w:val="6C2216A6"/>
    <w:rsid w:val="6C56047F"/>
    <w:rsid w:val="6C613F7C"/>
    <w:rsid w:val="6C7F4402"/>
    <w:rsid w:val="6C9003BD"/>
    <w:rsid w:val="6C9A0567"/>
    <w:rsid w:val="6CA95923"/>
    <w:rsid w:val="6CAD2BD8"/>
    <w:rsid w:val="6CC232FE"/>
    <w:rsid w:val="6CD01102"/>
    <w:rsid w:val="6CD504AB"/>
    <w:rsid w:val="6CDC3602"/>
    <w:rsid w:val="6CF92406"/>
    <w:rsid w:val="6D0A14BC"/>
    <w:rsid w:val="6D114B17"/>
    <w:rsid w:val="6D2F5E28"/>
    <w:rsid w:val="6D3676FA"/>
    <w:rsid w:val="6D6077B8"/>
    <w:rsid w:val="6D720679"/>
    <w:rsid w:val="6E1119D2"/>
    <w:rsid w:val="6E2A0C85"/>
    <w:rsid w:val="6E5B751F"/>
    <w:rsid w:val="6E6B2E90"/>
    <w:rsid w:val="6E95615F"/>
    <w:rsid w:val="6EAB3BD4"/>
    <w:rsid w:val="6EB81EFE"/>
    <w:rsid w:val="6ECE1671"/>
    <w:rsid w:val="6ED053E9"/>
    <w:rsid w:val="6EE42C42"/>
    <w:rsid w:val="6EF94940"/>
    <w:rsid w:val="6F143527"/>
    <w:rsid w:val="6F1A6664"/>
    <w:rsid w:val="6F435BBB"/>
    <w:rsid w:val="6F4B0F13"/>
    <w:rsid w:val="6F4C2EA9"/>
    <w:rsid w:val="6F51652A"/>
    <w:rsid w:val="6F5222A2"/>
    <w:rsid w:val="6F685621"/>
    <w:rsid w:val="6F983EA4"/>
    <w:rsid w:val="6F9E1043"/>
    <w:rsid w:val="70001CFE"/>
    <w:rsid w:val="7040695F"/>
    <w:rsid w:val="706109EE"/>
    <w:rsid w:val="706208E8"/>
    <w:rsid w:val="708943CB"/>
    <w:rsid w:val="70B2624B"/>
    <w:rsid w:val="70B34FC2"/>
    <w:rsid w:val="70B623BC"/>
    <w:rsid w:val="70B7018D"/>
    <w:rsid w:val="70ED4030"/>
    <w:rsid w:val="71410424"/>
    <w:rsid w:val="7141612A"/>
    <w:rsid w:val="71573B9F"/>
    <w:rsid w:val="717A163C"/>
    <w:rsid w:val="717D79A1"/>
    <w:rsid w:val="718C1A9B"/>
    <w:rsid w:val="7199721F"/>
    <w:rsid w:val="71A62431"/>
    <w:rsid w:val="71AF5789"/>
    <w:rsid w:val="71CD79BE"/>
    <w:rsid w:val="71E03B95"/>
    <w:rsid w:val="72165809"/>
    <w:rsid w:val="721D26F3"/>
    <w:rsid w:val="722A4E10"/>
    <w:rsid w:val="72435ED2"/>
    <w:rsid w:val="72552798"/>
    <w:rsid w:val="725D6F93"/>
    <w:rsid w:val="726421C4"/>
    <w:rsid w:val="7289422C"/>
    <w:rsid w:val="729C3F60"/>
    <w:rsid w:val="72A46970"/>
    <w:rsid w:val="72A72905"/>
    <w:rsid w:val="72C21EE7"/>
    <w:rsid w:val="72CE60E3"/>
    <w:rsid w:val="72E2393D"/>
    <w:rsid w:val="72EB459F"/>
    <w:rsid w:val="72EE5E3E"/>
    <w:rsid w:val="72F13B62"/>
    <w:rsid w:val="72F27F0A"/>
    <w:rsid w:val="72F867DC"/>
    <w:rsid w:val="72FB055A"/>
    <w:rsid w:val="73007B47"/>
    <w:rsid w:val="733028FA"/>
    <w:rsid w:val="733221CE"/>
    <w:rsid w:val="733D0B73"/>
    <w:rsid w:val="7346477F"/>
    <w:rsid w:val="73591E51"/>
    <w:rsid w:val="73634A7D"/>
    <w:rsid w:val="7363682B"/>
    <w:rsid w:val="736B56E0"/>
    <w:rsid w:val="736C11A1"/>
    <w:rsid w:val="737F2F3A"/>
    <w:rsid w:val="73807ED8"/>
    <w:rsid w:val="73832A2A"/>
    <w:rsid w:val="73927111"/>
    <w:rsid w:val="73A66C20"/>
    <w:rsid w:val="73A86934"/>
    <w:rsid w:val="73AF381F"/>
    <w:rsid w:val="73B76B77"/>
    <w:rsid w:val="73CD1EF7"/>
    <w:rsid w:val="73E22251"/>
    <w:rsid w:val="73EA0CFB"/>
    <w:rsid w:val="74100036"/>
    <w:rsid w:val="742A10F7"/>
    <w:rsid w:val="745443C6"/>
    <w:rsid w:val="745C081A"/>
    <w:rsid w:val="74600FBD"/>
    <w:rsid w:val="746740F9"/>
    <w:rsid w:val="74974E4A"/>
    <w:rsid w:val="749F7D37"/>
    <w:rsid w:val="74A54E21"/>
    <w:rsid w:val="74B03CF2"/>
    <w:rsid w:val="74B54CD3"/>
    <w:rsid w:val="74C2329A"/>
    <w:rsid w:val="74D84FF7"/>
    <w:rsid w:val="7503178C"/>
    <w:rsid w:val="75145F28"/>
    <w:rsid w:val="75154854"/>
    <w:rsid w:val="75271917"/>
    <w:rsid w:val="75647827"/>
    <w:rsid w:val="75956A44"/>
    <w:rsid w:val="75965029"/>
    <w:rsid w:val="759C4277"/>
    <w:rsid w:val="75A31161"/>
    <w:rsid w:val="75AB356D"/>
    <w:rsid w:val="75D25EEA"/>
    <w:rsid w:val="76171B4F"/>
    <w:rsid w:val="762B59B5"/>
    <w:rsid w:val="7634625D"/>
    <w:rsid w:val="764D37C3"/>
    <w:rsid w:val="76500BBD"/>
    <w:rsid w:val="7669622D"/>
    <w:rsid w:val="76740D50"/>
    <w:rsid w:val="76766876"/>
    <w:rsid w:val="768D0009"/>
    <w:rsid w:val="76937428"/>
    <w:rsid w:val="7695128E"/>
    <w:rsid w:val="76AA4771"/>
    <w:rsid w:val="76CF5F86"/>
    <w:rsid w:val="76D35A76"/>
    <w:rsid w:val="76EE28B0"/>
    <w:rsid w:val="76F80E50"/>
    <w:rsid w:val="772D7D03"/>
    <w:rsid w:val="77530965"/>
    <w:rsid w:val="776963DA"/>
    <w:rsid w:val="777C3106"/>
    <w:rsid w:val="77840C78"/>
    <w:rsid w:val="779276DF"/>
    <w:rsid w:val="77A14BA4"/>
    <w:rsid w:val="77AB69F3"/>
    <w:rsid w:val="77AE0291"/>
    <w:rsid w:val="77B05DB7"/>
    <w:rsid w:val="78050FEF"/>
    <w:rsid w:val="780D320A"/>
    <w:rsid w:val="784F55D0"/>
    <w:rsid w:val="788A03B6"/>
    <w:rsid w:val="788F3C1F"/>
    <w:rsid w:val="78B813C8"/>
    <w:rsid w:val="78C064CE"/>
    <w:rsid w:val="78E81581"/>
    <w:rsid w:val="78FD327E"/>
    <w:rsid w:val="79002D6F"/>
    <w:rsid w:val="7902302B"/>
    <w:rsid w:val="790E0FE8"/>
    <w:rsid w:val="792B7DEB"/>
    <w:rsid w:val="792C77B5"/>
    <w:rsid w:val="793230AC"/>
    <w:rsid w:val="79680FA5"/>
    <w:rsid w:val="79694470"/>
    <w:rsid w:val="79712057"/>
    <w:rsid w:val="79726150"/>
    <w:rsid w:val="799D05BD"/>
    <w:rsid w:val="79A656C4"/>
    <w:rsid w:val="79BF0534"/>
    <w:rsid w:val="79C43D9C"/>
    <w:rsid w:val="79E902EB"/>
    <w:rsid w:val="79F134EC"/>
    <w:rsid w:val="79F3642F"/>
    <w:rsid w:val="7A150154"/>
    <w:rsid w:val="7A1563A6"/>
    <w:rsid w:val="7A161B6E"/>
    <w:rsid w:val="7A370B9D"/>
    <w:rsid w:val="7A492865"/>
    <w:rsid w:val="7A664E53"/>
    <w:rsid w:val="7A7C01D3"/>
    <w:rsid w:val="7A8A6D94"/>
    <w:rsid w:val="7A911ED0"/>
    <w:rsid w:val="7AB20098"/>
    <w:rsid w:val="7AB61937"/>
    <w:rsid w:val="7AC52CA3"/>
    <w:rsid w:val="7AD97F18"/>
    <w:rsid w:val="7AE5221C"/>
    <w:rsid w:val="7AE75F94"/>
    <w:rsid w:val="7B022DCE"/>
    <w:rsid w:val="7B566C76"/>
    <w:rsid w:val="7B635310"/>
    <w:rsid w:val="7B6E4587"/>
    <w:rsid w:val="7B783090"/>
    <w:rsid w:val="7B784E3E"/>
    <w:rsid w:val="7B7B6B6F"/>
    <w:rsid w:val="7B94426E"/>
    <w:rsid w:val="7BB35E76"/>
    <w:rsid w:val="7BB51BEE"/>
    <w:rsid w:val="7BB63E2B"/>
    <w:rsid w:val="7BEC2EAB"/>
    <w:rsid w:val="7BEE5100"/>
    <w:rsid w:val="7BF5023D"/>
    <w:rsid w:val="7C266648"/>
    <w:rsid w:val="7C4371FA"/>
    <w:rsid w:val="7C5B09E8"/>
    <w:rsid w:val="7C6B127E"/>
    <w:rsid w:val="7C776EA4"/>
    <w:rsid w:val="7C7D4D59"/>
    <w:rsid w:val="7C831CEC"/>
    <w:rsid w:val="7C981F98"/>
    <w:rsid w:val="7C9B7036"/>
    <w:rsid w:val="7CBC6FAC"/>
    <w:rsid w:val="7CCA791B"/>
    <w:rsid w:val="7CD4760A"/>
    <w:rsid w:val="7CEF7382"/>
    <w:rsid w:val="7CFB7AD5"/>
    <w:rsid w:val="7D4820FB"/>
    <w:rsid w:val="7D6779E1"/>
    <w:rsid w:val="7D9C2744"/>
    <w:rsid w:val="7DA65982"/>
    <w:rsid w:val="7DAE4B47"/>
    <w:rsid w:val="7DAF1184"/>
    <w:rsid w:val="7DE47BFE"/>
    <w:rsid w:val="7E192908"/>
    <w:rsid w:val="7E282B4B"/>
    <w:rsid w:val="7E33329E"/>
    <w:rsid w:val="7E6671D0"/>
    <w:rsid w:val="7E722019"/>
    <w:rsid w:val="7EAA7A04"/>
    <w:rsid w:val="7EAF0B77"/>
    <w:rsid w:val="7EB40789"/>
    <w:rsid w:val="7EBB6CBF"/>
    <w:rsid w:val="7EC34622"/>
    <w:rsid w:val="7ECE715B"/>
    <w:rsid w:val="7ED4682F"/>
    <w:rsid w:val="7F2552DD"/>
    <w:rsid w:val="7F442849"/>
    <w:rsid w:val="7F477001"/>
    <w:rsid w:val="7F5E3878"/>
    <w:rsid w:val="7F6F6558"/>
    <w:rsid w:val="7F7B314F"/>
    <w:rsid w:val="7F807F12"/>
    <w:rsid w:val="7FAC404A"/>
    <w:rsid w:val="7FD4460D"/>
    <w:rsid w:val="7FE01204"/>
    <w:rsid w:val="7FF15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0"/>
    <w:pPr>
      <w:keepNext/>
      <w:keepLines/>
      <w:spacing w:before="340" w:after="330" w:line="578" w:lineRule="auto"/>
      <w:jc w:val="both"/>
      <w:outlineLvl w:val="0"/>
    </w:pPr>
    <w:rPr>
      <w:rFonts w:ascii="Calibri" w:hAnsi="Calibri" w:eastAsia="宋体" w:cs="Times New Roman"/>
      <w:b/>
      <w:bCs/>
      <w:kern w:val="44"/>
      <w:sz w:val="44"/>
      <w:szCs w:val="44"/>
    </w:rPr>
  </w:style>
  <w:style w:type="paragraph" w:styleId="3">
    <w:name w:val="heading 2"/>
    <w:basedOn w:val="1"/>
    <w:next w:val="1"/>
    <w:link w:val="50"/>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7"/>
    <w:basedOn w:val="1"/>
    <w:next w:val="1"/>
    <w:link w:val="78"/>
    <w:semiHidden/>
    <w:unhideWhenUsed/>
    <w:qFormat/>
    <w:uiPriority w:val="9"/>
    <w:pPr>
      <w:keepNext/>
      <w:keepLines/>
      <w:spacing w:before="240" w:after="64" w:line="320" w:lineRule="auto"/>
      <w:outlineLvl w:val="6"/>
    </w:pPr>
    <w:rPr>
      <w:b/>
      <w:bCs/>
      <w:sz w:val="24"/>
      <w:szCs w:val="24"/>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after="0" w:line="240" w:lineRule="auto"/>
      <w:ind w:left="2520" w:leftChars="1200"/>
      <w:jc w:val="both"/>
    </w:pPr>
  </w:style>
  <w:style w:type="paragraph" w:styleId="7">
    <w:name w:val="annotation text"/>
    <w:basedOn w:val="1"/>
    <w:link w:val="53"/>
    <w:semiHidden/>
    <w:unhideWhenUsed/>
    <w:qFormat/>
    <w:uiPriority w:val="99"/>
  </w:style>
  <w:style w:type="paragraph" w:styleId="8">
    <w:name w:val="Body Text 3"/>
    <w:basedOn w:val="1"/>
    <w:link w:val="49"/>
    <w:unhideWhenUsed/>
    <w:qFormat/>
    <w:uiPriority w:val="99"/>
    <w:pPr>
      <w:spacing w:after="0"/>
      <w:jc w:val="both"/>
    </w:pPr>
    <w:rPr>
      <w:rFonts w:hint="eastAsia" w:ascii="宋体" w:hAnsi="Calibri" w:eastAsia="宋体" w:cs="Times New Roman"/>
      <w:sz w:val="24"/>
      <w:szCs w:val="20"/>
    </w:rPr>
  </w:style>
  <w:style w:type="paragraph" w:styleId="9">
    <w:name w:val="Body Text"/>
    <w:basedOn w:val="1"/>
    <w:link w:val="73"/>
    <w:qFormat/>
    <w:uiPriority w:val="99"/>
    <w:pPr>
      <w:spacing w:after="120"/>
    </w:pPr>
  </w:style>
  <w:style w:type="paragraph" w:styleId="10">
    <w:name w:val="Body Text Indent"/>
    <w:basedOn w:val="1"/>
    <w:next w:val="11"/>
    <w:qFormat/>
    <w:uiPriority w:val="0"/>
    <w:pPr>
      <w:spacing w:after="120"/>
      <w:ind w:left="420" w:leftChars="200"/>
    </w:pPr>
  </w:style>
  <w:style w:type="paragraph" w:styleId="11">
    <w:name w:val="envelope return"/>
    <w:basedOn w:val="1"/>
    <w:qFormat/>
    <w:uiPriority w:val="99"/>
    <w:pPr>
      <w:snapToGrid w:val="0"/>
    </w:pPr>
    <w:rPr>
      <w:rFonts w:ascii="Arial" w:hAnsi="Arial" w:cs="Arial"/>
    </w:rPr>
  </w:style>
  <w:style w:type="paragraph" w:styleId="12">
    <w:name w:val="toc 5"/>
    <w:basedOn w:val="1"/>
    <w:next w:val="1"/>
    <w:unhideWhenUsed/>
    <w:qFormat/>
    <w:uiPriority w:val="39"/>
    <w:pPr>
      <w:spacing w:after="0" w:line="240" w:lineRule="auto"/>
      <w:ind w:left="1680" w:leftChars="800"/>
      <w:jc w:val="both"/>
    </w:p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spacing w:after="0" w:line="240" w:lineRule="auto"/>
      <w:ind w:left="2940" w:leftChars="1400"/>
      <w:jc w:val="both"/>
    </w:pPr>
  </w:style>
  <w:style w:type="paragraph" w:styleId="15">
    <w:name w:val="Balloon Text"/>
    <w:basedOn w:val="1"/>
    <w:link w:val="55"/>
    <w:semiHidden/>
    <w:unhideWhenUsed/>
    <w:qFormat/>
    <w:uiPriority w:val="99"/>
    <w:pPr>
      <w:spacing w:after="0" w:line="240" w:lineRule="auto"/>
    </w:pPr>
    <w:rPr>
      <w:sz w:val="18"/>
      <w:szCs w:val="18"/>
    </w:rPr>
  </w:style>
  <w:style w:type="paragraph" w:styleId="16">
    <w:name w:val="footer"/>
    <w:basedOn w:val="1"/>
    <w:link w:val="44"/>
    <w:unhideWhenUsed/>
    <w:qFormat/>
    <w:uiPriority w:val="0"/>
    <w:pPr>
      <w:tabs>
        <w:tab w:val="center" w:pos="4153"/>
        <w:tab w:val="right" w:pos="8306"/>
      </w:tabs>
      <w:snapToGrid w:val="0"/>
      <w:spacing w:line="240" w:lineRule="auto"/>
    </w:pPr>
    <w:rPr>
      <w:sz w:val="18"/>
      <w:szCs w:val="18"/>
    </w:rPr>
  </w:style>
  <w:style w:type="paragraph" w:styleId="17">
    <w:name w:val="header"/>
    <w:basedOn w:val="1"/>
    <w:link w:val="43"/>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spacing w:after="0" w:line="240" w:lineRule="auto"/>
      <w:ind w:left="1260" w:leftChars="600"/>
      <w:jc w:val="both"/>
    </w:pPr>
  </w:style>
  <w:style w:type="paragraph" w:styleId="20">
    <w:name w:val="toc 6"/>
    <w:basedOn w:val="1"/>
    <w:next w:val="1"/>
    <w:unhideWhenUsed/>
    <w:qFormat/>
    <w:uiPriority w:val="39"/>
    <w:pPr>
      <w:spacing w:after="0" w:line="240" w:lineRule="auto"/>
      <w:ind w:left="2100" w:leftChars="1000"/>
      <w:jc w:val="both"/>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spacing w:after="0" w:line="240" w:lineRule="auto"/>
      <w:ind w:left="3360" w:leftChars="1600"/>
      <w:jc w:val="both"/>
    </w:pPr>
  </w:style>
  <w:style w:type="paragraph" w:styleId="23">
    <w:name w:val="Body Text 2"/>
    <w:basedOn w:val="1"/>
    <w:qFormat/>
    <w:uiPriority w:val="0"/>
    <w:pPr>
      <w:spacing w:after="120" w:line="480" w:lineRule="auto"/>
    </w:pPr>
  </w:style>
  <w:style w:type="paragraph" w:styleId="24">
    <w:name w:val="Normal (Web)"/>
    <w:basedOn w:val="1"/>
    <w:unhideWhenUsed/>
    <w:qFormat/>
    <w:uiPriority w:val="99"/>
    <w:pPr>
      <w:spacing w:beforeAutospacing="1" w:after="0" w:afterAutospacing="1"/>
    </w:pPr>
    <w:rPr>
      <w:rFonts w:cs="Times New Roman"/>
      <w:kern w:val="0"/>
      <w:sz w:val="24"/>
    </w:rPr>
  </w:style>
  <w:style w:type="paragraph" w:styleId="25">
    <w:name w:val="annotation subject"/>
    <w:basedOn w:val="7"/>
    <w:next w:val="7"/>
    <w:link w:val="54"/>
    <w:semiHidden/>
    <w:unhideWhenUsed/>
    <w:qFormat/>
    <w:uiPriority w:val="99"/>
    <w:rPr>
      <w:b/>
      <w:bCs/>
    </w:rPr>
  </w:style>
  <w:style w:type="paragraph" w:styleId="26">
    <w:name w:val="Body Text First Indent 2"/>
    <w:basedOn w:val="10"/>
    <w:next w:val="1"/>
    <w:qFormat/>
    <w:uiPriority w:val="0"/>
    <w:pPr>
      <w:ind w:left="200" w:firstLine="200" w:firstLineChars="200"/>
    </w:pPr>
  </w:style>
  <w:style w:type="character" w:styleId="29">
    <w:name w:val="page number"/>
    <w:basedOn w:val="28"/>
    <w:semiHidden/>
    <w:unhideWhenUsed/>
    <w:qFormat/>
    <w:uiPriority w:val="99"/>
  </w:style>
  <w:style w:type="character" w:styleId="30">
    <w:name w:val="FollowedHyperlink"/>
    <w:basedOn w:val="28"/>
    <w:semiHidden/>
    <w:unhideWhenUsed/>
    <w:qFormat/>
    <w:uiPriority w:val="99"/>
    <w:rPr>
      <w:color w:val="333333"/>
      <w:u w:val="none"/>
    </w:rPr>
  </w:style>
  <w:style w:type="character" w:styleId="31">
    <w:name w:val="HTML Definition"/>
    <w:basedOn w:val="28"/>
    <w:semiHidden/>
    <w:unhideWhenUsed/>
    <w:qFormat/>
    <w:uiPriority w:val="99"/>
  </w:style>
  <w:style w:type="character" w:styleId="32">
    <w:name w:val="HTML Typewriter"/>
    <w:basedOn w:val="28"/>
    <w:semiHidden/>
    <w:unhideWhenUsed/>
    <w:qFormat/>
    <w:uiPriority w:val="99"/>
    <w:rPr>
      <w:rFonts w:hint="default" w:ascii="monospace" w:hAnsi="monospace" w:eastAsia="monospace" w:cs="monospace"/>
      <w:sz w:val="20"/>
    </w:rPr>
  </w:style>
  <w:style w:type="character" w:styleId="33">
    <w:name w:val="HTML Acronym"/>
    <w:basedOn w:val="28"/>
    <w:semiHidden/>
    <w:unhideWhenUsed/>
    <w:qFormat/>
    <w:uiPriority w:val="99"/>
  </w:style>
  <w:style w:type="character" w:styleId="34">
    <w:name w:val="HTML Variable"/>
    <w:basedOn w:val="28"/>
    <w:semiHidden/>
    <w:unhideWhenUsed/>
    <w:qFormat/>
    <w:uiPriority w:val="99"/>
  </w:style>
  <w:style w:type="character" w:styleId="35">
    <w:name w:val="Hyperlink"/>
    <w:unhideWhenUsed/>
    <w:qFormat/>
    <w:uiPriority w:val="99"/>
    <w:rPr>
      <w:color w:val="0000FF" w:themeColor="hyperlink"/>
      <w:u w:val="single"/>
      <w14:textFill>
        <w14:solidFill>
          <w14:schemeClr w14:val="hlink"/>
        </w14:solidFill>
      </w14:textFill>
    </w:rPr>
  </w:style>
  <w:style w:type="character" w:styleId="36">
    <w:name w:val="HTML Code"/>
    <w:basedOn w:val="28"/>
    <w:semiHidden/>
    <w:unhideWhenUsed/>
    <w:qFormat/>
    <w:uiPriority w:val="99"/>
    <w:rPr>
      <w:rFonts w:ascii="monospace" w:hAnsi="monospace" w:eastAsia="monospace" w:cs="monospace"/>
      <w:sz w:val="20"/>
    </w:rPr>
  </w:style>
  <w:style w:type="character" w:styleId="37">
    <w:name w:val="annotation reference"/>
    <w:basedOn w:val="28"/>
    <w:semiHidden/>
    <w:unhideWhenUsed/>
    <w:qFormat/>
    <w:uiPriority w:val="99"/>
    <w:rPr>
      <w:sz w:val="21"/>
      <w:szCs w:val="21"/>
    </w:rPr>
  </w:style>
  <w:style w:type="character" w:styleId="38">
    <w:name w:val="HTML Cite"/>
    <w:basedOn w:val="28"/>
    <w:semiHidden/>
    <w:unhideWhenUsed/>
    <w:qFormat/>
    <w:uiPriority w:val="99"/>
  </w:style>
  <w:style w:type="character" w:styleId="39">
    <w:name w:val="HTML Keyboard"/>
    <w:basedOn w:val="28"/>
    <w:semiHidden/>
    <w:unhideWhenUsed/>
    <w:qFormat/>
    <w:uiPriority w:val="99"/>
    <w:rPr>
      <w:rFonts w:hint="default" w:ascii="monospace" w:hAnsi="monospace" w:eastAsia="monospace" w:cs="monospace"/>
      <w:sz w:val="20"/>
    </w:rPr>
  </w:style>
  <w:style w:type="character" w:styleId="40">
    <w:name w:val="HTML Sample"/>
    <w:basedOn w:val="28"/>
    <w:semiHidden/>
    <w:unhideWhenUsed/>
    <w:qFormat/>
    <w:uiPriority w:val="99"/>
    <w:rPr>
      <w:rFonts w:hint="default" w:ascii="monospace" w:hAnsi="monospace" w:eastAsia="monospace" w:cs="monospace"/>
    </w:rPr>
  </w:style>
  <w:style w:type="paragraph" w:customStyle="1" w:styleId="41">
    <w:name w:val="Default"/>
    <w:next w:val="1"/>
    <w:link w:val="7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表格文字"/>
    <w:basedOn w:val="1"/>
    <w:qFormat/>
    <w:uiPriority w:val="0"/>
    <w:pPr>
      <w:adjustRightInd w:val="0"/>
      <w:spacing w:line="420" w:lineRule="atLeast"/>
      <w:textAlignment w:val="baseline"/>
    </w:pPr>
    <w:rPr>
      <w:kern w:val="0"/>
      <w:szCs w:val="20"/>
    </w:rPr>
  </w:style>
  <w:style w:type="character" w:customStyle="1" w:styleId="43">
    <w:name w:val="页眉 字符"/>
    <w:basedOn w:val="28"/>
    <w:link w:val="17"/>
    <w:qFormat/>
    <w:uiPriority w:val="0"/>
    <w:rPr>
      <w:sz w:val="18"/>
      <w:szCs w:val="18"/>
    </w:rPr>
  </w:style>
  <w:style w:type="character" w:customStyle="1" w:styleId="44">
    <w:name w:val="页脚 字符"/>
    <w:basedOn w:val="28"/>
    <w:link w:val="16"/>
    <w:qFormat/>
    <w:uiPriority w:val="0"/>
    <w:rPr>
      <w:sz w:val="18"/>
      <w:szCs w:val="18"/>
    </w:rPr>
  </w:style>
  <w:style w:type="character" w:customStyle="1" w:styleId="45">
    <w:name w:val="标题 1 字符"/>
    <w:basedOn w:val="28"/>
    <w:link w:val="2"/>
    <w:qFormat/>
    <w:uiPriority w:val="0"/>
    <w:rPr>
      <w:rFonts w:ascii="Calibri" w:hAnsi="Calibri" w:eastAsia="宋体" w:cs="Times New Roman"/>
      <w:b/>
      <w:bCs/>
      <w:kern w:val="44"/>
      <w:sz w:val="44"/>
      <w:szCs w:val="44"/>
    </w:rPr>
  </w:style>
  <w:style w:type="paragraph" w:customStyle="1" w:styleId="46">
    <w:name w:val="p0"/>
    <w:basedOn w:val="1"/>
    <w:qFormat/>
    <w:uiPriority w:val="0"/>
    <w:pPr>
      <w:widowControl/>
      <w:snapToGrid w:val="0"/>
    </w:pPr>
    <w:rPr>
      <w:rFonts w:ascii="Tahoma" w:hAnsi="Tahoma" w:eastAsia="宋体" w:cs="Times New Roman"/>
      <w:kern w:val="0"/>
      <w:sz w:val="22"/>
    </w:rPr>
  </w:style>
  <w:style w:type="paragraph" w:customStyle="1" w:styleId="47">
    <w:name w:val="样式 标题 2 + Times New Roman 四号 非加粗 段前: 5 磅 段后: 0 磅 行距: 固定值 20..."/>
    <w:basedOn w:val="3"/>
    <w:qFormat/>
    <w:uiPriority w:val="0"/>
    <w:pPr>
      <w:spacing w:before="100" w:after="0" w:line="400" w:lineRule="exact"/>
      <w:jc w:val="both"/>
    </w:pPr>
    <w:rPr>
      <w:rFonts w:ascii="Times New Roman" w:hAnsi="Times New Roman" w:cs="Times New Roman"/>
      <w:sz w:val="28"/>
      <w:szCs w:val="20"/>
    </w:rPr>
  </w:style>
  <w:style w:type="paragraph" w:customStyle="1" w:styleId="48">
    <w:name w:val="Table Paragraph"/>
    <w:basedOn w:val="1"/>
    <w:qFormat/>
    <w:uiPriority w:val="1"/>
    <w:pPr>
      <w:autoSpaceDE w:val="0"/>
      <w:autoSpaceDN w:val="0"/>
      <w:spacing w:after="0"/>
    </w:pPr>
    <w:rPr>
      <w:rFonts w:hint="eastAsia" w:ascii="宋体" w:hAnsi="宋体" w:eastAsia="宋体" w:cs="Times New Roman"/>
      <w:kern w:val="0"/>
      <w:sz w:val="22"/>
    </w:rPr>
  </w:style>
  <w:style w:type="character" w:customStyle="1" w:styleId="49">
    <w:name w:val="正文文本 3 字符"/>
    <w:basedOn w:val="28"/>
    <w:link w:val="8"/>
    <w:qFormat/>
    <w:uiPriority w:val="99"/>
    <w:rPr>
      <w:rFonts w:hint="eastAsia" w:ascii="宋体" w:hAnsi="宋体" w:eastAsia="宋体" w:cs="宋体"/>
      <w:kern w:val="2"/>
      <w:sz w:val="24"/>
    </w:rPr>
  </w:style>
  <w:style w:type="character" w:customStyle="1" w:styleId="50">
    <w:name w:val="标题 2 字符"/>
    <w:basedOn w:val="28"/>
    <w:link w:val="3"/>
    <w:qFormat/>
    <w:uiPriority w:val="0"/>
    <w:rPr>
      <w:rFonts w:ascii="等线 Light" w:hAnsi="等线 Light" w:eastAsia="等线 Light" w:cs="Times New Roman"/>
      <w:b/>
      <w:kern w:val="2"/>
      <w:sz w:val="32"/>
      <w:szCs w:val="32"/>
    </w:rPr>
  </w:style>
  <w:style w:type="paragraph" w:customStyle="1" w:styleId="51">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styleId="52">
    <w:name w:val="List Paragraph"/>
    <w:basedOn w:val="1"/>
    <w:qFormat/>
    <w:uiPriority w:val="99"/>
    <w:pPr>
      <w:ind w:firstLine="420" w:firstLineChars="200"/>
    </w:pPr>
  </w:style>
  <w:style w:type="character" w:customStyle="1" w:styleId="53">
    <w:name w:val="批注文字 字符"/>
    <w:basedOn w:val="28"/>
    <w:link w:val="7"/>
    <w:semiHidden/>
    <w:qFormat/>
    <w:uiPriority w:val="99"/>
    <w:rPr>
      <w:rFonts w:asciiTheme="minorHAnsi" w:hAnsiTheme="minorHAnsi" w:eastAsiaTheme="minorEastAsia" w:cstheme="minorBidi"/>
      <w:kern w:val="2"/>
      <w:sz w:val="21"/>
      <w:szCs w:val="22"/>
    </w:rPr>
  </w:style>
  <w:style w:type="character" w:customStyle="1" w:styleId="54">
    <w:name w:val="批注主题 字符"/>
    <w:basedOn w:val="53"/>
    <w:link w:val="25"/>
    <w:semiHidden/>
    <w:qFormat/>
    <w:uiPriority w:val="99"/>
    <w:rPr>
      <w:rFonts w:asciiTheme="minorHAnsi" w:hAnsiTheme="minorHAnsi" w:eastAsiaTheme="minorEastAsia" w:cstheme="minorBidi"/>
      <w:b/>
      <w:bCs/>
      <w:kern w:val="2"/>
      <w:sz w:val="21"/>
      <w:szCs w:val="22"/>
    </w:rPr>
  </w:style>
  <w:style w:type="character" w:customStyle="1" w:styleId="55">
    <w:name w:val="批注框文本 字符"/>
    <w:basedOn w:val="28"/>
    <w:link w:val="15"/>
    <w:semiHidden/>
    <w:qFormat/>
    <w:uiPriority w:val="99"/>
    <w:rPr>
      <w:rFonts w:asciiTheme="minorHAnsi" w:hAnsiTheme="minorHAnsi" w:eastAsiaTheme="minorEastAsia" w:cstheme="minorBidi"/>
      <w:kern w:val="2"/>
      <w:sz w:val="18"/>
      <w:szCs w:val="18"/>
    </w:rPr>
  </w:style>
  <w:style w:type="character" w:customStyle="1" w:styleId="56">
    <w:name w:val="*正文 Char Char"/>
    <w:link w:val="57"/>
    <w:qFormat/>
    <w:locked/>
    <w:uiPriority w:val="0"/>
    <w:rPr>
      <w:rFonts w:ascii="微软雅黑" w:hAnsi="微软雅黑" w:eastAsia="微软雅黑"/>
      <w:sz w:val="21"/>
    </w:rPr>
  </w:style>
  <w:style w:type="paragraph" w:customStyle="1" w:styleId="57">
    <w:name w:val="*正文"/>
    <w:basedOn w:val="1"/>
    <w:next w:val="1"/>
    <w:link w:val="56"/>
    <w:qFormat/>
    <w:uiPriority w:val="0"/>
    <w:pPr>
      <w:widowControl/>
      <w:spacing w:after="0" w:line="240" w:lineRule="auto"/>
      <w:ind w:firstLine="482"/>
      <w:jc w:val="both"/>
    </w:pPr>
    <w:rPr>
      <w:rFonts w:ascii="微软雅黑" w:hAnsi="微软雅黑" w:eastAsia="微软雅黑" w:cs="Times New Roman"/>
      <w:kern w:val="0"/>
      <w:szCs w:val="20"/>
    </w:rPr>
  </w:style>
  <w:style w:type="paragraph" w:customStyle="1" w:styleId="5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9">
    <w:name w:val="*正文_2"/>
    <w:basedOn w:val="60"/>
    <w:next w:val="65"/>
    <w:qFormat/>
    <w:uiPriority w:val="0"/>
    <w:pPr>
      <w:widowControl/>
      <w:ind w:firstLine="482"/>
    </w:pPr>
    <w:rPr>
      <w:rFonts w:ascii="微软雅黑" w:hAnsi="微软雅黑" w:eastAsia="微软雅黑"/>
      <w:kern w:val="0"/>
      <w:szCs w:val="20"/>
    </w:rPr>
  </w:style>
  <w:style w:type="paragraph" w:customStyle="1" w:styleId="60">
    <w:name w:val="正文_1_0"/>
    <w:next w:val="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正文文本_1"/>
    <w:basedOn w:val="62"/>
    <w:next w:val="64"/>
    <w:qFormat/>
    <w:uiPriority w:val="0"/>
    <w:rPr>
      <w:rFonts w:eastAsia="仿宋_GB2312"/>
      <w:kern w:val="2"/>
      <w:sz w:val="28"/>
      <w:szCs w:val="30"/>
    </w:rPr>
  </w:style>
  <w:style w:type="paragraph" w:customStyle="1" w:styleId="62">
    <w:name w:val="正文_1_1"/>
    <w:next w:val="63"/>
    <w:qFormat/>
    <w:uiPriority w:val="0"/>
    <w:pPr>
      <w:widowControl w:val="0"/>
      <w:jc w:val="both"/>
    </w:pPr>
    <w:rPr>
      <w:rFonts w:ascii="Times New Roman" w:hAnsi="Times New Roman" w:eastAsia="宋体" w:cs="Times New Roman"/>
      <w:lang w:val="en-US" w:eastAsia="zh-CN" w:bidi="ar-SA"/>
    </w:rPr>
  </w:style>
  <w:style w:type="paragraph" w:customStyle="1" w:styleId="63">
    <w:name w:val="标题 2_1_0"/>
    <w:basedOn w:val="62"/>
    <w:next w:val="62"/>
    <w:qFormat/>
    <w:uiPriority w:val="0"/>
    <w:pPr>
      <w:keepNext/>
      <w:keepLines/>
      <w:spacing w:before="260" w:after="260" w:line="415" w:lineRule="auto"/>
      <w:outlineLvl w:val="1"/>
    </w:pPr>
    <w:rPr>
      <w:rFonts w:ascii="Arial" w:hAnsi="Arial" w:eastAsia="黑体"/>
      <w:b/>
      <w:bCs/>
      <w:sz w:val="32"/>
      <w:szCs w:val="32"/>
    </w:rPr>
  </w:style>
  <w:style w:type="paragraph" w:customStyle="1" w:styleId="64">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正文_2"/>
    <w:next w:val="66"/>
    <w:qFormat/>
    <w:uiPriority w:val="0"/>
    <w:pPr>
      <w:widowControl w:val="0"/>
      <w:jc w:val="both"/>
    </w:pPr>
    <w:rPr>
      <w:rFonts w:ascii="Times New Roman" w:hAnsi="Times New Roman" w:eastAsia="宋体" w:cs="Times New Roman"/>
      <w:lang w:val="en-US" w:eastAsia="zh-CN" w:bidi="ar-SA"/>
    </w:rPr>
  </w:style>
  <w:style w:type="paragraph" w:customStyle="1" w:styleId="66">
    <w:name w:val="标题 2_2"/>
    <w:basedOn w:val="65"/>
    <w:next w:val="65"/>
    <w:qFormat/>
    <w:uiPriority w:val="0"/>
    <w:pPr>
      <w:keepNext/>
      <w:keepLines/>
      <w:spacing w:before="260" w:after="260" w:line="415" w:lineRule="auto"/>
      <w:outlineLvl w:val="1"/>
    </w:pPr>
    <w:rPr>
      <w:rFonts w:ascii="Arial" w:hAnsi="Arial" w:eastAsia="黑体"/>
      <w:b/>
      <w:bCs/>
      <w:sz w:val="32"/>
      <w:szCs w:val="32"/>
    </w:rPr>
  </w:style>
  <w:style w:type="paragraph" w:customStyle="1" w:styleId="67">
    <w:name w:val="正文文本_1_0"/>
    <w:basedOn w:val="60"/>
    <w:next w:val="68"/>
    <w:qFormat/>
    <w:uiPriority w:val="0"/>
    <w:rPr>
      <w:rFonts w:ascii="Calibri" w:hAnsi="Calibri" w:eastAsia="仿宋_GB2312"/>
      <w:sz w:val="28"/>
      <w:szCs w:val="30"/>
    </w:rPr>
  </w:style>
  <w:style w:type="paragraph" w:customStyle="1" w:styleId="68">
    <w:name w:val="正文文本 2_1_0"/>
    <w:basedOn w:val="64"/>
    <w:qFormat/>
    <w:uiPriority w:val="0"/>
    <w:pPr>
      <w:jc w:val="center"/>
      <w:outlineLvl w:val="0"/>
    </w:pPr>
    <w:rPr>
      <w:rFonts w:ascii="楷体_GB2312" w:eastAsia="仿宋_GB2312"/>
      <w:sz w:val="30"/>
    </w:rPr>
  </w:style>
  <w:style w:type="paragraph" w:customStyle="1" w:styleId="69">
    <w:name w:val="*正文_0_0"/>
    <w:basedOn w:val="70"/>
    <w:next w:val="70"/>
    <w:qFormat/>
    <w:uiPriority w:val="0"/>
    <w:pPr>
      <w:widowControl/>
      <w:ind w:firstLine="482"/>
    </w:pPr>
    <w:rPr>
      <w:rFonts w:ascii="微软雅黑" w:hAnsi="微软雅黑" w:eastAsia="微软雅黑"/>
      <w:kern w:val="0"/>
      <w:szCs w:val="20"/>
    </w:rPr>
  </w:style>
  <w:style w:type="paragraph" w:customStyle="1" w:styleId="70">
    <w:name w:val="正文_0_0"/>
    <w:basedOn w:val="71"/>
    <w:next w:val="72"/>
    <w:qFormat/>
    <w:uiPriority w:val="0"/>
    <w:rPr>
      <w:rFonts w:ascii="Calibri" w:hAnsi="Calibri" w:cs="Calibri"/>
      <w:kern w:val="2"/>
      <w:sz w:val="21"/>
      <w:szCs w:val="21"/>
    </w:rPr>
  </w:style>
  <w:style w:type="paragraph" w:customStyle="1" w:styleId="71">
    <w:name w:val="正文_0"/>
    <w:qFormat/>
    <w:uiPriority w:val="0"/>
    <w:pPr>
      <w:widowControl w:val="0"/>
      <w:jc w:val="both"/>
    </w:pPr>
    <w:rPr>
      <w:rFonts w:ascii="Times New Roman" w:hAnsi="Times New Roman" w:eastAsia="宋体" w:cs="Times New Roman"/>
      <w:lang w:val="en-US" w:eastAsia="zh-CN" w:bidi="ar-SA"/>
    </w:rPr>
  </w:style>
  <w:style w:type="paragraph" w:customStyle="1" w:styleId="72">
    <w:name w:val="标题 2_0_0"/>
    <w:basedOn w:val="70"/>
    <w:next w:val="70"/>
    <w:qFormat/>
    <w:uiPriority w:val="0"/>
    <w:pPr>
      <w:keepNext/>
      <w:keepLines/>
      <w:spacing w:line="360" w:lineRule="auto"/>
      <w:outlineLvl w:val="1"/>
    </w:pPr>
    <w:rPr>
      <w:rFonts w:ascii="Arial" w:hAnsi="Arial" w:eastAsia="黑体"/>
      <w:b/>
      <w:bCs/>
      <w:sz w:val="32"/>
      <w:szCs w:val="32"/>
    </w:rPr>
  </w:style>
  <w:style w:type="character" w:customStyle="1" w:styleId="73">
    <w:name w:val="正文文本 字符"/>
    <w:basedOn w:val="28"/>
    <w:link w:val="9"/>
    <w:qFormat/>
    <w:uiPriority w:val="99"/>
    <w:rPr>
      <w:rFonts w:asciiTheme="minorHAnsi" w:hAnsiTheme="minorHAnsi" w:eastAsiaTheme="minorEastAsia" w:cstheme="minorBidi"/>
      <w:kern w:val="2"/>
      <w:sz w:val="21"/>
      <w:szCs w:val="22"/>
    </w:rPr>
  </w:style>
  <w:style w:type="paragraph" w:customStyle="1" w:styleId="74">
    <w:name w:val="Normal_18"/>
    <w:qFormat/>
    <w:uiPriority w:val="0"/>
    <w:rPr>
      <w:rFonts w:ascii="黑体" w:hAnsi="黑体" w:eastAsia="黑体" w:cs="Times New Roman"/>
      <w:b/>
      <w:sz w:val="32"/>
      <w:szCs w:val="24"/>
      <w:lang w:val="en-US" w:eastAsia="zh-CN" w:bidi="ar-SA"/>
    </w:rPr>
  </w:style>
  <w:style w:type="paragraph" w:customStyle="1" w:styleId="75">
    <w:name w:val="正文_6"/>
    <w:qFormat/>
    <w:uiPriority w:val="0"/>
    <w:pPr>
      <w:widowControl w:val="0"/>
      <w:jc w:val="both"/>
    </w:pPr>
    <w:rPr>
      <w:rFonts w:ascii="Times New Roman" w:hAnsi="Times New Roman" w:eastAsia="宋体" w:cs="Times New Roman"/>
      <w:lang w:val="en-US" w:eastAsia="zh-CN" w:bidi="ar-SA"/>
    </w:rPr>
  </w:style>
  <w:style w:type="character" w:customStyle="1" w:styleId="76">
    <w:name w:val="Default Char"/>
    <w:link w:val="41"/>
    <w:qFormat/>
    <w:locked/>
    <w:uiPriority w:val="0"/>
    <w:rPr>
      <w:rFonts w:ascii="宋体" w:hAnsi="Calibri" w:cs="宋体"/>
      <w:color w:val="000000"/>
      <w:sz w:val="24"/>
      <w:szCs w:val="24"/>
    </w:rPr>
  </w:style>
  <w:style w:type="paragraph" w:customStyle="1" w:styleId="77">
    <w:name w:val="正文_8_0"/>
    <w:qFormat/>
    <w:uiPriority w:val="0"/>
    <w:pPr>
      <w:widowControl w:val="0"/>
      <w:jc w:val="both"/>
    </w:pPr>
    <w:rPr>
      <w:rFonts w:ascii="Times New Roman" w:hAnsi="Times New Roman" w:eastAsia="宋体" w:cs="Times New Roman"/>
      <w:lang w:val="en-US" w:eastAsia="zh-CN" w:bidi="ar-SA"/>
    </w:rPr>
  </w:style>
  <w:style w:type="character" w:customStyle="1" w:styleId="78">
    <w:name w:val="标题 7 字符"/>
    <w:basedOn w:val="28"/>
    <w:link w:val="5"/>
    <w:semiHidden/>
    <w:qFormat/>
    <w:uiPriority w:val="9"/>
    <w:rPr>
      <w:rFonts w:asciiTheme="minorHAnsi" w:hAnsiTheme="minorHAnsi" w:eastAsiaTheme="minorEastAsia" w:cstheme="minorBidi"/>
      <w:b/>
      <w:bCs/>
      <w:kern w:val="2"/>
      <w:sz w:val="24"/>
      <w:szCs w:val="24"/>
    </w:rPr>
  </w:style>
  <w:style w:type="character" w:customStyle="1" w:styleId="79">
    <w:name w:val="layui-layer-tabnow"/>
    <w:basedOn w:val="28"/>
    <w:qFormat/>
    <w:uiPriority w:val="0"/>
    <w:rPr>
      <w:bdr w:val="single" w:color="CCCCCC" w:sz="6" w:space="0"/>
      <w:shd w:val="clear" w:color="auto" w:fill="FFFFFF"/>
    </w:rPr>
  </w:style>
  <w:style w:type="character" w:customStyle="1" w:styleId="80">
    <w:name w:val="first-child"/>
    <w:basedOn w:val="28"/>
    <w:qFormat/>
    <w:uiPriority w:val="0"/>
  </w:style>
  <w:style w:type="paragraph" w:customStyle="1" w:styleId="81">
    <w:name w:val="正文_1"/>
    <w:next w:val="1"/>
    <w:qFormat/>
    <w:uiPriority w:val="0"/>
    <w:pPr>
      <w:widowControl w:val="0"/>
      <w:jc w:val="both"/>
    </w:pPr>
    <w:rPr>
      <w:rFonts w:ascii="Calibri" w:hAnsi="Calibri" w:eastAsia="宋体" w:cs="Times New Roman"/>
      <w:kern w:val="2"/>
      <w:sz w:val="21"/>
      <w:szCs w:val="22"/>
      <w:lang w:val="en-US" w:eastAsia="zh-CN" w:bidi="ar-SA"/>
    </w:rPr>
  </w:style>
  <w:style w:type="character" w:customStyle="1" w:styleId="82">
    <w:name w:val="NormalCharacter_0"/>
    <w:qFormat/>
    <w:uiPriority w:val="0"/>
    <w:rPr>
      <w:rFonts w:ascii="Calibri" w:hAnsi="Calibri"/>
      <w:kern w:val="2"/>
      <w:sz w:val="21"/>
      <w:szCs w:val="22"/>
      <w:lang w:val="en-US" w:eastAsia="zh-CN" w:bidi="ar-SA"/>
    </w:rPr>
  </w:style>
  <w:style w:type="paragraph" w:customStyle="1" w:styleId="83">
    <w:name w:val="UserStyle_228"/>
    <w:next w:val="81"/>
    <w:qFormat/>
    <w:uiPriority w:val="0"/>
    <w:pPr>
      <w:jc w:val="both"/>
      <w:textAlignment w:val="baseline"/>
    </w:pPr>
    <w:rPr>
      <w:rFonts w:ascii="Times New Roman" w:hAnsi="Times New Roman" w:eastAsia="宋体" w:cs="Times New Roman"/>
      <w:kern w:val="2"/>
      <w:sz w:val="21"/>
      <w:szCs w:val="22"/>
      <w:lang w:val="en-US" w:eastAsia="zh-CN" w:bidi="ar-SA"/>
    </w:rPr>
  </w:style>
  <w:style w:type="paragraph" w:customStyle="1" w:styleId="84">
    <w:name w:val="Table Text"/>
    <w:basedOn w:val="1"/>
    <w:semiHidden/>
    <w:qFormat/>
    <w:uiPriority w:val="0"/>
    <w:rPr>
      <w:rFonts w:ascii="Arial" w:hAnsi="Arial" w:eastAsia="Arial" w:cs="Arial"/>
      <w:szCs w:val="21"/>
      <w:lang w:eastAsia="en-US"/>
    </w:rPr>
  </w:style>
  <w:style w:type="paragraph" w:customStyle="1" w:styleId="85">
    <w:name w:val="*正文_1"/>
    <w:basedOn w:val="64"/>
    <w:next w:val="64"/>
    <w:qFormat/>
    <w:uiPriority w:val="0"/>
    <w:pPr>
      <w:widowControl/>
      <w:ind w:firstLine="482"/>
    </w:pPr>
    <w:rPr>
      <w:rFonts w:ascii="微软雅黑" w:hAnsi="微软雅黑" w:eastAsia="微软雅黑"/>
      <w:sz w:val="21"/>
    </w:rPr>
  </w:style>
  <w:style w:type="table" w:customStyle="1" w:styleId="86">
    <w:name w:val="Table Normal"/>
    <w:semiHidden/>
    <w:unhideWhenUsed/>
    <w:qFormat/>
    <w:uiPriority w:val="0"/>
    <w:tblPr>
      <w:tblCellMar>
        <w:top w:w="0" w:type="dxa"/>
        <w:left w:w="0" w:type="dxa"/>
        <w:bottom w:w="0" w:type="dxa"/>
        <w:right w:w="0" w:type="dxa"/>
      </w:tblCellMar>
    </w:tblPr>
  </w:style>
  <w:style w:type="paragraph" w:customStyle="1" w:styleId="87">
    <w:name w:val="Heading #2|1"/>
    <w:basedOn w:val="1"/>
    <w:qFormat/>
    <w:uiPriority w:val="0"/>
    <w:pPr>
      <w:widowControl w:val="0"/>
      <w:shd w:val="clear" w:color="auto" w:fill="auto"/>
      <w:spacing w:after="390" w:line="254" w:lineRule="auto"/>
      <w:jc w:val="center"/>
      <w:outlineLvl w:val="1"/>
    </w:pPr>
    <w:rPr>
      <w:rFonts w:ascii="宋体" w:hAnsi="宋体" w:eastAsia="宋体" w:cs="宋体"/>
      <w:sz w:val="44"/>
      <w:szCs w:val="44"/>
      <w:u w:val="none"/>
      <w:shd w:val="clear" w:color="auto" w:fill="auto"/>
      <w:lang w:val="zh-TW" w:eastAsia="zh-TW" w:bidi="zh-TW"/>
    </w:rPr>
  </w:style>
  <w:style w:type="paragraph" w:customStyle="1" w:styleId="88">
    <w:name w:val="Body text|1"/>
    <w:basedOn w:val="1"/>
    <w:qFormat/>
    <w:uiPriority w:val="0"/>
    <w:pPr>
      <w:widowControl w:val="0"/>
      <w:shd w:val="clear" w:color="auto" w:fill="auto"/>
      <w:spacing w:line="396"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智拓文档</Manager>
  <Company>智拓文档</Company>
  <Pages>74</Pages>
  <Words>6670</Words>
  <Characters>6989</Characters>
  <Lines>54</Lines>
  <Paragraphs>72</Paragraphs>
  <TotalTime>0</TotalTime>
  <ScaleCrop>false</ScaleCrop>
  <LinksUpToDate>false</LinksUpToDate>
  <CharactersWithSpaces>7070</CharactersWithSpaces>
  <HyperlinkBase>智拓文档</HyperlinkBase>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智拓文档</cp:category>
  <dcterms:created xsi:type="dcterms:W3CDTF">2020-05-14T10:52:00Z</dcterms:created>
  <dc:creator>智拓文档</dc:creator>
  <dc:description>智拓文档</dc:description>
  <cp:keywords>智拓文档</cp:keywords>
  <cp:lastModifiedBy>Administrator</cp:lastModifiedBy>
  <cp:lastPrinted>2023-11-10T07:17:00Z</cp:lastPrinted>
  <dcterms:modified xsi:type="dcterms:W3CDTF">2024-12-12T14:00:07Z</dcterms:modified>
  <dc:subject>智拓文档</dc:subject>
  <dc:title>智拓文档</dc:title>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F6A110B3A7A74A54B21846D12614C547_13</vt:lpwstr>
  </property>
</Properties>
</file>